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213360</wp:posOffset>
            </wp:positionV>
            <wp:extent cx="66122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12255" cy="342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255905</wp:posOffset>
            </wp:positionV>
            <wp:extent cx="66122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87"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UNITED STATES</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126"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10-Q</w:t>
      </w:r>
    </w:p>
    <w:p>
      <w:pPr>
        <w:spacing w:after="0" w:line="16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172" w:lineRule="exact"/>
        <w:rPr>
          <w:sz w:val="24"/>
          <w:szCs w:val="24"/>
          <w:color w:val="auto"/>
        </w:rPr>
      </w:pPr>
    </w:p>
    <w:p>
      <w:pPr>
        <w:ind w:left="640" w:right="300" w:hanging="325"/>
        <w:spacing w:after="0" w:line="267" w:lineRule="auto"/>
        <w:tabs>
          <w:tab w:leader="none" w:pos="816" w:val="left"/>
        </w:tabs>
        <w:numPr>
          <w:ilvl w:val="0"/>
          <w:numId w:val="1"/>
        </w:numPr>
        <w:rPr>
          <w:rFonts w:ascii="MS PGothic" w:cs="MS PGothic" w:eastAsia="MS PGothic" w:hAnsi="MS PGothic"/>
          <w:sz w:val="20"/>
          <w:szCs w:val="20"/>
          <w:color w:val="auto"/>
          <w:highlight w:val="black"/>
        </w:rPr>
      </w:pPr>
      <w:r>
        <w:rPr>
          <w:rFonts w:ascii="Arial" w:cs="Arial" w:eastAsia="Arial" w:hAnsi="Arial"/>
          <w:sz w:val="20"/>
          <w:szCs w:val="20"/>
          <w:b w:val="1"/>
          <w:bCs w:val="1"/>
          <w:color w:val="auto"/>
        </w:rPr>
        <w:t>QUARTERLY REPORT PURSUANT TO SECTION 13 OR 15(d) OF THE SECURITIES EXCHANGE ACT OF 1934</w:t>
      </w:r>
    </w:p>
    <w:p>
      <w:pPr>
        <w:spacing w:after="0" w:line="10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quarterly period ended June 30, 2018</w:t>
      </w:r>
    </w:p>
    <w:p>
      <w:pPr>
        <w:spacing w:after="0" w:line="16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172" w:lineRule="exact"/>
        <w:rPr>
          <w:sz w:val="24"/>
          <w:szCs w:val="24"/>
          <w:color w:val="auto"/>
        </w:rPr>
      </w:pPr>
    </w:p>
    <w:p>
      <w:pPr>
        <w:ind w:left="640" w:right="280" w:hanging="325"/>
        <w:spacing w:after="0" w:line="267" w:lineRule="auto"/>
        <w:tabs>
          <w:tab w:leader="none" w:pos="816" w:val="left"/>
        </w:tabs>
        <w:numPr>
          <w:ilvl w:val="0"/>
          <w:numId w:val="2"/>
        </w:numPr>
        <w:rPr>
          <w:rFonts w:ascii="MS PGothic" w:cs="MS PGothic" w:eastAsia="MS PGothic" w:hAnsi="MS PGothic"/>
          <w:sz w:val="20"/>
          <w:szCs w:val="20"/>
          <w:color w:val="auto"/>
          <w:highlight w:val="black"/>
        </w:rPr>
      </w:pPr>
      <w:r>
        <w:rPr>
          <w:rFonts w:ascii="Arial" w:cs="Arial" w:eastAsia="Arial" w:hAnsi="Arial"/>
          <w:sz w:val="20"/>
          <w:szCs w:val="20"/>
          <w:b w:val="1"/>
          <w:bCs w:val="1"/>
          <w:color w:val="auto"/>
        </w:rPr>
        <w:t>TRANSITION REPORT PURSUANT TO SECTION 13 OR 15(d) OF THE SECURITIES EXCHANGE ACT OF 1934</w:t>
      </w:r>
    </w:p>
    <w:p>
      <w:pPr>
        <w:spacing w:after="0" w:line="105" w:lineRule="exact"/>
        <w:rPr>
          <w:sz w:val="24"/>
          <w:szCs w:val="24"/>
          <w:color w:val="auto"/>
        </w:rPr>
      </w:pPr>
    </w:p>
    <w:p>
      <w:pPr>
        <w:ind w:left="3580"/>
        <w:spacing w:after="0"/>
        <w:tabs>
          <w:tab w:leader="none" w:pos="618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16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001-12400</w:t>
      </w:r>
    </w:p>
    <w:p>
      <w:pPr>
        <w:spacing w:after="0" w:line="144"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INCYTE CORPORATION</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217" w:lineRule="exact"/>
        <w:rPr>
          <w:sz w:val="24"/>
          <w:szCs w:val="24"/>
          <w:color w:val="auto"/>
        </w:rPr>
      </w:pPr>
    </w:p>
    <w:tbl>
      <w:tblPr>
        <w:tblLayout w:type="fixed"/>
        <w:tblInd w:w="1260" w:type="dxa"/>
        <w:tblCellMar>
          <w:top w:w="0" w:type="dxa"/>
          <w:left w:w="0" w:type="dxa"/>
          <w:bottom w:w="0" w:type="dxa"/>
          <w:right w:w="0" w:type="dxa"/>
        </w:tblCellMar>
      </w:tblPr>
      <w:tr>
        <w:trPr>
          <w:trHeight w:val="207"/>
        </w:trPr>
        <w:tc>
          <w:tcPr>
            <w:tcW w:w="5820" w:type="dxa"/>
            <w:vAlign w:val="bottom"/>
          </w:tcPr>
          <w:p>
            <w:pPr>
              <w:jc w:val="center"/>
              <w:ind w:right="3159"/>
              <w:spacing w:after="0"/>
              <w:rPr>
                <w:sz w:val="20"/>
                <w:szCs w:val="20"/>
                <w:color w:val="auto"/>
              </w:rPr>
            </w:pPr>
            <w:r>
              <w:rPr>
                <w:rFonts w:ascii="Arial" w:cs="Arial" w:eastAsia="Arial" w:hAnsi="Arial"/>
                <w:sz w:val="16"/>
                <w:szCs w:val="16"/>
                <w:b w:val="1"/>
                <w:bCs w:val="1"/>
                <w:color w:val="auto"/>
                <w:w w:val="93"/>
              </w:rPr>
              <w:t>Delaware</w:t>
            </w:r>
          </w:p>
        </w:tc>
        <w:tc>
          <w:tcPr>
            <w:tcW w:w="1380" w:type="dxa"/>
            <w:vAlign w:val="bottom"/>
          </w:tcPr>
          <w:p>
            <w:pPr>
              <w:jc w:val="right"/>
              <w:ind w:right="139"/>
              <w:spacing w:after="0"/>
              <w:rPr>
                <w:sz w:val="20"/>
                <w:szCs w:val="20"/>
                <w:color w:val="auto"/>
              </w:rPr>
            </w:pPr>
            <w:r>
              <w:rPr>
                <w:rFonts w:ascii="Arial" w:cs="Arial" w:eastAsia="Arial" w:hAnsi="Arial"/>
                <w:sz w:val="16"/>
                <w:szCs w:val="16"/>
                <w:b w:val="1"/>
                <w:bCs w:val="1"/>
                <w:color w:val="auto"/>
              </w:rPr>
              <w:t>94-3136539</w:t>
            </w:r>
          </w:p>
        </w:tc>
      </w:tr>
      <w:tr>
        <w:trPr>
          <w:trHeight w:val="203"/>
        </w:trPr>
        <w:tc>
          <w:tcPr>
            <w:tcW w:w="5820" w:type="dxa"/>
            <w:vAlign w:val="bottom"/>
          </w:tcPr>
          <w:p>
            <w:pPr>
              <w:jc w:val="center"/>
              <w:ind w:right="3179"/>
              <w:spacing w:after="0"/>
              <w:rPr>
                <w:sz w:val="20"/>
                <w:szCs w:val="20"/>
                <w:color w:val="auto"/>
              </w:rPr>
            </w:pPr>
            <w:r>
              <w:rPr>
                <w:rFonts w:ascii="Arial" w:cs="Arial" w:eastAsia="Arial" w:hAnsi="Arial"/>
                <w:sz w:val="16"/>
                <w:szCs w:val="16"/>
                <w:color w:val="auto"/>
                <w:w w:val="93"/>
              </w:rPr>
              <w:t>(State or other jurisdiction of</w:t>
            </w:r>
          </w:p>
        </w:tc>
        <w:tc>
          <w:tcPr>
            <w:tcW w:w="1380" w:type="dxa"/>
            <w:vAlign w:val="bottom"/>
          </w:tcPr>
          <w:p>
            <w:pPr>
              <w:jc w:val="center"/>
              <w:ind w:left="79"/>
              <w:spacing w:after="0"/>
              <w:rPr>
                <w:sz w:val="20"/>
                <w:szCs w:val="20"/>
                <w:color w:val="auto"/>
              </w:rPr>
            </w:pPr>
            <w:r>
              <w:rPr>
                <w:rFonts w:ascii="Arial" w:cs="Arial" w:eastAsia="Arial" w:hAnsi="Arial"/>
                <w:sz w:val="16"/>
                <w:szCs w:val="16"/>
                <w:color w:val="auto"/>
                <w:w w:val="94"/>
              </w:rPr>
              <w:t>(IRS Employer</w:t>
            </w:r>
          </w:p>
        </w:tc>
      </w:tr>
      <w:tr>
        <w:trPr>
          <w:trHeight w:val="206"/>
        </w:trPr>
        <w:tc>
          <w:tcPr>
            <w:tcW w:w="5820" w:type="dxa"/>
            <w:vAlign w:val="bottom"/>
          </w:tcPr>
          <w:p>
            <w:pPr>
              <w:jc w:val="center"/>
              <w:ind w:right="3159"/>
              <w:spacing w:after="0"/>
              <w:rPr>
                <w:sz w:val="20"/>
                <w:szCs w:val="20"/>
                <w:color w:val="auto"/>
              </w:rPr>
            </w:pPr>
            <w:r>
              <w:rPr>
                <w:rFonts w:ascii="Arial" w:cs="Arial" w:eastAsia="Arial" w:hAnsi="Arial"/>
                <w:sz w:val="16"/>
                <w:szCs w:val="16"/>
                <w:color w:val="auto"/>
                <w:w w:val="93"/>
              </w:rPr>
              <w:t>incorporation or organization)</w:t>
            </w:r>
          </w:p>
        </w:tc>
        <w:tc>
          <w:tcPr>
            <w:tcW w:w="1380" w:type="dxa"/>
            <w:vAlign w:val="bottom"/>
          </w:tcPr>
          <w:p>
            <w:pPr>
              <w:jc w:val="center"/>
              <w:ind w:left="79"/>
              <w:spacing w:after="0"/>
              <w:rPr>
                <w:sz w:val="20"/>
                <w:szCs w:val="20"/>
                <w:color w:val="auto"/>
              </w:rPr>
            </w:pPr>
            <w:r>
              <w:rPr>
                <w:rFonts w:ascii="Arial" w:cs="Arial" w:eastAsia="Arial" w:hAnsi="Arial"/>
                <w:sz w:val="16"/>
                <w:szCs w:val="16"/>
                <w:color w:val="auto"/>
                <w:w w:val="97"/>
              </w:rPr>
              <w:t>Identification No.)</w:t>
            </w:r>
          </w:p>
        </w:tc>
      </w:tr>
      <w:tr>
        <w:trPr>
          <w:trHeight w:val="397"/>
        </w:trPr>
        <w:tc>
          <w:tcPr>
            <w:tcW w:w="5820" w:type="dxa"/>
            <w:vAlign w:val="bottom"/>
          </w:tcPr>
          <w:p>
            <w:pPr>
              <w:jc w:val="center"/>
              <w:ind w:right="3159"/>
              <w:spacing w:after="0"/>
              <w:rPr>
                <w:sz w:val="20"/>
                <w:szCs w:val="20"/>
                <w:color w:val="auto"/>
              </w:rPr>
            </w:pPr>
            <w:r>
              <w:rPr>
                <w:rFonts w:ascii="Arial" w:cs="Arial" w:eastAsia="Arial" w:hAnsi="Arial"/>
                <w:sz w:val="16"/>
                <w:szCs w:val="16"/>
                <w:b w:val="1"/>
                <w:bCs w:val="1"/>
                <w:color w:val="auto"/>
                <w:w w:val="93"/>
              </w:rPr>
              <w:t>1801 Augustine Cut-Off</w:t>
            </w:r>
          </w:p>
        </w:tc>
        <w:tc>
          <w:tcPr>
            <w:tcW w:w="1380" w:type="dxa"/>
            <w:vAlign w:val="bottom"/>
          </w:tcPr>
          <w:p>
            <w:pPr>
              <w:spacing w:after="0"/>
              <w:rPr>
                <w:sz w:val="24"/>
                <w:szCs w:val="24"/>
                <w:color w:val="auto"/>
              </w:rPr>
            </w:pPr>
          </w:p>
        </w:tc>
      </w:tr>
      <w:tr>
        <w:trPr>
          <w:trHeight w:val="207"/>
        </w:trPr>
        <w:tc>
          <w:tcPr>
            <w:tcW w:w="5820" w:type="dxa"/>
            <w:vAlign w:val="bottom"/>
          </w:tcPr>
          <w:p>
            <w:pPr>
              <w:jc w:val="center"/>
              <w:ind w:right="3159"/>
              <w:spacing w:after="0"/>
              <w:rPr>
                <w:sz w:val="20"/>
                <w:szCs w:val="20"/>
                <w:color w:val="auto"/>
              </w:rPr>
            </w:pPr>
            <w:r>
              <w:rPr>
                <w:rFonts w:ascii="Arial" w:cs="Arial" w:eastAsia="Arial" w:hAnsi="Arial"/>
                <w:sz w:val="16"/>
                <w:szCs w:val="16"/>
                <w:b w:val="1"/>
                <w:bCs w:val="1"/>
                <w:color w:val="auto"/>
                <w:w w:val="96"/>
              </w:rPr>
              <w:t>Wilmington, DE 19803</w:t>
            </w:r>
          </w:p>
        </w:tc>
        <w:tc>
          <w:tcPr>
            <w:tcW w:w="1380" w:type="dxa"/>
            <w:vAlign w:val="bottom"/>
          </w:tcPr>
          <w:p>
            <w:pPr>
              <w:jc w:val="right"/>
              <w:ind w:right="319"/>
              <w:spacing w:after="0"/>
              <w:rPr>
                <w:sz w:val="20"/>
                <w:szCs w:val="20"/>
                <w:color w:val="auto"/>
              </w:rPr>
            </w:pPr>
            <w:r>
              <w:rPr>
                <w:rFonts w:ascii="Arial" w:cs="Arial" w:eastAsia="Arial" w:hAnsi="Arial"/>
                <w:sz w:val="16"/>
                <w:szCs w:val="16"/>
                <w:b w:val="1"/>
                <w:bCs w:val="1"/>
                <w:color w:val="auto"/>
              </w:rPr>
              <w:t>19803</w:t>
            </w:r>
          </w:p>
        </w:tc>
      </w:tr>
      <w:tr>
        <w:trPr>
          <w:trHeight w:val="206"/>
        </w:trPr>
        <w:tc>
          <w:tcPr>
            <w:tcW w:w="5820" w:type="dxa"/>
            <w:vAlign w:val="bottom"/>
          </w:tcPr>
          <w:p>
            <w:pPr>
              <w:jc w:val="center"/>
              <w:ind w:right="3159"/>
              <w:spacing w:after="0"/>
              <w:rPr>
                <w:sz w:val="20"/>
                <w:szCs w:val="20"/>
                <w:color w:val="auto"/>
              </w:rPr>
            </w:pPr>
            <w:r>
              <w:rPr>
                <w:rFonts w:ascii="Arial" w:cs="Arial" w:eastAsia="Arial" w:hAnsi="Arial"/>
                <w:sz w:val="16"/>
                <w:szCs w:val="16"/>
                <w:color w:val="auto"/>
                <w:w w:val="94"/>
              </w:rPr>
              <w:t>(Address of principal executive offices)</w:t>
            </w:r>
          </w:p>
        </w:tc>
        <w:tc>
          <w:tcPr>
            <w:tcW w:w="1380" w:type="dxa"/>
            <w:vAlign w:val="bottom"/>
          </w:tcPr>
          <w:p>
            <w:pPr>
              <w:jc w:val="center"/>
              <w:ind w:left="59"/>
              <w:spacing w:after="0"/>
              <w:rPr>
                <w:sz w:val="20"/>
                <w:szCs w:val="20"/>
                <w:color w:val="auto"/>
              </w:rPr>
            </w:pPr>
            <w:r>
              <w:rPr>
                <w:rFonts w:ascii="Arial" w:cs="Arial" w:eastAsia="Arial" w:hAnsi="Arial"/>
                <w:sz w:val="16"/>
                <w:szCs w:val="16"/>
                <w:color w:val="auto"/>
                <w:w w:val="95"/>
              </w:rPr>
              <w:t>(Zip Code)</w:t>
            </w:r>
          </w:p>
        </w:tc>
      </w:tr>
      <w:tr>
        <w:trPr>
          <w:trHeight w:val="347"/>
        </w:trPr>
        <w:tc>
          <w:tcPr>
            <w:tcW w:w="5820" w:type="dxa"/>
            <w:vAlign w:val="bottom"/>
          </w:tcPr>
          <w:p>
            <w:pPr>
              <w:jc w:val="right"/>
              <w:ind w:right="1299"/>
              <w:spacing w:after="0"/>
              <w:rPr>
                <w:sz w:val="20"/>
                <w:szCs w:val="20"/>
                <w:color w:val="auto"/>
              </w:rPr>
            </w:pPr>
            <w:r>
              <w:rPr>
                <w:rFonts w:ascii="Arial" w:cs="Arial" w:eastAsia="Arial" w:hAnsi="Arial"/>
                <w:sz w:val="16"/>
                <w:szCs w:val="16"/>
                <w:b w:val="1"/>
                <w:bCs w:val="1"/>
                <w:color w:val="auto"/>
              </w:rPr>
              <w:t>(302) 498-6700</w:t>
            </w:r>
          </w:p>
        </w:tc>
        <w:tc>
          <w:tcPr>
            <w:tcW w:w="1380" w:type="dxa"/>
            <w:vAlign w:val="bottom"/>
          </w:tcPr>
          <w:p>
            <w:pPr>
              <w:spacing w:after="0"/>
              <w:rPr>
                <w:sz w:val="24"/>
                <w:szCs w:val="24"/>
                <w:color w:val="auto"/>
              </w:rPr>
            </w:pPr>
          </w:p>
        </w:tc>
      </w:tr>
      <w:tr>
        <w:trPr>
          <w:trHeight w:val="206"/>
        </w:trPr>
        <w:tc>
          <w:tcPr>
            <w:tcW w:w="5820" w:type="dxa"/>
            <w:vAlign w:val="bottom"/>
          </w:tcPr>
          <w:p>
            <w:pPr>
              <w:jc w:val="center"/>
              <w:ind w:left="1979"/>
              <w:spacing w:after="0"/>
              <w:rPr>
                <w:sz w:val="20"/>
                <w:szCs w:val="20"/>
                <w:color w:val="auto"/>
              </w:rPr>
            </w:pPr>
            <w:r>
              <w:rPr>
                <w:rFonts w:ascii="Arial" w:cs="Arial" w:eastAsia="Arial" w:hAnsi="Arial"/>
                <w:sz w:val="16"/>
                <w:szCs w:val="16"/>
                <w:color w:val="auto"/>
                <w:w w:val="91"/>
              </w:rPr>
              <w:t>(Registrant’s telephone number, including area code)</w:t>
            </w:r>
          </w:p>
        </w:tc>
        <w:tc>
          <w:tcPr>
            <w:tcW w:w="1380" w:type="dxa"/>
            <w:vAlign w:val="bottom"/>
          </w:tcPr>
          <w:p>
            <w:pPr>
              <w:spacing w:after="0"/>
              <w:rPr>
                <w:sz w:val="17"/>
                <w:szCs w:val="17"/>
                <w:color w:val="auto"/>
              </w:rPr>
            </w:pPr>
          </w:p>
        </w:tc>
      </w:tr>
    </w:tbl>
    <w:p>
      <w:pPr>
        <w:spacing w:after="0" w:line="145" w:lineRule="exact"/>
        <w:rPr>
          <w:sz w:val="24"/>
          <w:szCs w:val="24"/>
          <w:color w:val="auto"/>
        </w:rPr>
      </w:pPr>
    </w:p>
    <w:p>
      <w:pPr>
        <w:jc w:val="both"/>
        <w:ind w:firstLine="324"/>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128" w:lineRule="exact"/>
        <w:rPr>
          <w:sz w:val="24"/>
          <w:szCs w:val="24"/>
          <w:color w:val="auto"/>
        </w:rPr>
      </w:pPr>
    </w:p>
    <w:p>
      <w:pPr>
        <w:jc w:val="both"/>
        <w:ind w:firstLine="324"/>
        <w:spacing w:after="0" w:line="210"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128" w:lineRule="exact"/>
        <w:rPr>
          <w:sz w:val="24"/>
          <w:szCs w:val="24"/>
          <w:color w:val="auto"/>
        </w:rPr>
      </w:pPr>
    </w:p>
    <w:p>
      <w:pPr>
        <w:jc w:val="both"/>
        <w:ind w:firstLine="324"/>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0" w:lineRule="exact"/>
        <w:rPr>
          <w:sz w:val="24"/>
          <w:szCs w:val="24"/>
          <w:color w:val="auto"/>
        </w:rPr>
      </w:pPr>
    </w:p>
    <w:tbl>
      <w:tblPr>
        <w:tblLayout w:type="fixed"/>
        <w:tblInd w:w="1040" w:type="dxa"/>
        <w:tblCellMar>
          <w:top w:w="0" w:type="dxa"/>
          <w:left w:w="0" w:type="dxa"/>
          <w:bottom w:w="0" w:type="dxa"/>
          <w:right w:w="0" w:type="dxa"/>
        </w:tblCellMar>
      </w:tblPr>
      <w:tr>
        <w:trPr>
          <w:trHeight w:val="254"/>
        </w:trPr>
        <w:tc>
          <w:tcPr>
            <w:tcW w:w="4420" w:type="dxa"/>
            <w:vAlign w:val="bottom"/>
          </w:tcPr>
          <w:p>
            <w:pPr>
              <w:jc w:val="center"/>
              <w:ind w:right="1339"/>
              <w:spacing w:after="0" w:line="184" w:lineRule="exact"/>
              <w:rPr>
                <w:sz w:val="20"/>
                <w:szCs w:val="20"/>
                <w:color w:val="auto"/>
              </w:rPr>
            </w:pPr>
            <w:r>
              <w:rPr>
                <w:rFonts w:ascii="Arial" w:cs="Arial" w:eastAsia="Arial" w:hAnsi="Arial"/>
                <w:sz w:val="16"/>
                <w:szCs w:val="16"/>
                <w:color w:val="auto"/>
                <w:w w:val="91"/>
              </w:rPr>
              <w:t xml:space="preserve">Large accelerated filer </w:t>
            </w:r>
            <w:r>
              <w:rPr>
                <w:rFonts w:ascii="MS PGothic" w:cs="MS PGothic" w:eastAsia="MS PGothic" w:hAnsi="MS PGothic"/>
                <w:sz w:val="16"/>
                <w:szCs w:val="16"/>
                <w:color w:val="auto"/>
                <w:w w:val="91"/>
              </w:rPr>
              <w:t>☒</w:t>
            </w:r>
          </w:p>
        </w:tc>
        <w:tc>
          <w:tcPr>
            <w:tcW w:w="3360" w:type="dxa"/>
            <w:vAlign w:val="bottom"/>
          </w:tcPr>
          <w:p>
            <w:pPr>
              <w:jc w:val="center"/>
              <w:ind w:left="1339"/>
              <w:spacing w:after="0" w:line="184" w:lineRule="exact"/>
              <w:rPr>
                <w:sz w:val="20"/>
                <w:szCs w:val="20"/>
                <w:color w:val="auto"/>
              </w:rPr>
            </w:pPr>
            <w:r>
              <w:rPr>
                <w:rFonts w:ascii="Arial" w:cs="Arial" w:eastAsia="Arial" w:hAnsi="Arial"/>
                <w:sz w:val="16"/>
                <w:szCs w:val="16"/>
                <w:color w:val="auto"/>
                <w:w w:val="93"/>
              </w:rPr>
              <w:t xml:space="preserve">Accelerated filer </w:t>
            </w:r>
            <w:r>
              <w:rPr>
                <w:rFonts w:ascii="MS PGothic" w:cs="MS PGothic" w:eastAsia="MS PGothic" w:hAnsi="MS PGothic"/>
                <w:sz w:val="16"/>
                <w:szCs w:val="16"/>
                <w:color w:val="auto"/>
                <w:w w:val="93"/>
              </w:rPr>
              <w:t>☐</w:t>
            </w:r>
          </w:p>
        </w:tc>
        <w:tc>
          <w:tcPr>
            <w:tcW w:w="0" w:type="dxa"/>
            <w:vAlign w:val="bottom"/>
          </w:tcPr>
          <w:p>
            <w:pPr>
              <w:spacing w:after="0"/>
              <w:rPr>
                <w:sz w:val="1"/>
                <w:szCs w:val="1"/>
                <w:color w:val="auto"/>
              </w:rPr>
            </w:pPr>
          </w:p>
        </w:tc>
      </w:tr>
      <w:tr>
        <w:trPr>
          <w:trHeight w:val="383"/>
        </w:trPr>
        <w:tc>
          <w:tcPr>
            <w:tcW w:w="4420" w:type="dxa"/>
            <w:vAlign w:val="bottom"/>
          </w:tcPr>
          <w:p>
            <w:pPr>
              <w:jc w:val="center"/>
              <w:ind w:right="1339"/>
              <w:spacing w:after="0" w:line="184" w:lineRule="exact"/>
              <w:rPr>
                <w:sz w:val="20"/>
                <w:szCs w:val="20"/>
                <w:color w:val="auto"/>
              </w:rPr>
            </w:pPr>
            <w:r>
              <w:rPr>
                <w:rFonts w:ascii="Arial" w:cs="Arial" w:eastAsia="Arial" w:hAnsi="Arial"/>
                <w:sz w:val="16"/>
                <w:szCs w:val="16"/>
                <w:color w:val="auto"/>
                <w:w w:val="92"/>
              </w:rPr>
              <w:t xml:space="preserve">Non-accelerated filer </w:t>
            </w:r>
            <w:r>
              <w:rPr>
                <w:rFonts w:ascii="MS PGothic" w:cs="MS PGothic" w:eastAsia="MS PGothic" w:hAnsi="MS PGothic"/>
                <w:sz w:val="16"/>
                <w:szCs w:val="16"/>
                <w:color w:val="auto"/>
                <w:w w:val="92"/>
              </w:rPr>
              <w:t>☐</w:t>
            </w:r>
          </w:p>
        </w:tc>
        <w:tc>
          <w:tcPr>
            <w:tcW w:w="3360" w:type="dxa"/>
            <w:vAlign w:val="bottom"/>
          </w:tcPr>
          <w:p>
            <w:pPr>
              <w:jc w:val="center"/>
              <w:ind w:left="1319"/>
              <w:spacing w:after="0" w:line="184" w:lineRule="exact"/>
              <w:rPr>
                <w:sz w:val="20"/>
                <w:szCs w:val="20"/>
                <w:color w:val="auto"/>
              </w:rPr>
            </w:pPr>
            <w:r>
              <w:rPr>
                <w:rFonts w:ascii="Arial" w:cs="Arial" w:eastAsia="Arial" w:hAnsi="Arial"/>
                <w:sz w:val="16"/>
                <w:szCs w:val="16"/>
                <w:color w:val="auto"/>
                <w:w w:val="92"/>
              </w:rPr>
              <w:t xml:space="preserve">Smaller reporting company </w:t>
            </w:r>
            <w:r>
              <w:rPr>
                <w:rFonts w:ascii="MS PGothic" w:cs="MS PGothic" w:eastAsia="MS PGothic" w:hAnsi="MS PGothic"/>
                <w:sz w:val="16"/>
                <w:szCs w:val="16"/>
                <w:color w:val="auto"/>
                <w:w w:val="92"/>
              </w:rPr>
              <w:t>☐</w:t>
            </w:r>
          </w:p>
        </w:tc>
        <w:tc>
          <w:tcPr>
            <w:tcW w:w="0" w:type="dxa"/>
            <w:vAlign w:val="bottom"/>
          </w:tcPr>
          <w:p>
            <w:pPr>
              <w:spacing w:after="0"/>
              <w:rPr>
                <w:sz w:val="1"/>
                <w:szCs w:val="1"/>
                <w:color w:val="auto"/>
              </w:rPr>
            </w:pPr>
          </w:p>
        </w:tc>
      </w:tr>
      <w:tr>
        <w:trPr>
          <w:trHeight w:val="206"/>
        </w:trPr>
        <w:tc>
          <w:tcPr>
            <w:tcW w:w="4420" w:type="dxa"/>
            <w:vAlign w:val="bottom"/>
          </w:tcPr>
          <w:p>
            <w:pPr>
              <w:jc w:val="center"/>
              <w:ind w:right="1319"/>
              <w:spacing w:after="0"/>
              <w:rPr>
                <w:sz w:val="20"/>
                <w:szCs w:val="20"/>
                <w:color w:val="auto"/>
              </w:rPr>
            </w:pPr>
            <w:r>
              <w:rPr>
                <w:rFonts w:ascii="Arial" w:cs="Arial" w:eastAsia="Arial" w:hAnsi="Arial"/>
                <w:sz w:val="16"/>
                <w:szCs w:val="16"/>
                <w:color w:val="auto"/>
                <w:w w:val="93"/>
              </w:rPr>
              <w:t>(Do not check if a smaller reporting company)</w:t>
            </w:r>
          </w:p>
        </w:tc>
        <w:tc>
          <w:tcPr>
            <w:tcW w:w="3360" w:type="dxa"/>
            <w:vAlign w:val="bottom"/>
            <w:vMerge w:val="restart"/>
          </w:tcPr>
          <w:p>
            <w:pPr>
              <w:jc w:val="center"/>
              <w:ind w:left="1319"/>
              <w:spacing w:after="0" w:line="184" w:lineRule="exact"/>
              <w:rPr>
                <w:sz w:val="20"/>
                <w:szCs w:val="20"/>
                <w:color w:val="auto"/>
              </w:rPr>
            </w:pPr>
            <w:r>
              <w:rPr>
                <w:rFonts w:ascii="Arial" w:cs="Arial" w:eastAsia="Arial" w:hAnsi="Arial"/>
                <w:sz w:val="16"/>
                <w:szCs w:val="16"/>
                <w:color w:val="auto"/>
                <w:w w:val="92"/>
              </w:rPr>
              <w:t xml:space="preserve">Emerging growth company </w:t>
            </w:r>
            <w:r>
              <w:rPr>
                <w:rFonts w:ascii="MS PGothic" w:cs="MS PGothic" w:eastAsia="MS PGothic" w:hAnsi="MS PGothic"/>
                <w:sz w:val="16"/>
                <w:szCs w:val="16"/>
                <w:color w:val="auto"/>
                <w:w w:val="92"/>
              </w:rPr>
              <w:t>☐</w:t>
            </w:r>
          </w:p>
        </w:tc>
        <w:tc>
          <w:tcPr>
            <w:tcW w:w="0" w:type="dxa"/>
            <w:vAlign w:val="bottom"/>
          </w:tcPr>
          <w:p>
            <w:pPr>
              <w:spacing w:after="0"/>
              <w:rPr>
                <w:sz w:val="1"/>
                <w:szCs w:val="1"/>
                <w:color w:val="auto"/>
              </w:rPr>
            </w:pPr>
          </w:p>
        </w:tc>
      </w:tr>
      <w:tr>
        <w:trPr>
          <w:trHeight w:val="221"/>
        </w:trPr>
        <w:tc>
          <w:tcPr>
            <w:tcW w:w="4420" w:type="dxa"/>
            <w:vAlign w:val="bottom"/>
          </w:tcPr>
          <w:p>
            <w:pPr>
              <w:spacing w:after="0"/>
              <w:rPr>
                <w:sz w:val="19"/>
                <w:szCs w:val="19"/>
                <w:color w:val="auto"/>
              </w:rPr>
            </w:pPr>
          </w:p>
        </w:tc>
        <w:tc>
          <w:tcPr>
            <w:tcW w:w="33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140" w:lineRule="exact"/>
        <w:rPr>
          <w:sz w:val="24"/>
          <w:szCs w:val="24"/>
          <w:color w:val="auto"/>
        </w:rPr>
      </w:pPr>
    </w:p>
    <w:p>
      <w:pPr>
        <w:ind w:right="120" w:firstLine="324"/>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97" w:lineRule="exact"/>
        <w:rPr>
          <w:sz w:val="24"/>
          <w:szCs w:val="24"/>
          <w:color w:val="auto"/>
        </w:rPr>
      </w:pPr>
    </w:p>
    <w:p>
      <w:pPr>
        <w:ind w:left="320" w:right="1760"/>
        <w:spacing w:after="0" w:line="294"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w:t>
      </w:r>
      <w:r>
        <w:rPr>
          <w:rFonts w:ascii="MS PGothic" w:cs="MS PGothic" w:eastAsia="MS PGothic" w:hAnsi="MS PGothic"/>
          <w:sz w:val="14"/>
          <w:szCs w:val="14"/>
          <w:color w:val="auto"/>
        </w:rPr>
        <w:t>☐</w:t>
      </w:r>
      <w:r>
        <w:rPr>
          <w:rFonts w:ascii="Arial" w:cs="Arial" w:eastAsia="Arial" w:hAnsi="Arial"/>
          <w:sz w:val="14"/>
          <w:szCs w:val="14"/>
          <w:color w:val="auto"/>
        </w:rPr>
        <w:t xml:space="preserve">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The number of outstanding shares of the registrant’s Common Stock, $.001 par value, was 212,577,449 as of July 24,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116205</wp:posOffset>
            </wp:positionV>
            <wp:extent cx="66122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141605</wp:posOffset>
            </wp:positionV>
            <wp:extent cx="6612255"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12255" cy="342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536575</wp:posOffset>
            </wp:positionV>
            <wp:extent cx="661225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12255" cy="17145"/>
                    </a:xfrm>
                    <a:prstGeom prst="rect">
                      <a:avLst/>
                    </a:prstGeom>
                    <a:noFill/>
                  </pic:spPr>
                </pic:pic>
              </a:graphicData>
            </a:graphic>
          </wp:anchor>
        </w:drawing>
      </w:r>
    </w:p>
    <w:p>
      <w:pPr>
        <w:sectPr>
          <w:pgSz w:w="11900" w:h="16838" w:orient="portrait"/>
          <w:cols w:equalWidth="0" w:num="1">
            <w:col w:w="10400"/>
          </w:cols>
          <w:pgMar w:left="760" w:top="226" w:right="7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8060" w:type="dxa"/>
            <w:vAlign w:val="bottom"/>
            <w:gridSpan w:val="22"/>
          </w:tcPr>
          <w:p>
            <w:pPr>
              <w:spacing w:after="0"/>
              <w:rPr>
                <w:rFonts w:ascii="Arial" w:cs="Arial" w:eastAsia="Arial" w:hAnsi="Arial"/>
                <w:sz w:val="18"/>
                <w:szCs w:val="18"/>
                <w:color w:val="0563C1"/>
              </w:rPr>
            </w:pPr>
            <w:hyperlink w:anchor="page2">
              <w:r>
                <w:rPr>
                  <w:rFonts w:ascii="Arial" w:cs="Arial" w:eastAsia="Arial" w:hAnsi="Arial"/>
                  <w:sz w:val="18"/>
                  <w:szCs w:val="18"/>
                  <w:color w:val="0563C1"/>
                </w:rPr>
                <w:t>Table of Contents</w:t>
              </w:r>
            </w:hyperlink>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63"/>
        </w:trPr>
        <w:tc>
          <w:tcPr>
            <w:tcW w:w="540" w:type="dxa"/>
            <w:vAlign w:val="bottom"/>
            <w:tcBorders>
              <w:top w:val="single" w:sz="8" w:color="0563C1"/>
            </w:tcBorders>
          </w:tcPr>
          <w:p>
            <w:pPr>
              <w:spacing w:after="0"/>
              <w:rPr>
                <w:sz w:val="24"/>
                <w:szCs w:val="24"/>
                <w:color w:val="auto"/>
              </w:rPr>
            </w:pPr>
          </w:p>
        </w:tc>
        <w:tc>
          <w:tcPr>
            <w:tcW w:w="40" w:type="dxa"/>
            <w:vAlign w:val="bottom"/>
            <w:tcBorders>
              <w:top w:val="single" w:sz="8" w:color="0563C1"/>
            </w:tcBorders>
          </w:tcPr>
          <w:p>
            <w:pPr>
              <w:spacing w:after="0"/>
              <w:rPr>
                <w:sz w:val="24"/>
                <w:szCs w:val="24"/>
                <w:color w:val="auto"/>
              </w:rPr>
            </w:pPr>
          </w:p>
        </w:tc>
        <w:tc>
          <w:tcPr>
            <w:tcW w:w="80" w:type="dxa"/>
            <w:vAlign w:val="bottom"/>
            <w:tcBorders>
              <w:top w:val="single" w:sz="8" w:color="0563C1"/>
            </w:tcBorders>
          </w:tcPr>
          <w:p>
            <w:pPr>
              <w:spacing w:after="0"/>
              <w:rPr>
                <w:sz w:val="24"/>
                <w:szCs w:val="24"/>
                <w:color w:val="auto"/>
              </w:rPr>
            </w:pPr>
          </w:p>
        </w:tc>
        <w:tc>
          <w:tcPr>
            <w:tcW w:w="20" w:type="dxa"/>
            <w:vAlign w:val="bottom"/>
            <w:tcBorders>
              <w:top w:val="single" w:sz="8" w:color="0563C1"/>
            </w:tcBorders>
          </w:tcPr>
          <w:p>
            <w:pPr>
              <w:spacing w:after="0"/>
              <w:rPr>
                <w:sz w:val="24"/>
                <w:szCs w:val="24"/>
                <w:color w:val="auto"/>
              </w:rPr>
            </w:pPr>
          </w:p>
        </w:tc>
        <w:tc>
          <w:tcPr>
            <w:tcW w:w="60" w:type="dxa"/>
            <w:vAlign w:val="bottom"/>
            <w:tcBorders>
              <w:top w:val="single" w:sz="8" w:color="0563C1"/>
            </w:tcBorders>
          </w:tcPr>
          <w:p>
            <w:pPr>
              <w:spacing w:after="0"/>
              <w:rPr>
                <w:sz w:val="24"/>
                <w:szCs w:val="24"/>
                <w:color w:val="auto"/>
              </w:rPr>
            </w:pPr>
          </w:p>
        </w:tc>
        <w:tc>
          <w:tcPr>
            <w:tcW w:w="60" w:type="dxa"/>
            <w:vAlign w:val="bottom"/>
            <w:tcBorders>
              <w:top w:val="single" w:sz="8" w:color="0563C1"/>
            </w:tcBorders>
          </w:tcPr>
          <w:p>
            <w:pPr>
              <w:spacing w:after="0"/>
              <w:rPr>
                <w:sz w:val="24"/>
                <w:szCs w:val="24"/>
                <w:color w:val="auto"/>
              </w:rPr>
            </w:pPr>
          </w:p>
        </w:tc>
        <w:tc>
          <w:tcPr>
            <w:tcW w:w="480" w:type="dxa"/>
            <w:vAlign w:val="bottom"/>
            <w:tcBorders>
              <w:top w:val="single" w:sz="8" w:color="0563C1"/>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940" w:type="dxa"/>
            <w:vAlign w:val="bottom"/>
            <w:gridSpan w:val="8"/>
          </w:tcPr>
          <w:p>
            <w:pPr>
              <w:jc w:val="center"/>
              <w:ind w:right="2120"/>
              <w:spacing w:after="0"/>
              <w:rPr>
                <w:sz w:val="20"/>
                <w:szCs w:val="20"/>
                <w:color w:val="auto"/>
              </w:rPr>
            </w:pPr>
            <w:r>
              <w:rPr>
                <w:rFonts w:ascii="Arial" w:cs="Arial" w:eastAsia="Arial" w:hAnsi="Arial"/>
                <w:sz w:val="18"/>
                <w:szCs w:val="18"/>
                <w:b w:val="1"/>
                <w:bCs w:val="1"/>
                <w:color w:val="auto"/>
              </w:rPr>
              <w:t>INCYTE CORPORATION</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360" w:type="dxa"/>
            <w:vAlign w:val="bottom"/>
            <w:gridSpan w:val="7"/>
          </w:tcPr>
          <w:p>
            <w:pPr>
              <w:jc w:val="center"/>
              <w:ind w:right="2700"/>
              <w:spacing w:after="0"/>
              <w:rPr>
                <w:sz w:val="20"/>
                <w:szCs w:val="20"/>
                <w:color w:val="auto"/>
              </w:rPr>
            </w:pPr>
            <w:r>
              <w:rPr>
                <w:rFonts w:ascii="Arial" w:cs="Arial" w:eastAsia="Arial" w:hAnsi="Arial"/>
                <w:sz w:val="18"/>
                <w:szCs w:val="18"/>
                <w:b w:val="1"/>
                <w:bCs w:val="1"/>
                <w:color w:val="auto"/>
              </w:rPr>
              <w:t>INDEX</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8060" w:type="dxa"/>
            <w:vAlign w:val="bottom"/>
            <w:gridSpan w:val="22"/>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w:t>
              </w:r>
            </w:hyperlink>
            <w:r>
              <w:rPr>
                <w:rFonts w:ascii="Arial" w:cs="Arial" w:eastAsia="Arial" w:hAnsi="Arial"/>
                <w:sz w:val="18"/>
                <w:szCs w:val="18"/>
                <w:b w:val="1"/>
                <w:bCs w:val="1"/>
                <w:color w:val="000000"/>
              </w:rPr>
              <w:t>:</w:t>
            </w:r>
            <w:r>
              <w:rPr>
                <w:rFonts w:ascii="Arial" w:cs="Arial" w:eastAsia="Arial" w:hAnsi="Arial"/>
                <w:sz w:val="18"/>
                <w:szCs w:val="18"/>
                <w:b w:val="1"/>
                <w:bCs w:val="1"/>
                <w:color w:val="0000EE"/>
              </w:rPr>
              <w:t xml:space="preserve"> </w:t>
            </w:r>
            <w:hyperlink w:anchor="page3">
              <w:r>
                <w:rPr>
                  <w:rFonts w:ascii="Arial" w:cs="Arial" w:eastAsia="Arial" w:hAnsi="Arial"/>
                  <w:sz w:val="18"/>
                  <w:szCs w:val="18"/>
                  <w:b w:val="1"/>
                  <w:bCs w:val="1"/>
                  <w:color w:val="0000EE"/>
                </w:rPr>
                <w:t>FINANCIAL INFORMATION</w:t>
              </w:r>
            </w:hyperlink>
          </w:p>
        </w:tc>
        <w:tc>
          <w:tcPr>
            <w:tcW w:w="10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12"/>
        </w:trPr>
        <w:tc>
          <w:tcPr>
            <w:tcW w:w="580" w:type="dxa"/>
            <w:vAlign w:val="bottom"/>
            <w:tcBorders>
              <w:top w:val="single" w:sz="8" w:color="0000EE"/>
            </w:tcBorders>
            <w:gridSpan w:val="2"/>
          </w:tcPr>
          <w:p>
            <w:pPr>
              <w:spacing w:after="0"/>
              <w:rPr>
                <w:rFonts w:ascii="Arial" w:cs="Arial" w:eastAsia="Arial" w:hAnsi="Arial"/>
                <w:sz w:val="18"/>
                <w:szCs w:val="18"/>
                <w:b w:val="1"/>
                <w:bCs w:val="1"/>
                <w:color w:val="0000EE"/>
                <w:w w:val="98"/>
              </w:rPr>
            </w:pPr>
            <w:hyperlink w:anchor="page3">
              <w:r>
                <w:rPr>
                  <w:rFonts w:ascii="Arial" w:cs="Arial" w:eastAsia="Arial" w:hAnsi="Arial"/>
                  <w:sz w:val="18"/>
                  <w:szCs w:val="18"/>
                  <w:b w:val="1"/>
                  <w:bCs w:val="1"/>
                  <w:color w:val="0000EE"/>
                  <w:w w:val="98"/>
                </w:rPr>
                <w:t>Item 1.</w:t>
              </w:r>
            </w:hyperlink>
          </w:p>
        </w:tc>
        <w:tc>
          <w:tcPr>
            <w:tcW w:w="160" w:type="dxa"/>
            <w:vAlign w:val="bottom"/>
            <w:gridSpan w:val="3"/>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320" w:type="dxa"/>
            <w:vAlign w:val="bottom"/>
            <w:tcBorders>
              <w:top w:val="single" w:sz="8" w:color="0000EE"/>
            </w:tcBorders>
            <w:gridSpan w:val="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4940" w:type="dxa"/>
            <w:vAlign w:val="bottom"/>
            <w:gridSpan w:val="8"/>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60" w:type="dxa"/>
            <w:vAlign w:val="bottom"/>
            <w:gridSpan w:val="16"/>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w:t>
              </w:r>
            </w:hyperlink>
          </w:p>
        </w:tc>
        <w:tc>
          <w:tcPr>
            <w:tcW w:w="10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40" w:type="dxa"/>
            <w:vAlign w:val="bottom"/>
            <w:tcBorders>
              <w:bottom w:val="single" w:sz="8" w:color="0000EE"/>
            </w:tcBorders>
            <w:gridSpan w:val="10"/>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Statements of Operations</w:t>
              </w:r>
            </w:hyperlink>
          </w:p>
        </w:tc>
        <w:tc>
          <w:tcPr>
            <w:tcW w:w="3620" w:type="dxa"/>
            <w:vAlign w:val="bottom"/>
            <w:gridSpan w:val="6"/>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412"/>
        </w:trPr>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60" w:type="dxa"/>
            <w:vAlign w:val="bottom"/>
            <w:gridSpan w:val="16"/>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Comprehensive Income (Loss)</w:t>
              </w:r>
            </w:hyperlink>
          </w:p>
        </w:tc>
        <w:tc>
          <w:tcPr>
            <w:tcW w:w="10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412"/>
        </w:trPr>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60" w:type="dxa"/>
            <w:vAlign w:val="bottom"/>
            <w:tcBorders>
              <w:top w:val="single" w:sz="8" w:color="0000EE"/>
            </w:tcBorders>
            <w:gridSpan w:val="14"/>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Cash Flows</w:t>
              </w:r>
            </w:hyperlink>
          </w:p>
        </w:tc>
        <w:tc>
          <w:tcPr>
            <w:tcW w:w="2200" w:type="dxa"/>
            <w:vAlign w:val="bottom"/>
            <w:gridSpan w:val="2"/>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60" w:type="dxa"/>
            <w:vAlign w:val="bottom"/>
            <w:gridSpan w:val="4"/>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60" w:type="dxa"/>
            <w:vAlign w:val="bottom"/>
            <w:gridSpan w:val="16"/>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Condensed Consolidated Financial Statements</w:t>
              </w:r>
            </w:hyperlink>
          </w:p>
        </w:tc>
        <w:tc>
          <w:tcPr>
            <w:tcW w:w="100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740" w:type="dxa"/>
            <w:vAlign w:val="bottom"/>
            <w:gridSpan w:val="5"/>
            <w:vMerge w:val="restart"/>
          </w:tcPr>
          <w:p>
            <w:pPr>
              <w:spacing w:after="0"/>
              <w:rPr>
                <w:rFonts w:ascii="Arial" w:cs="Arial" w:eastAsia="Arial" w:hAnsi="Arial"/>
                <w:sz w:val="18"/>
                <w:szCs w:val="18"/>
                <w:b w:val="1"/>
                <w:bCs w:val="1"/>
                <w:color w:val="0000EE"/>
              </w:rPr>
            </w:pPr>
            <w:hyperlink w:anchor="page36">
              <w:r>
                <w:rPr>
                  <w:rFonts w:ascii="Arial" w:cs="Arial" w:eastAsia="Arial" w:hAnsi="Arial"/>
                  <w:sz w:val="18"/>
                  <w:szCs w:val="18"/>
                  <w:b w:val="1"/>
                  <w:bCs w:val="1"/>
                  <w:color w:val="0000EE"/>
                </w:rPr>
                <w:t>Item 2.</w:t>
              </w:r>
            </w:hyperlink>
          </w:p>
        </w:tc>
        <w:tc>
          <w:tcPr>
            <w:tcW w:w="6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940" w:type="dxa"/>
            <w:vAlign w:val="bottom"/>
            <w:gridSpan w:val="5"/>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40" w:type="dxa"/>
            <w:vAlign w:val="bottom"/>
            <w:gridSpan w:val="5"/>
            <w:vMerge w:val="continue"/>
          </w:tcPr>
          <w:p>
            <w:pPr>
              <w:spacing w:after="0"/>
              <w:rPr>
                <w:sz w:val="24"/>
                <w:szCs w:val="24"/>
                <w:color w:val="auto"/>
              </w:rPr>
            </w:pPr>
          </w:p>
        </w:tc>
        <w:tc>
          <w:tcPr>
            <w:tcW w:w="60" w:type="dxa"/>
            <w:vAlign w:val="bottom"/>
          </w:tcPr>
          <w:p>
            <w:pPr>
              <w:spacing w:after="0"/>
              <w:rPr>
                <w:sz w:val="24"/>
                <w:szCs w:val="24"/>
                <w:color w:val="auto"/>
              </w:rPr>
            </w:pPr>
          </w:p>
        </w:tc>
        <w:tc>
          <w:tcPr>
            <w:tcW w:w="7260" w:type="dxa"/>
            <w:vAlign w:val="bottom"/>
            <w:gridSpan w:val="16"/>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Management’s Discussion and Analysis of Financial Condition and Results of Operations</w:t>
              </w:r>
            </w:hyperlink>
          </w:p>
        </w:tc>
        <w:tc>
          <w:tcPr>
            <w:tcW w:w="100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60" w:type="dxa"/>
            <w:vAlign w:val="bottom"/>
            <w:gridSpan w:val="6"/>
            <w:shd w:val="clear" w:color="auto" w:fill="0000EE"/>
          </w:tcPr>
          <w:p>
            <w:pPr>
              <w:spacing w:after="0" w:line="20" w:lineRule="exact"/>
              <w:rPr>
                <w:sz w:val="1"/>
                <w:szCs w:val="1"/>
                <w:color w:val="auto"/>
              </w:rPr>
            </w:pPr>
          </w:p>
        </w:tc>
        <w:tc>
          <w:tcPr>
            <w:tcW w:w="2160" w:type="dxa"/>
            <w:vAlign w:val="bottom"/>
            <w:gridSpan w:val="2"/>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40" w:type="dxa"/>
            <w:vAlign w:val="bottom"/>
            <w:gridSpan w:val="5"/>
          </w:tcPr>
          <w:p>
            <w:pPr>
              <w:spacing w:after="0"/>
              <w:rPr>
                <w:rFonts w:ascii="Arial" w:cs="Arial" w:eastAsia="Arial" w:hAnsi="Arial"/>
                <w:sz w:val="18"/>
                <w:szCs w:val="18"/>
                <w:b w:val="1"/>
                <w:bCs w:val="1"/>
                <w:color w:val="0000EE"/>
              </w:rPr>
            </w:pPr>
            <w:hyperlink w:anchor="page64">
              <w:r>
                <w:rPr>
                  <w:rFonts w:ascii="Arial" w:cs="Arial" w:eastAsia="Arial" w:hAnsi="Arial"/>
                  <w:sz w:val="18"/>
                  <w:szCs w:val="18"/>
                  <w:b w:val="1"/>
                  <w:bCs w:val="1"/>
                  <w:color w:val="0000EE"/>
                </w:rPr>
                <w:t>Item 3.</w:t>
              </w:r>
            </w:hyperlink>
          </w:p>
        </w:tc>
        <w:tc>
          <w:tcPr>
            <w:tcW w:w="60" w:type="dxa"/>
            <w:vAlign w:val="bottom"/>
          </w:tcPr>
          <w:p>
            <w:pPr>
              <w:spacing w:after="0"/>
              <w:rPr>
                <w:sz w:val="24"/>
                <w:szCs w:val="24"/>
                <w:color w:val="auto"/>
              </w:rPr>
            </w:pPr>
          </w:p>
        </w:tc>
        <w:tc>
          <w:tcPr>
            <w:tcW w:w="7260" w:type="dxa"/>
            <w:vAlign w:val="bottom"/>
            <w:gridSpan w:val="16"/>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Quantitative and Qualitative Disclosures about Market Risk</w:t>
              </w:r>
            </w:hyperlink>
          </w:p>
        </w:tc>
        <w:tc>
          <w:tcPr>
            <w:tcW w:w="100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60" w:type="dxa"/>
            <w:vAlign w:val="bottom"/>
            <w:gridSpan w:val="6"/>
            <w:shd w:val="clear" w:color="auto" w:fill="0000EE"/>
          </w:tcPr>
          <w:p>
            <w:pPr>
              <w:spacing w:after="0" w:line="20" w:lineRule="exact"/>
              <w:rPr>
                <w:sz w:val="1"/>
                <w:szCs w:val="1"/>
                <w:color w:val="auto"/>
              </w:rPr>
            </w:pPr>
          </w:p>
        </w:tc>
        <w:tc>
          <w:tcPr>
            <w:tcW w:w="298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40" w:type="dxa"/>
            <w:vAlign w:val="bottom"/>
            <w:gridSpan w:val="5"/>
          </w:tcPr>
          <w:p>
            <w:pPr>
              <w:spacing w:after="0"/>
              <w:rPr>
                <w:rFonts w:ascii="Arial" w:cs="Arial" w:eastAsia="Arial" w:hAnsi="Arial"/>
                <w:sz w:val="18"/>
                <w:szCs w:val="18"/>
                <w:b w:val="1"/>
                <w:bCs w:val="1"/>
                <w:color w:val="0000EE"/>
              </w:rPr>
            </w:pPr>
            <w:hyperlink w:anchor="page64">
              <w:r>
                <w:rPr>
                  <w:rFonts w:ascii="Arial" w:cs="Arial" w:eastAsia="Arial" w:hAnsi="Arial"/>
                  <w:sz w:val="18"/>
                  <w:szCs w:val="18"/>
                  <w:b w:val="1"/>
                  <w:bCs w:val="1"/>
                  <w:color w:val="0000EE"/>
                </w:rPr>
                <w:t>Item 4.</w:t>
              </w:r>
            </w:hyperlink>
          </w:p>
        </w:tc>
        <w:tc>
          <w:tcPr>
            <w:tcW w:w="60" w:type="dxa"/>
            <w:vAlign w:val="bottom"/>
          </w:tcPr>
          <w:p>
            <w:pPr>
              <w:spacing w:after="0"/>
              <w:rPr>
                <w:sz w:val="24"/>
                <w:szCs w:val="24"/>
                <w:color w:val="auto"/>
              </w:rPr>
            </w:pPr>
          </w:p>
        </w:tc>
        <w:tc>
          <w:tcPr>
            <w:tcW w:w="7260" w:type="dxa"/>
            <w:vAlign w:val="bottom"/>
            <w:gridSpan w:val="16"/>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Controls and Procedures</w:t>
              </w:r>
            </w:hyperlink>
          </w:p>
        </w:tc>
        <w:tc>
          <w:tcPr>
            <w:tcW w:w="100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right w:val="single" w:sz="8" w:color="0000EE"/>
            </w:tcBorders>
            <w:gridSpan w:val="2"/>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40" w:type="dxa"/>
            <w:vAlign w:val="bottom"/>
            <w:gridSpan w:val="9"/>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060" w:type="dxa"/>
            <w:vAlign w:val="bottom"/>
            <w:gridSpan w:val="22"/>
          </w:tcPr>
          <w:p>
            <w:pPr>
              <w:spacing w:after="0"/>
              <w:rPr>
                <w:rFonts w:ascii="Arial" w:cs="Arial" w:eastAsia="Arial" w:hAnsi="Arial"/>
                <w:sz w:val="18"/>
                <w:szCs w:val="18"/>
                <w:b w:val="1"/>
                <w:bCs w:val="1"/>
                <w:color w:val="0000EE"/>
              </w:rPr>
            </w:pPr>
            <w:hyperlink w:anchor="page64">
              <w:r>
                <w:rPr>
                  <w:rFonts w:ascii="Arial" w:cs="Arial" w:eastAsia="Arial" w:hAnsi="Arial"/>
                  <w:sz w:val="18"/>
                  <w:szCs w:val="18"/>
                  <w:b w:val="1"/>
                  <w:bCs w:val="1"/>
                  <w:color w:val="0000EE"/>
                </w:rPr>
                <w:t>PART II</w:t>
              </w:r>
            </w:hyperlink>
            <w:r>
              <w:rPr>
                <w:rFonts w:ascii="Arial" w:cs="Arial" w:eastAsia="Arial" w:hAnsi="Arial"/>
                <w:sz w:val="18"/>
                <w:szCs w:val="18"/>
                <w:b w:val="1"/>
                <w:bCs w:val="1"/>
                <w:color w:val="000000"/>
              </w:rPr>
              <w:t>:</w:t>
            </w:r>
            <w:r>
              <w:rPr>
                <w:rFonts w:ascii="Arial" w:cs="Arial" w:eastAsia="Arial" w:hAnsi="Arial"/>
                <w:sz w:val="18"/>
                <w:szCs w:val="18"/>
                <w:b w:val="1"/>
                <w:bCs w:val="1"/>
                <w:color w:val="0000EE"/>
              </w:rPr>
              <w:t xml:space="preserve"> </w:t>
            </w:r>
            <w:hyperlink w:anchor="page64">
              <w:r>
                <w:rPr>
                  <w:rFonts w:ascii="Arial" w:cs="Arial" w:eastAsia="Arial" w:hAnsi="Arial"/>
                  <w:sz w:val="18"/>
                  <w:szCs w:val="18"/>
                  <w:b w:val="1"/>
                  <w:bCs w:val="1"/>
                  <w:color w:val="0000EE"/>
                </w:rPr>
                <w:t>OTHER INFORMATION</w:t>
              </w:r>
            </w:hyperlink>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6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140" w:type="dxa"/>
            <w:vAlign w:val="bottom"/>
            <w:gridSpan w:val="3"/>
            <w:shd w:val="clear" w:color="auto" w:fill="0000EE"/>
          </w:tcPr>
          <w:p>
            <w:pPr>
              <w:spacing w:after="0" w:line="20" w:lineRule="exact"/>
              <w:rPr>
                <w:sz w:val="1"/>
                <w:szCs w:val="1"/>
                <w:color w:val="auto"/>
              </w:rPr>
            </w:pPr>
          </w:p>
        </w:tc>
        <w:tc>
          <w:tcPr>
            <w:tcW w:w="5240" w:type="dxa"/>
            <w:vAlign w:val="bottom"/>
            <w:gridSpan w:val="9"/>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80" w:type="dxa"/>
            <w:vAlign w:val="bottom"/>
            <w:tcBorders>
              <w:bottom w:val="single" w:sz="8" w:color="0000EE"/>
            </w:tcBorders>
            <w:gridSpan w:val="4"/>
          </w:tcPr>
          <w:p>
            <w:pPr>
              <w:spacing w:after="0"/>
              <w:rPr>
                <w:rFonts w:ascii="Arial" w:cs="Arial" w:eastAsia="Arial" w:hAnsi="Arial"/>
                <w:sz w:val="18"/>
                <w:szCs w:val="18"/>
                <w:b w:val="1"/>
                <w:bCs w:val="1"/>
                <w:color w:val="0000EE"/>
                <w:w w:val="94"/>
              </w:rPr>
            </w:pPr>
            <w:hyperlink w:anchor="page64">
              <w:r>
                <w:rPr>
                  <w:rFonts w:ascii="Arial" w:cs="Arial" w:eastAsia="Arial" w:hAnsi="Arial"/>
                  <w:sz w:val="18"/>
                  <w:szCs w:val="18"/>
                  <w:b w:val="1"/>
                  <w:bCs w:val="1"/>
                  <w:color w:val="0000EE"/>
                  <w:w w:val="94"/>
                </w:rPr>
                <w:t>Item 1A.</w:t>
              </w:r>
            </w:hyperlink>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Borders>
              <w:bottom w:val="single" w:sz="8" w:color="0000EE"/>
            </w:tcBorders>
            <w:gridSpan w:val="4"/>
          </w:tcPr>
          <w:p>
            <w:pPr>
              <w:spacing w:after="0"/>
              <w:rPr>
                <w:rFonts w:ascii="Arial" w:cs="Arial" w:eastAsia="Arial" w:hAnsi="Arial"/>
                <w:sz w:val="18"/>
                <w:szCs w:val="18"/>
                <w:color w:val="0000EE"/>
                <w:w w:val="85"/>
              </w:rPr>
            </w:pPr>
            <w:hyperlink w:anchor="page64">
              <w:r>
                <w:rPr>
                  <w:rFonts w:ascii="Arial" w:cs="Arial" w:eastAsia="Arial" w:hAnsi="Arial"/>
                  <w:sz w:val="18"/>
                  <w:szCs w:val="18"/>
                  <w:color w:val="0000EE"/>
                  <w:w w:val="85"/>
                </w:rPr>
                <w:t>Risk Factors</w:t>
              </w:r>
            </w:hyperlink>
          </w:p>
        </w:tc>
        <w:tc>
          <w:tcPr>
            <w:tcW w:w="6380" w:type="dxa"/>
            <w:vAlign w:val="bottom"/>
            <w:gridSpan w:val="12"/>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412"/>
        </w:trPr>
        <w:tc>
          <w:tcPr>
            <w:tcW w:w="740" w:type="dxa"/>
            <w:vAlign w:val="bottom"/>
            <w:gridSpan w:val="5"/>
          </w:tcPr>
          <w:p>
            <w:pPr>
              <w:spacing w:after="0"/>
              <w:rPr>
                <w:rFonts w:ascii="Arial" w:cs="Arial" w:eastAsia="Arial" w:hAnsi="Arial"/>
                <w:sz w:val="18"/>
                <w:szCs w:val="18"/>
                <w:b w:val="1"/>
                <w:bCs w:val="1"/>
                <w:color w:val="0000EE"/>
              </w:rPr>
            </w:pPr>
            <w:hyperlink w:anchor="page87">
              <w:r>
                <w:rPr>
                  <w:rFonts w:ascii="Arial" w:cs="Arial" w:eastAsia="Arial" w:hAnsi="Arial"/>
                  <w:sz w:val="18"/>
                  <w:szCs w:val="18"/>
                  <w:b w:val="1"/>
                  <w:bCs w:val="1"/>
                  <w:color w:val="0000EE"/>
                </w:rPr>
                <w:t>Item 6.</w:t>
              </w:r>
            </w:hyperlink>
          </w:p>
        </w:tc>
        <w:tc>
          <w:tcPr>
            <w:tcW w:w="60" w:type="dxa"/>
            <w:vAlign w:val="bottom"/>
          </w:tcPr>
          <w:p>
            <w:pPr>
              <w:spacing w:after="0"/>
              <w:rPr>
                <w:sz w:val="24"/>
                <w:szCs w:val="24"/>
                <w:color w:val="auto"/>
              </w:rPr>
            </w:pPr>
          </w:p>
        </w:tc>
        <w:tc>
          <w:tcPr>
            <w:tcW w:w="7260" w:type="dxa"/>
            <w:vAlign w:val="bottom"/>
            <w:gridSpan w:val="16"/>
          </w:tcPr>
          <w:p>
            <w:pPr>
              <w:spacing w:after="0"/>
              <w:rPr>
                <w:rFonts w:ascii="Arial" w:cs="Arial" w:eastAsia="Arial" w:hAnsi="Arial"/>
                <w:sz w:val="18"/>
                <w:szCs w:val="18"/>
                <w:color w:val="0000EE"/>
              </w:rPr>
            </w:pPr>
            <w:hyperlink w:anchor="page87">
              <w:r>
                <w:rPr>
                  <w:rFonts w:ascii="Arial" w:cs="Arial" w:eastAsia="Arial" w:hAnsi="Arial"/>
                  <w:sz w:val="18"/>
                  <w:szCs w:val="18"/>
                  <w:color w:val="0000EE"/>
                </w:rPr>
                <w:t>Exhibits</w:t>
              </w:r>
            </w:hyperlink>
          </w:p>
        </w:tc>
        <w:tc>
          <w:tcPr>
            <w:tcW w:w="1000" w:type="dxa"/>
            <w:vAlign w:val="bottom"/>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520" w:type="dxa"/>
            <w:vAlign w:val="bottom"/>
            <w:gridSpan w:val="1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Borders>
              <w:bottom w:val="single" w:sz="8" w:color="0000EE"/>
            </w:tcBorders>
            <w:gridSpan w:val="3"/>
          </w:tcPr>
          <w:p>
            <w:pPr>
              <w:spacing w:after="0"/>
              <w:rPr>
                <w:rFonts w:ascii="Arial" w:cs="Arial" w:eastAsia="Arial" w:hAnsi="Arial"/>
                <w:sz w:val="18"/>
                <w:szCs w:val="18"/>
                <w:color w:val="0000EE"/>
                <w:w w:val="83"/>
              </w:rPr>
            </w:pPr>
            <w:hyperlink w:anchor="page88">
              <w:r>
                <w:rPr>
                  <w:rFonts w:ascii="Arial" w:cs="Arial" w:eastAsia="Arial" w:hAnsi="Arial"/>
                  <w:sz w:val="18"/>
                  <w:szCs w:val="18"/>
                  <w:color w:val="0000EE"/>
                  <w:w w:val="83"/>
                </w:rPr>
                <w:t>Signatures</w:t>
              </w:r>
            </w:hyperlink>
          </w:p>
        </w:tc>
        <w:tc>
          <w:tcPr>
            <w:tcW w:w="6520" w:type="dxa"/>
            <w:vAlign w:val="bottom"/>
            <w:gridSpan w:val="13"/>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2" w:name="page3"/>
    <w:bookmarkEnd w:id="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PART I:</w:t>
        <w:tab/>
        <w:t>FINANCIAL INFORMATION</w:t>
      </w: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INCYTE CORPORATION</w:t>
      </w:r>
    </w:p>
    <w:p>
      <w:pPr>
        <w:jc w:val="center"/>
        <w:spacing w:after="0" w:line="203" w:lineRule="auto"/>
        <w:rPr>
          <w:sz w:val="20"/>
          <w:szCs w:val="20"/>
          <w:color w:val="auto"/>
        </w:rPr>
      </w:pPr>
      <w:r>
        <w:rPr>
          <w:rFonts w:ascii="Arial" w:cs="Arial" w:eastAsia="Arial" w:hAnsi="Arial"/>
          <w:sz w:val="18"/>
          <w:szCs w:val="18"/>
          <w:b w:val="1"/>
          <w:bCs w:val="1"/>
          <w:color w:val="auto"/>
        </w:rPr>
        <w:t>CONDENSED CONSOLIDATED BALANCE SHEETS</w:t>
      </w:r>
    </w:p>
    <w:p>
      <w:pPr>
        <w:jc w:val="center"/>
        <w:spacing w:after="0"/>
        <w:rPr>
          <w:sz w:val="20"/>
          <w:szCs w:val="20"/>
          <w:color w:val="auto"/>
        </w:rPr>
      </w:pPr>
      <w:r>
        <w:rPr>
          <w:rFonts w:ascii="Arial" w:cs="Arial" w:eastAsia="Arial" w:hAnsi="Arial"/>
          <w:sz w:val="18"/>
          <w:szCs w:val="18"/>
          <w:b w:val="1"/>
          <w:bCs w:val="1"/>
          <w:color w:val="auto"/>
        </w:rPr>
        <w:t>(in thousands, except number of shares and par value)</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June 30,</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0"/>
              </w:rPr>
              <w:t>December 31,</w:t>
            </w:r>
          </w:p>
        </w:tc>
      </w:tr>
      <w:tr>
        <w:trPr>
          <w:trHeight w:val="171"/>
        </w:trPr>
        <w:tc>
          <w:tcPr>
            <w:tcW w:w="228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4"/>
                <w:szCs w:val="14"/>
                <w:color w:val="auto"/>
              </w:rPr>
            </w:pPr>
          </w:p>
        </w:tc>
      </w:tr>
      <w:tr>
        <w:trPr>
          <w:trHeight w:val="142"/>
        </w:trPr>
        <w:tc>
          <w:tcPr>
            <w:tcW w:w="228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right"/>
              <w:ind w:right="32"/>
              <w:spacing w:after="0" w:line="142" w:lineRule="exact"/>
              <w:rPr>
                <w:sz w:val="20"/>
                <w:szCs w:val="20"/>
                <w:color w:val="auto"/>
              </w:rPr>
            </w:pPr>
            <w:r>
              <w:rPr>
                <w:rFonts w:ascii="Arial" w:cs="Arial" w:eastAsia="Arial" w:hAnsi="Arial"/>
                <w:sz w:val="14"/>
                <w:szCs w:val="14"/>
                <w:b w:val="1"/>
                <w:bCs w:val="1"/>
                <w:color w:val="auto"/>
                <w:w w:val="99"/>
              </w:rPr>
              <w:t>(unaudited)</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216"/>
        </w:trPr>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660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66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928,517</w:t>
            </w: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899,509</w:t>
            </w:r>
          </w:p>
        </w:tc>
        <w:tc>
          <w:tcPr>
            <w:tcW w:w="180" w:type="dxa"/>
            <w:vAlign w:val="bottom"/>
            <w:shd w:val="clear" w:color="auto" w:fill="CCEEFF"/>
          </w:tcPr>
          <w:p>
            <w:pPr>
              <w:spacing w:after="0"/>
              <w:rPr>
                <w:sz w:val="18"/>
                <w:szCs w:val="18"/>
                <w:color w:val="auto"/>
              </w:rPr>
            </w:pPr>
          </w:p>
        </w:tc>
      </w:tr>
      <w:tr>
        <w:trPr>
          <w:trHeight w:val="216"/>
        </w:trPr>
        <w:tc>
          <w:tcPr>
            <w:tcW w:w="6600" w:type="dxa"/>
            <w:vAlign w:val="bottom"/>
            <w:gridSpan w:val="2"/>
          </w:tcPr>
          <w:p>
            <w:pPr>
              <w:ind w:left="220"/>
              <w:spacing w:after="0"/>
              <w:rPr>
                <w:sz w:val="20"/>
                <w:szCs w:val="20"/>
                <w:color w:val="auto"/>
              </w:rPr>
            </w:pPr>
            <w:r>
              <w:rPr>
                <w:rFonts w:ascii="Arial" w:cs="Arial" w:eastAsia="Arial" w:hAnsi="Arial"/>
                <w:sz w:val="18"/>
                <w:szCs w:val="18"/>
                <w:color w:val="auto"/>
              </w:rPr>
              <w:t>Marketable securities—available-for-sale</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269,865</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270,136</w:t>
            </w:r>
          </w:p>
        </w:tc>
        <w:tc>
          <w:tcPr>
            <w:tcW w:w="180" w:type="dxa"/>
            <w:vAlign w:val="bottom"/>
          </w:tcPr>
          <w:p>
            <w:pPr>
              <w:spacing w:after="0"/>
              <w:rPr>
                <w:sz w:val="18"/>
                <w:szCs w:val="18"/>
                <w:color w:val="auto"/>
              </w:rPr>
            </w:pPr>
          </w:p>
        </w:tc>
      </w:tr>
      <w:tr>
        <w:trPr>
          <w:trHeight w:val="216"/>
        </w:trPr>
        <w:tc>
          <w:tcPr>
            <w:tcW w:w="66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Accounts receivable</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316,310</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266,299</w:t>
            </w:r>
          </w:p>
        </w:tc>
        <w:tc>
          <w:tcPr>
            <w:tcW w:w="180" w:type="dxa"/>
            <w:vAlign w:val="bottom"/>
            <w:shd w:val="clear" w:color="auto" w:fill="CCEEFF"/>
          </w:tcPr>
          <w:p>
            <w:pPr>
              <w:spacing w:after="0"/>
              <w:rPr>
                <w:sz w:val="18"/>
                <w:szCs w:val="18"/>
                <w:color w:val="auto"/>
              </w:rPr>
            </w:pPr>
          </w:p>
        </w:tc>
      </w:tr>
      <w:tr>
        <w:trPr>
          <w:trHeight w:val="216"/>
        </w:trPr>
        <w:tc>
          <w:tcPr>
            <w:tcW w:w="6600" w:type="dxa"/>
            <w:vAlign w:val="bottom"/>
            <w:gridSpan w:val="2"/>
          </w:tcPr>
          <w:p>
            <w:pPr>
              <w:ind w:left="220"/>
              <w:spacing w:after="0"/>
              <w:rPr>
                <w:sz w:val="20"/>
                <w:szCs w:val="20"/>
                <w:color w:val="auto"/>
              </w:rPr>
            </w:pPr>
            <w:r>
              <w:rPr>
                <w:rFonts w:ascii="Arial" w:cs="Arial" w:eastAsia="Arial" w:hAnsi="Arial"/>
                <w:sz w:val="18"/>
                <w:szCs w:val="18"/>
                <w:color w:val="auto"/>
              </w:rPr>
              <w:t>Inventory</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5,869</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6,482</w:t>
            </w:r>
          </w:p>
        </w:tc>
        <w:tc>
          <w:tcPr>
            <w:tcW w:w="180" w:type="dxa"/>
            <w:vAlign w:val="bottom"/>
          </w:tcPr>
          <w:p>
            <w:pPr>
              <w:spacing w:after="0"/>
              <w:rPr>
                <w:sz w:val="18"/>
                <w:szCs w:val="18"/>
                <w:color w:val="auto"/>
              </w:rPr>
            </w:pPr>
          </w:p>
        </w:tc>
      </w:tr>
      <w:tr>
        <w:trPr>
          <w:trHeight w:val="216"/>
        </w:trPr>
        <w:tc>
          <w:tcPr>
            <w:tcW w:w="66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77,523</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62,428</w:t>
            </w:r>
          </w:p>
        </w:tc>
        <w:tc>
          <w:tcPr>
            <w:tcW w:w="180" w:type="dxa"/>
            <w:vAlign w:val="bottom"/>
            <w:shd w:val="clear" w:color="auto" w:fill="CCEEFF"/>
          </w:tcPr>
          <w:p>
            <w:pPr>
              <w:spacing w:after="0"/>
              <w:rPr>
                <w:sz w:val="18"/>
                <w:szCs w:val="18"/>
                <w:color w:val="auto"/>
              </w:rPr>
            </w:pPr>
          </w:p>
        </w:tc>
      </w:tr>
      <w:tr>
        <w:trPr>
          <w:trHeight w:val="210"/>
        </w:trPr>
        <w:tc>
          <w:tcPr>
            <w:tcW w:w="6600" w:type="dxa"/>
            <w:vAlign w:val="bottom"/>
            <w:gridSpan w:val="2"/>
          </w:tcPr>
          <w:p>
            <w:pPr>
              <w:ind w:left="320"/>
              <w:spacing w:after="0"/>
              <w:rPr>
                <w:sz w:val="20"/>
                <w:szCs w:val="20"/>
                <w:color w:val="auto"/>
              </w:rPr>
            </w:pPr>
            <w:r>
              <w:rPr>
                <w:rFonts w:ascii="Arial" w:cs="Arial" w:eastAsia="Arial" w:hAnsi="Arial"/>
                <w:sz w:val="18"/>
                <w:szCs w:val="18"/>
                <w:color w:val="auto"/>
              </w:rPr>
              <w:t>Total current assets</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1,598,084</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1,504,854</w:t>
            </w:r>
          </w:p>
        </w:tc>
        <w:tc>
          <w:tcPr>
            <w:tcW w:w="180" w:type="dxa"/>
            <w:vAlign w:val="bottom"/>
          </w:tcPr>
          <w:p>
            <w:pPr>
              <w:spacing w:after="0"/>
              <w:rPr>
                <w:sz w:val="18"/>
                <w:szCs w:val="18"/>
                <w:color w:val="auto"/>
              </w:rPr>
            </w:pPr>
          </w:p>
        </w:tc>
      </w:tr>
      <w:tr>
        <w:trPr>
          <w:trHeight w:val="216"/>
        </w:trPr>
        <w:tc>
          <w:tcPr>
            <w:tcW w:w="2280" w:type="dxa"/>
            <w:vAlign w:val="bottom"/>
            <w:shd w:val="clear" w:color="auto" w:fill="CCEEFF"/>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6600" w:type="dxa"/>
            <w:vAlign w:val="bottom"/>
            <w:gridSpan w:val="2"/>
          </w:tcPr>
          <w:p>
            <w:pPr>
              <w:spacing w:after="0"/>
              <w:rPr>
                <w:sz w:val="20"/>
                <w:szCs w:val="20"/>
                <w:color w:val="auto"/>
              </w:rPr>
            </w:pPr>
            <w:r>
              <w:rPr>
                <w:rFonts w:ascii="Arial" w:cs="Arial" w:eastAsia="Arial" w:hAnsi="Arial"/>
                <w:sz w:val="18"/>
                <w:szCs w:val="18"/>
                <w:color w:val="auto"/>
              </w:rPr>
              <w:t>Restricted cash and investments</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1,000</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925</w:t>
            </w:r>
          </w:p>
        </w:tc>
        <w:tc>
          <w:tcPr>
            <w:tcW w:w="180" w:type="dxa"/>
            <w:vAlign w:val="bottom"/>
          </w:tcPr>
          <w:p>
            <w:pPr>
              <w:spacing w:after="0"/>
              <w:rPr>
                <w:sz w:val="18"/>
                <w:szCs w:val="18"/>
                <w:color w:val="auto"/>
              </w:rPr>
            </w:pPr>
          </w:p>
        </w:tc>
      </w:tr>
      <w:tr>
        <w:trPr>
          <w:trHeight w:val="216"/>
        </w:trPr>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 term investments</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131,330</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134,356</w:t>
            </w:r>
          </w:p>
        </w:tc>
        <w:tc>
          <w:tcPr>
            <w:tcW w:w="180" w:type="dxa"/>
            <w:vAlign w:val="bottom"/>
            <w:shd w:val="clear" w:color="auto" w:fill="CCEEFF"/>
          </w:tcPr>
          <w:p>
            <w:pPr>
              <w:spacing w:after="0"/>
              <w:rPr>
                <w:sz w:val="18"/>
                <w:szCs w:val="18"/>
                <w:color w:val="auto"/>
              </w:rPr>
            </w:pPr>
          </w:p>
        </w:tc>
      </w:tr>
      <w:tr>
        <w:trPr>
          <w:trHeight w:val="216"/>
        </w:trPr>
        <w:tc>
          <w:tcPr>
            <w:tcW w:w="6600" w:type="dxa"/>
            <w:vAlign w:val="bottom"/>
            <w:gridSpan w:val="2"/>
          </w:tcPr>
          <w:p>
            <w:pPr>
              <w:spacing w:after="0"/>
              <w:rPr>
                <w:sz w:val="20"/>
                <w:szCs w:val="20"/>
                <w:color w:val="auto"/>
              </w:rPr>
            </w:pPr>
            <w:r>
              <w:rPr>
                <w:rFonts w:ascii="Arial" w:cs="Arial" w:eastAsia="Arial" w:hAnsi="Arial"/>
                <w:sz w:val="18"/>
                <w:szCs w:val="18"/>
                <w:color w:val="auto"/>
              </w:rPr>
              <w:t>Inventory</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6,701</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7,966</w:t>
            </w:r>
          </w:p>
        </w:tc>
        <w:tc>
          <w:tcPr>
            <w:tcW w:w="180" w:type="dxa"/>
            <w:vAlign w:val="bottom"/>
          </w:tcPr>
          <w:p>
            <w:pPr>
              <w:spacing w:after="0"/>
              <w:rPr>
                <w:sz w:val="18"/>
                <w:szCs w:val="18"/>
                <w:color w:val="auto"/>
              </w:rPr>
            </w:pPr>
          </w:p>
        </w:tc>
      </w:tr>
      <w:tr>
        <w:trPr>
          <w:trHeight w:val="216"/>
        </w:trPr>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267,586</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259,763</w:t>
            </w:r>
          </w:p>
        </w:tc>
        <w:tc>
          <w:tcPr>
            <w:tcW w:w="180" w:type="dxa"/>
            <w:vAlign w:val="bottom"/>
            <w:shd w:val="clear" w:color="auto" w:fill="CCEEFF"/>
          </w:tcPr>
          <w:p>
            <w:pPr>
              <w:spacing w:after="0"/>
              <w:rPr>
                <w:sz w:val="18"/>
                <w:szCs w:val="18"/>
                <w:color w:val="auto"/>
              </w:rPr>
            </w:pPr>
          </w:p>
        </w:tc>
      </w:tr>
      <w:tr>
        <w:trPr>
          <w:trHeight w:val="216"/>
        </w:trPr>
        <w:tc>
          <w:tcPr>
            <w:tcW w:w="6600" w:type="dxa"/>
            <w:vAlign w:val="bottom"/>
            <w:gridSpan w:val="2"/>
          </w:tcPr>
          <w:p>
            <w:pPr>
              <w:spacing w:after="0"/>
              <w:rPr>
                <w:sz w:val="20"/>
                <w:szCs w:val="20"/>
                <w:color w:val="auto"/>
              </w:rPr>
            </w:pPr>
            <w:r>
              <w:rPr>
                <w:rFonts w:ascii="Arial" w:cs="Arial" w:eastAsia="Arial" w:hAnsi="Arial"/>
                <w:sz w:val="18"/>
                <w:szCs w:val="18"/>
                <w:color w:val="auto"/>
              </w:rPr>
              <w:t>Other intangible assets, net</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226,132</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236,901</w:t>
            </w:r>
          </w:p>
        </w:tc>
        <w:tc>
          <w:tcPr>
            <w:tcW w:w="180" w:type="dxa"/>
            <w:vAlign w:val="bottom"/>
          </w:tcPr>
          <w:p>
            <w:pPr>
              <w:spacing w:after="0"/>
              <w:rPr>
                <w:sz w:val="18"/>
                <w:szCs w:val="18"/>
                <w:color w:val="auto"/>
              </w:rPr>
            </w:pPr>
          </w:p>
        </w:tc>
      </w:tr>
      <w:tr>
        <w:trPr>
          <w:trHeight w:val="216"/>
        </w:trPr>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155,593</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155,593</w:t>
            </w:r>
          </w:p>
        </w:tc>
        <w:tc>
          <w:tcPr>
            <w:tcW w:w="180" w:type="dxa"/>
            <w:vAlign w:val="bottom"/>
            <w:shd w:val="clear" w:color="auto" w:fill="CCEEFF"/>
          </w:tcPr>
          <w:p>
            <w:pPr>
              <w:spacing w:after="0"/>
              <w:rPr>
                <w:sz w:val="18"/>
                <w:szCs w:val="18"/>
                <w:color w:val="auto"/>
              </w:rPr>
            </w:pPr>
          </w:p>
        </w:tc>
      </w:tr>
      <w:tr>
        <w:trPr>
          <w:trHeight w:val="216"/>
        </w:trPr>
        <w:tc>
          <w:tcPr>
            <w:tcW w:w="66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 assets, net</w:t>
            </w: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10,731</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2,224</w:t>
            </w:r>
          </w:p>
        </w:tc>
        <w:tc>
          <w:tcPr>
            <w:tcW w:w="180" w:type="dxa"/>
            <w:vAlign w:val="bottom"/>
            <w:tcBorders>
              <w:bottom w:val="single" w:sz="8" w:color="CCEEFF"/>
            </w:tcBorders>
          </w:tcPr>
          <w:p>
            <w:pPr>
              <w:spacing w:after="0"/>
              <w:rPr>
                <w:sz w:val="18"/>
                <w:szCs w:val="18"/>
                <w:color w:val="auto"/>
              </w:rPr>
            </w:pPr>
          </w:p>
        </w:tc>
      </w:tr>
      <w:tr>
        <w:trPr>
          <w:trHeight w:val="217"/>
        </w:trPr>
        <w:tc>
          <w:tcPr>
            <w:tcW w:w="660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2,397,157</w:t>
            </w:r>
          </w:p>
        </w:tc>
        <w:tc>
          <w:tcPr>
            <w:tcW w:w="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2,302,582</w:t>
            </w:r>
          </w:p>
        </w:tc>
        <w:tc>
          <w:tcPr>
            <w:tcW w:w="180" w:type="dxa"/>
            <w:vAlign w:val="bottom"/>
            <w:tcBorders>
              <w:bottom w:val="single" w:sz="8" w:color="CCEEFF"/>
            </w:tcBorders>
            <w:shd w:val="clear" w:color="auto" w:fill="CCEEFF"/>
          </w:tcPr>
          <w:p>
            <w:pPr>
              <w:spacing w:after="0"/>
              <w:rPr>
                <w:sz w:val="18"/>
                <w:szCs w:val="18"/>
                <w:color w:val="auto"/>
              </w:rPr>
            </w:pPr>
          </w:p>
        </w:tc>
      </w:tr>
      <w:tr>
        <w:trPr>
          <w:trHeight w:val="216"/>
        </w:trPr>
        <w:tc>
          <w:tcPr>
            <w:tcW w:w="228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660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66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75,559</w:t>
            </w: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67,671</w:t>
            </w:r>
          </w:p>
        </w:tc>
        <w:tc>
          <w:tcPr>
            <w:tcW w:w="180" w:type="dxa"/>
            <w:vAlign w:val="bottom"/>
            <w:shd w:val="clear" w:color="auto" w:fill="CCEEFF"/>
          </w:tcPr>
          <w:p>
            <w:pPr>
              <w:spacing w:after="0"/>
              <w:rPr>
                <w:sz w:val="18"/>
                <w:szCs w:val="18"/>
                <w:color w:val="auto"/>
              </w:rPr>
            </w:pPr>
          </w:p>
        </w:tc>
      </w:tr>
      <w:tr>
        <w:trPr>
          <w:trHeight w:val="216"/>
        </w:trPr>
        <w:tc>
          <w:tcPr>
            <w:tcW w:w="6600" w:type="dxa"/>
            <w:vAlign w:val="bottom"/>
            <w:gridSpan w:val="2"/>
          </w:tcPr>
          <w:p>
            <w:pPr>
              <w:ind w:left="220"/>
              <w:spacing w:after="0"/>
              <w:rPr>
                <w:sz w:val="20"/>
                <w:szCs w:val="20"/>
                <w:color w:val="auto"/>
              </w:rPr>
            </w:pPr>
            <w:r>
              <w:rPr>
                <w:rFonts w:ascii="Arial" w:cs="Arial" w:eastAsia="Arial" w:hAnsi="Arial"/>
                <w:sz w:val="18"/>
                <w:szCs w:val="18"/>
                <w:color w:val="auto"/>
              </w:rPr>
              <w:t>Accrued compensation</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41,704</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74,550</w:t>
            </w:r>
          </w:p>
        </w:tc>
        <w:tc>
          <w:tcPr>
            <w:tcW w:w="180" w:type="dxa"/>
            <w:vAlign w:val="bottom"/>
          </w:tcPr>
          <w:p>
            <w:pPr>
              <w:spacing w:after="0"/>
              <w:rPr>
                <w:sz w:val="18"/>
                <w:szCs w:val="18"/>
                <w:color w:val="auto"/>
              </w:rPr>
            </w:pPr>
          </w:p>
        </w:tc>
      </w:tr>
      <w:tr>
        <w:trPr>
          <w:trHeight w:val="216"/>
        </w:trPr>
        <w:tc>
          <w:tcPr>
            <w:tcW w:w="66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Interest payable</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80" w:type="dxa"/>
            <w:vAlign w:val="bottom"/>
            <w:shd w:val="clear" w:color="auto" w:fill="CCEEFF"/>
          </w:tcPr>
          <w:p>
            <w:pPr>
              <w:spacing w:after="0"/>
              <w:rPr>
                <w:sz w:val="18"/>
                <w:szCs w:val="18"/>
                <w:color w:val="auto"/>
              </w:rPr>
            </w:pPr>
          </w:p>
        </w:tc>
      </w:tr>
      <w:tr>
        <w:trPr>
          <w:trHeight w:val="216"/>
        </w:trPr>
        <w:tc>
          <w:tcPr>
            <w:tcW w:w="6600" w:type="dxa"/>
            <w:vAlign w:val="bottom"/>
            <w:gridSpan w:val="2"/>
          </w:tcPr>
          <w:p>
            <w:pPr>
              <w:ind w:left="220"/>
              <w:spacing w:after="0"/>
              <w:rPr>
                <w:sz w:val="20"/>
                <w:szCs w:val="20"/>
                <w:color w:val="auto"/>
              </w:rPr>
            </w:pPr>
            <w:r>
              <w:rPr>
                <w:rFonts w:ascii="Arial" w:cs="Arial" w:eastAsia="Arial" w:hAnsi="Arial"/>
                <w:sz w:val="18"/>
                <w:szCs w:val="18"/>
                <w:color w:val="auto"/>
              </w:rPr>
              <w:t>Accrued and other current liabilities</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213,888</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198,901</w:t>
            </w:r>
          </w:p>
        </w:tc>
        <w:tc>
          <w:tcPr>
            <w:tcW w:w="180" w:type="dxa"/>
            <w:vAlign w:val="bottom"/>
          </w:tcPr>
          <w:p>
            <w:pPr>
              <w:spacing w:after="0"/>
              <w:rPr>
                <w:sz w:val="18"/>
                <w:szCs w:val="18"/>
                <w:color w:val="auto"/>
              </w:rPr>
            </w:pPr>
          </w:p>
        </w:tc>
      </w:tr>
      <w:tr>
        <w:trPr>
          <w:trHeight w:val="216"/>
        </w:trPr>
        <w:tc>
          <w:tcPr>
            <w:tcW w:w="66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Convertible senior notes</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7,554</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7,393</w:t>
            </w:r>
          </w:p>
        </w:tc>
        <w:tc>
          <w:tcPr>
            <w:tcW w:w="180" w:type="dxa"/>
            <w:vAlign w:val="bottom"/>
            <w:shd w:val="clear" w:color="auto" w:fill="CCEEFF"/>
          </w:tcPr>
          <w:p>
            <w:pPr>
              <w:spacing w:after="0"/>
              <w:rPr>
                <w:sz w:val="18"/>
                <w:szCs w:val="18"/>
                <w:color w:val="auto"/>
              </w:rPr>
            </w:pPr>
          </w:p>
        </w:tc>
      </w:tr>
      <w:tr>
        <w:trPr>
          <w:trHeight w:val="216"/>
        </w:trPr>
        <w:tc>
          <w:tcPr>
            <w:tcW w:w="660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Acquisition-related contingent consideration</w:t>
            </w: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29,501</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26,848</w:t>
            </w:r>
          </w:p>
        </w:tc>
        <w:tc>
          <w:tcPr>
            <w:tcW w:w="180" w:type="dxa"/>
            <w:vAlign w:val="bottom"/>
            <w:tcBorders>
              <w:bottom w:val="single" w:sz="8" w:color="CCEEFF"/>
            </w:tcBorders>
          </w:tcPr>
          <w:p>
            <w:pPr>
              <w:spacing w:after="0"/>
              <w:rPr>
                <w:sz w:val="18"/>
                <w:szCs w:val="18"/>
                <w:color w:val="auto"/>
              </w:rPr>
            </w:pPr>
          </w:p>
        </w:tc>
      </w:tr>
      <w:tr>
        <w:trPr>
          <w:trHeight w:val="210"/>
        </w:trPr>
        <w:tc>
          <w:tcPr>
            <w:tcW w:w="66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Total current liabilities</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368,239</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375,396</w:t>
            </w:r>
          </w:p>
        </w:tc>
        <w:tc>
          <w:tcPr>
            <w:tcW w:w="180" w:type="dxa"/>
            <w:vAlign w:val="bottom"/>
            <w:shd w:val="clear" w:color="auto" w:fill="CCEEFF"/>
          </w:tcPr>
          <w:p>
            <w:pPr>
              <w:spacing w:after="0"/>
              <w:rPr>
                <w:sz w:val="18"/>
                <w:szCs w:val="18"/>
                <w:color w:val="auto"/>
              </w:rPr>
            </w:pPr>
          </w:p>
        </w:tc>
      </w:tr>
      <w:tr>
        <w:trPr>
          <w:trHeight w:val="216"/>
        </w:trPr>
        <w:tc>
          <w:tcPr>
            <w:tcW w:w="228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Convertible senior notes</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17,016</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16,608</w:t>
            </w:r>
          </w:p>
        </w:tc>
        <w:tc>
          <w:tcPr>
            <w:tcW w:w="180" w:type="dxa"/>
            <w:vAlign w:val="bottom"/>
            <w:shd w:val="clear" w:color="auto" w:fill="CCEEFF"/>
          </w:tcPr>
          <w:p>
            <w:pPr>
              <w:spacing w:after="0"/>
              <w:rPr>
                <w:sz w:val="18"/>
                <w:szCs w:val="18"/>
                <w:color w:val="auto"/>
              </w:rPr>
            </w:pPr>
          </w:p>
        </w:tc>
      </w:tr>
      <w:tr>
        <w:trPr>
          <w:trHeight w:val="216"/>
        </w:trPr>
        <w:tc>
          <w:tcPr>
            <w:tcW w:w="6600" w:type="dxa"/>
            <w:vAlign w:val="bottom"/>
            <w:gridSpan w:val="2"/>
          </w:tcPr>
          <w:p>
            <w:pPr>
              <w:spacing w:after="0"/>
              <w:rPr>
                <w:sz w:val="20"/>
                <w:szCs w:val="20"/>
                <w:color w:val="auto"/>
              </w:rPr>
            </w:pPr>
            <w:r>
              <w:rPr>
                <w:rFonts w:ascii="Arial" w:cs="Arial" w:eastAsia="Arial" w:hAnsi="Arial"/>
                <w:sz w:val="18"/>
                <w:szCs w:val="18"/>
                <w:color w:val="auto"/>
              </w:rPr>
              <w:t>Acquisition-related contingent consideration</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258,499</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260,152</w:t>
            </w:r>
          </w:p>
        </w:tc>
        <w:tc>
          <w:tcPr>
            <w:tcW w:w="180" w:type="dxa"/>
            <w:vAlign w:val="bottom"/>
          </w:tcPr>
          <w:p>
            <w:pPr>
              <w:spacing w:after="0"/>
              <w:rPr>
                <w:sz w:val="18"/>
                <w:szCs w:val="18"/>
                <w:color w:val="auto"/>
              </w:rPr>
            </w:pPr>
          </w:p>
        </w:tc>
      </w:tr>
      <w:tr>
        <w:trPr>
          <w:trHeight w:val="216"/>
        </w:trPr>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20,480</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19,797</w:t>
            </w:r>
          </w:p>
        </w:tc>
        <w:tc>
          <w:tcPr>
            <w:tcW w:w="180" w:type="dxa"/>
            <w:vAlign w:val="bottom"/>
            <w:shd w:val="clear" w:color="auto" w:fill="CCEEFF"/>
          </w:tcPr>
          <w:p>
            <w:pPr>
              <w:spacing w:after="0"/>
              <w:rPr>
                <w:sz w:val="18"/>
                <w:szCs w:val="18"/>
                <w:color w:val="auto"/>
              </w:rPr>
            </w:pPr>
          </w:p>
        </w:tc>
      </w:tr>
      <w:tr>
        <w:trPr>
          <w:trHeight w:val="210"/>
        </w:trPr>
        <w:tc>
          <w:tcPr>
            <w:tcW w:w="6600" w:type="dxa"/>
            <w:vAlign w:val="bottom"/>
            <w:tcBorders>
              <w:bottom w:val="single" w:sz="8" w:color="CCEEFF"/>
            </w:tcBorders>
            <w:gridSpan w:val="2"/>
          </w:tcPr>
          <w:p>
            <w:pPr>
              <w:ind w:left="320"/>
              <w:spacing w:after="0"/>
              <w:rPr>
                <w:sz w:val="20"/>
                <w:szCs w:val="20"/>
                <w:color w:val="auto"/>
              </w:rPr>
            </w:pPr>
            <w:r>
              <w:rPr>
                <w:rFonts w:ascii="Arial" w:cs="Arial" w:eastAsia="Arial" w:hAnsi="Arial"/>
                <w:sz w:val="18"/>
                <w:szCs w:val="18"/>
                <w:color w:val="auto"/>
              </w:rPr>
              <w:t>Total liabilities</w:t>
            </w: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664,234</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671,953</w:t>
            </w:r>
          </w:p>
        </w:tc>
        <w:tc>
          <w:tcPr>
            <w:tcW w:w="180" w:type="dxa"/>
            <w:vAlign w:val="bottom"/>
            <w:tcBorders>
              <w:bottom w:val="single" w:sz="8" w:color="CCEEFF"/>
            </w:tcBorders>
          </w:tcPr>
          <w:p>
            <w:pPr>
              <w:spacing w:after="0"/>
              <w:rPr>
                <w:sz w:val="18"/>
                <w:szCs w:val="18"/>
                <w:color w:val="auto"/>
              </w:rPr>
            </w:pPr>
          </w:p>
        </w:tc>
      </w:tr>
      <w:tr>
        <w:trPr>
          <w:trHeight w:val="210"/>
        </w:trPr>
        <w:tc>
          <w:tcPr>
            <w:tcW w:w="2280" w:type="dxa"/>
            <w:vAlign w:val="bottom"/>
            <w:shd w:val="clear" w:color="auto" w:fill="CCEEFF"/>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660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02"/>
        </w:trPr>
        <w:tc>
          <w:tcPr>
            <w:tcW w:w="6600" w:type="dxa"/>
            <w:vAlign w:val="bottom"/>
            <w:gridSpan w:val="2"/>
            <w:shd w:val="clear" w:color="auto" w:fill="CCEEFF"/>
          </w:tcPr>
          <w:p>
            <w:pPr>
              <w:ind w:left="220"/>
              <w:spacing w:after="0" w:line="201" w:lineRule="exact"/>
              <w:rPr>
                <w:sz w:val="20"/>
                <w:szCs w:val="20"/>
                <w:color w:val="auto"/>
              </w:rPr>
            </w:pPr>
            <w:r>
              <w:rPr>
                <w:rFonts w:ascii="Arial" w:cs="Arial" w:eastAsia="Arial" w:hAnsi="Arial"/>
                <w:sz w:val="18"/>
                <w:szCs w:val="18"/>
                <w:color w:val="auto"/>
              </w:rPr>
              <w:t>Preferred stock, $0.001 par value; 5,000,000 shares authorized; none issued or</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30"/>
        </w:trPr>
        <w:tc>
          <w:tcPr>
            <w:tcW w:w="66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outstanding as of June 30, 2018 and December 31, 2017</w:t>
            </w: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02"/>
        </w:trPr>
        <w:tc>
          <w:tcPr>
            <w:tcW w:w="6600" w:type="dxa"/>
            <w:vAlign w:val="bottom"/>
            <w:gridSpan w:val="2"/>
          </w:tcPr>
          <w:p>
            <w:pPr>
              <w:ind w:left="220"/>
              <w:spacing w:after="0" w:line="201" w:lineRule="exact"/>
              <w:rPr>
                <w:sz w:val="20"/>
                <w:szCs w:val="20"/>
                <w:color w:val="auto"/>
              </w:rPr>
            </w:pPr>
            <w:r>
              <w:rPr>
                <w:rFonts w:ascii="Arial" w:cs="Arial" w:eastAsia="Arial" w:hAnsi="Arial"/>
                <w:sz w:val="18"/>
                <w:szCs w:val="18"/>
                <w:color w:val="auto"/>
                <w:w w:val="95"/>
              </w:rPr>
              <w:t>Common stock, $0.001 par value; 400,000,000 shares authorized; 212,409,152 and</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16"/>
        </w:trPr>
        <w:tc>
          <w:tcPr>
            <w:tcW w:w="6600" w:type="dxa"/>
            <w:vAlign w:val="bottom"/>
            <w:gridSpan w:val="2"/>
          </w:tcPr>
          <w:p>
            <w:pPr>
              <w:ind w:left="220"/>
              <w:spacing w:after="0"/>
              <w:rPr>
                <w:sz w:val="20"/>
                <w:szCs w:val="20"/>
                <w:color w:val="auto"/>
              </w:rPr>
            </w:pPr>
            <w:r>
              <w:rPr>
                <w:rFonts w:ascii="Arial" w:cs="Arial" w:eastAsia="Arial" w:hAnsi="Arial"/>
                <w:sz w:val="18"/>
                <w:szCs w:val="18"/>
                <w:color w:val="auto"/>
                <w:w w:val="95"/>
              </w:rPr>
              <w:t>211,262,906 shares issued and outstanding as of June 30, 2018 and December 31,</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0"/>
        </w:trPr>
        <w:tc>
          <w:tcPr>
            <w:tcW w:w="6600" w:type="dxa"/>
            <w:vAlign w:val="bottom"/>
            <w:gridSpan w:val="2"/>
          </w:tcPr>
          <w:p>
            <w:pPr>
              <w:ind w:left="220"/>
              <w:spacing w:after="0"/>
              <w:rPr>
                <w:sz w:val="20"/>
                <w:szCs w:val="20"/>
                <w:color w:val="auto"/>
              </w:rPr>
            </w:pPr>
            <w:r>
              <w:rPr>
                <w:rFonts w:ascii="Arial" w:cs="Arial" w:eastAsia="Arial" w:hAnsi="Arial"/>
                <w:sz w:val="18"/>
                <w:szCs w:val="18"/>
                <w:color w:val="auto"/>
              </w:rPr>
              <w:t>2017, respectively</w:t>
            </w: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212</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211</w:t>
            </w:r>
          </w:p>
        </w:tc>
        <w:tc>
          <w:tcPr>
            <w:tcW w:w="180" w:type="dxa"/>
            <w:vAlign w:val="bottom"/>
          </w:tcPr>
          <w:p>
            <w:pPr>
              <w:spacing w:after="0"/>
              <w:rPr>
                <w:sz w:val="20"/>
                <w:szCs w:val="20"/>
                <w:color w:val="auto"/>
              </w:rPr>
            </w:pPr>
          </w:p>
        </w:tc>
      </w:tr>
      <w:tr>
        <w:trPr>
          <w:trHeight w:val="216"/>
        </w:trPr>
        <w:tc>
          <w:tcPr>
            <w:tcW w:w="66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Additional paid-in capital</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3,718,518</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3,627,433</w:t>
            </w:r>
          </w:p>
        </w:tc>
        <w:tc>
          <w:tcPr>
            <w:tcW w:w="180" w:type="dxa"/>
            <w:vAlign w:val="bottom"/>
            <w:shd w:val="clear" w:color="auto" w:fill="CCEEFF"/>
          </w:tcPr>
          <w:p>
            <w:pPr>
              <w:spacing w:after="0"/>
              <w:rPr>
                <w:sz w:val="18"/>
                <w:szCs w:val="18"/>
                <w:color w:val="auto"/>
              </w:rPr>
            </w:pPr>
          </w:p>
        </w:tc>
      </w:tr>
      <w:tr>
        <w:trPr>
          <w:trHeight w:val="216"/>
        </w:trPr>
        <w:tc>
          <w:tcPr>
            <w:tcW w:w="6600" w:type="dxa"/>
            <w:vAlign w:val="bottom"/>
            <w:gridSpan w:val="2"/>
          </w:tcPr>
          <w:p>
            <w:pPr>
              <w:ind w:left="22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(9,809)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(7,010)</w:t>
            </w:r>
          </w:p>
        </w:tc>
      </w:tr>
      <w:tr>
        <w:trPr>
          <w:trHeight w:val="216"/>
        </w:trPr>
        <w:tc>
          <w:tcPr>
            <w:tcW w:w="66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Accumulated deficit</w:t>
            </w: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(1,975,998)</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(1,990,005)</w:t>
            </w:r>
          </w:p>
        </w:tc>
        <w:tc>
          <w:tcPr>
            <w:tcW w:w="180" w:type="dxa"/>
            <w:vAlign w:val="bottom"/>
            <w:shd w:val="clear" w:color="auto" w:fill="CCEEFF"/>
          </w:tcPr>
          <w:p>
            <w:pPr>
              <w:spacing w:after="0"/>
              <w:rPr>
                <w:sz w:val="18"/>
                <w:szCs w:val="18"/>
                <w:color w:val="auto"/>
              </w:rPr>
            </w:pPr>
          </w:p>
        </w:tc>
      </w:tr>
      <w:tr>
        <w:trPr>
          <w:trHeight w:val="210"/>
        </w:trPr>
        <w:tc>
          <w:tcPr>
            <w:tcW w:w="6600" w:type="dxa"/>
            <w:vAlign w:val="bottom"/>
            <w:tcBorders>
              <w:bottom w:val="single" w:sz="8" w:color="CCEEFF"/>
            </w:tcBorders>
            <w:gridSpan w:val="2"/>
          </w:tcPr>
          <w:p>
            <w:pPr>
              <w:ind w:left="320"/>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1,732,923</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1,630,629</w:t>
            </w:r>
          </w:p>
        </w:tc>
        <w:tc>
          <w:tcPr>
            <w:tcW w:w="180" w:type="dxa"/>
            <w:vAlign w:val="bottom"/>
            <w:tcBorders>
              <w:bottom w:val="single" w:sz="8" w:color="CCEEFF"/>
            </w:tcBorders>
          </w:tcPr>
          <w:p>
            <w:pPr>
              <w:spacing w:after="0"/>
              <w:rPr>
                <w:sz w:val="18"/>
                <w:szCs w:val="18"/>
                <w:color w:val="auto"/>
              </w:rPr>
            </w:pPr>
          </w:p>
        </w:tc>
      </w:tr>
      <w:tr>
        <w:trPr>
          <w:trHeight w:val="217"/>
        </w:trPr>
        <w:tc>
          <w:tcPr>
            <w:tcW w:w="660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Total liabilities and stockholders’ equity</w:t>
            </w: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2,397,157</w:t>
            </w:r>
          </w:p>
        </w:tc>
        <w:tc>
          <w:tcPr>
            <w:tcW w:w="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2,302,582</w:t>
            </w:r>
          </w:p>
        </w:tc>
        <w:tc>
          <w:tcPr>
            <w:tcW w:w="180" w:type="dxa"/>
            <w:vAlign w:val="bottom"/>
            <w:tcBorders>
              <w:bottom w:val="single" w:sz="8" w:color="CCEEFF"/>
            </w:tcBorders>
            <w:shd w:val="clear" w:color="auto" w:fill="CCEEFF"/>
          </w:tcPr>
          <w:p>
            <w:pPr>
              <w:spacing w:after="0"/>
              <w:rPr>
                <w:sz w:val="18"/>
                <w:szCs w:val="18"/>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4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80" w:type="dxa"/>
            <w:vAlign w:val="bottom"/>
          </w:tcPr>
          <w:p>
            <w:pPr>
              <w:spacing w:after="0"/>
              <w:rPr>
                <w:sz w:val="9"/>
                <w:szCs w:val="9"/>
                <w:color w:val="auto"/>
              </w:rPr>
            </w:pPr>
          </w:p>
        </w:tc>
      </w:tr>
    </w:tbl>
    <w:p>
      <w:pPr>
        <w:spacing w:after="0" w:line="85" w:lineRule="exact"/>
        <w:rPr>
          <w:sz w:val="20"/>
          <w:szCs w:val="20"/>
          <w:color w:val="auto"/>
        </w:rPr>
      </w:pPr>
    </w:p>
    <w:p>
      <w:pPr>
        <w:ind w:left="200" w:hanging="197"/>
        <w:spacing w:after="0"/>
        <w:tabs>
          <w:tab w:leader="none" w:pos="20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condensed consolidated balance sheet at December 31, 2017 has been derived from the audited financial statements at that date.</w:t>
      </w:r>
    </w:p>
    <w:p>
      <w:pPr>
        <w:spacing w:after="0" w:line="42" w:lineRule="exact"/>
        <w:rPr>
          <w:rFonts w:ascii="Arial" w:cs="Arial" w:eastAsia="Arial" w:hAnsi="Arial"/>
          <w:sz w:val="14"/>
          <w:szCs w:val="14"/>
          <w:color w:val="auto"/>
        </w:rPr>
      </w:pPr>
    </w:p>
    <w:p>
      <w:pPr>
        <w:ind w:left="3720"/>
        <w:spacing w:after="0" w:line="230" w:lineRule="auto"/>
        <w:rPr>
          <w:rFonts w:ascii="Arial" w:cs="Arial" w:eastAsia="Arial" w:hAnsi="Arial"/>
          <w:sz w:val="14"/>
          <w:szCs w:val="14"/>
          <w:color w:val="auto"/>
        </w:rPr>
      </w:pPr>
      <w:r>
        <w:rPr>
          <w:rFonts w:ascii="Arial" w:cs="Arial" w:eastAsia="Arial" w:hAnsi="Arial"/>
          <w:sz w:val="16"/>
          <w:szCs w:val="16"/>
          <w:color w:val="auto"/>
        </w:rPr>
        <w:t>See accompanying notes</w:t>
      </w:r>
      <w:r>
        <w:rPr>
          <w:rFonts w:ascii="Arial" w:cs="Arial" w:eastAsia="Arial" w:hAnsi="Arial"/>
          <w:sz w:val="18"/>
          <w:szCs w:val="18"/>
          <w:color w:val="auto"/>
        </w:rPr>
        <w:t>.</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 w:name="page4"/>
    <w:bookmarkEnd w:id="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INCYTE CORPORATION</w:t>
      </w:r>
    </w:p>
    <w:p>
      <w:pPr>
        <w:jc w:val="center"/>
        <w:spacing w:after="0" w:line="203" w:lineRule="auto"/>
        <w:rPr>
          <w:sz w:val="20"/>
          <w:szCs w:val="20"/>
          <w:color w:val="auto"/>
        </w:rPr>
      </w:pPr>
      <w:r>
        <w:rPr>
          <w:rFonts w:ascii="Arial" w:cs="Arial" w:eastAsia="Arial" w:hAnsi="Arial"/>
          <w:sz w:val="18"/>
          <w:szCs w:val="18"/>
          <w:b w:val="1"/>
          <w:bCs w:val="1"/>
          <w:color w:val="auto"/>
        </w:rPr>
        <w:t>CONDENSED CONSOLIDATED STATEMENTS OF OPERATIONS</w:t>
      </w:r>
    </w:p>
    <w:p>
      <w:pPr>
        <w:jc w:val="center"/>
        <w:spacing w:after="0"/>
        <w:rPr>
          <w:sz w:val="20"/>
          <w:szCs w:val="20"/>
          <w:color w:val="auto"/>
        </w:rPr>
      </w:pPr>
      <w:r>
        <w:rPr>
          <w:rFonts w:ascii="Arial" w:cs="Arial" w:eastAsia="Arial" w:hAnsi="Arial"/>
          <w:sz w:val="18"/>
          <w:szCs w:val="18"/>
          <w:b w:val="1"/>
          <w:bCs w:val="1"/>
          <w:color w:val="auto"/>
        </w:rPr>
        <w:t>(unaudited, in thousands, except per share amounts)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8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3"/>
              </w:rPr>
              <w:t>Three Months Ended</w:t>
            </w:r>
          </w:p>
        </w:tc>
        <w:tc>
          <w:tcPr>
            <w:tcW w:w="120" w:type="dxa"/>
            <w:vAlign w:val="bottom"/>
          </w:tcPr>
          <w:p>
            <w:pPr>
              <w:spacing w:after="0"/>
              <w:rPr>
                <w:sz w:val="14"/>
                <w:szCs w:val="14"/>
                <w:color w:val="auto"/>
              </w:rPr>
            </w:pPr>
          </w:p>
        </w:tc>
        <w:tc>
          <w:tcPr>
            <w:tcW w:w="178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3"/>
              </w:rPr>
              <w:t>Six Months Ended</w:t>
            </w:r>
          </w:p>
        </w:tc>
      </w:tr>
      <w:tr>
        <w:trPr>
          <w:trHeight w:val="171"/>
        </w:trPr>
        <w:tc>
          <w:tcPr>
            <w:tcW w:w="4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8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89"/>
              </w:rPr>
              <w:t>June 30,</w:t>
            </w:r>
          </w:p>
        </w:tc>
        <w:tc>
          <w:tcPr>
            <w:tcW w:w="120" w:type="dxa"/>
            <w:vAlign w:val="bottom"/>
          </w:tcPr>
          <w:p>
            <w:pPr>
              <w:spacing w:after="0"/>
              <w:rPr>
                <w:sz w:val="14"/>
                <w:szCs w:val="14"/>
                <w:color w:val="auto"/>
              </w:rPr>
            </w:pPr>
          </w:p>
        </w:tc>
        <w:tc>
          <w:tcPr>
            <w:tcW w:w="178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2"/>
              </w:rPr>
              <w:t>June 30,</w:t>
            </w:r>
          </w:p>
        </w:tc>
      </w:tr>
      <w:tr>
        <w:trPr>
          <w:trHeight w:val="142"/>
        </w:trPr>
        <w:tc>
          <w:tcPr>
            <w:tcW w:w="492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CEEFF"/>
            </w:tcBorders>
          </w:tcPr>
          <w:p>
            <w:pPr>
              <w:spacing w:after="0"/>
              <w:rPr>
                <w:sz w:val="12"/>
                <w:szCs w:val="12"/>
                <w:color w:val="auto"/>
              </w:rPr>
            </w:pPr>
          </w:p>
        </w:tc>
      </w:tr>
      <w:tr>
        <w:trPr>
          <w:trHeight w:val="210"/>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920" w:type="dxa"/>
            <w:vAlign w:val="bottom"/>
          </w:tcPr>
          <w:p>
            <w:pPr>
              <w:ind w:left="220"/>
              <w:spacing w:after="0"/>
              <w:rPr>
                <w:sz w:val="20"/>
                <w:szCs w:val="20"/>
                <w:color w:val="auto"/>
              </w:rPr>
            </w:pPr>
            <w:r>
              <w:rPr>
                <w:rFonts w:ascii="Arial" w:cs="Arial" w:eastAsia="Arial" w:hAnsi="Arial"/>
                <w:sz w:val="18"/>
                <w:szCs w:val="18"/>
                <w:color w:val="auto"/>
              </w:rPr>
              <w:t>Product revenues, net</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5"/>
              </w:rPr>
              <w:t>365,524</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291,667</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700,029</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556,474</w:t>
            </w:r>
          </w:p>
        </w:tc>
        <w:tc>
          <w:tcPr>
            <w:tcW w:w="80" w:type="dxa"/>
            <w:vAlign w:val="bottom"/>
          </w:tcPr>
          <w:p>
            <w:pPr>
              <w:spacing w:after="0"/>
              <w:rPr>
                <w:sz w:val="18"/>
                <w:szCs w:val="18"/>
                <w:color w:val="auto"/>
              </w:rPr>
            </w:pPr>
          </w:p>
        </w:tc>
      </w:tr>
      <w:tr>
        <w:trPr>
          <w:trHeight w:val="216"/>
        </w:trPr>
        <w:tc>
          <w:tcPr>
            <w:tcW w:w="4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Product royalty revenues</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55,953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34,769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103,669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63,990</w:t>
            </w:r>
          </w:p>
        </w:tc>
        <w:tc>
          <w:tcPr>
            <w:tcW w:w="80" w:type="dxa"/>
            <w:vAlign w:val="bottom"/>
            <w:shd w:val="clear" w:color="auto" w:fill="CCEEFF"/>
          </w:tcPr>
          <w:p>
            <w:pPr>
              <w:spacing w:after="0"/>
              <w:rPr>
                <w:sz w:val="18"/>
                <w:szCs w:val="18"/>
                <w:color w:val="auto"/>
              </w:rPr>
            </w:pPr>
          </w:p>
        </w:tc>
      </w:tr>
      <w:tr>
        <w:trPr>
          <w:trHeight w:val="216"/>
        </w:trPr>
        <w:tc>
          <w:tcPr>
            <w:tcW w:w="4920" w:type="dxa"/>
            <w:vAlign w:val="bottom"/>
          </w:tcPr>
          <w:p>
            <w:pPr>
              <w:ind w:left="220"/>
              <w:spacing w:after="0"/>
              <w:rPr>
                <w:sz w:val="20"/>
                <w:szCs w:val="20"/>
                <w:color w:val="auto"/>
              </w:rPr>
            </w:pPr>
            <w:r>
              <w:rPr>
                <w:rFonts w:ascii="Arial" w:cs="Arial" w:eastAsia="Arial" w:hAnsi="Arial"/>
                <w:sz w:val="18"/>
                <w:szCs w:val="18"/>
                <w:color w:val="auto"/>
              </w:rPr>
              <w:t>Milestone revenues</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5"/>
              </w:rPr>
              <w:t>100,000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100,000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90,000</w:t>
            </w:r>
          </w:p>
        </w:tc>
        <w:tc>
          <w:tcPr>
            <w:tcW w:w="80" w:type="dxa"/>
            <w:vAlign w:val="bottom"/>
          </w:tcPr>
          <w:p>
            <w:pPr>
              <w:spacing w:after="0"/>
              <w:rPr>
                <w:sz w:val="18"/>
                <w:szCs w:val="18"/>
                <w:color w:val="auto"/>
              </w:rPr>
            </w:pPr>
          </w:p>
        </w:tc>
      </w:tr>
      <w:tr>
        <w:trPr>
          <w:trHeight w:val="216"/>
        </w:trPr>
        <w:tc>
          <w:tcPr>
            <w:tcW w:w="4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revenues</w:t>
            </w:r>
          </w:p>
        </w:tc>
        <w:tc>
          <w:tcPr>
            <w:tcW w:w="3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80" w:type="dxa"/>
            <w:vAlign w:val="bottom"/>
            <w:shd w:val="clear" w:color="auto" w:fill="CCEEFF"/>
          </w:tcPr>
          <w:p>
            <w:pPr>
              <w:spacing w:after="0"/>
              <w:rPr>
                <w:sz w:val="18"/>
                <w:szCs w:val="18"/>
                <w:color w:val="auto"/>
              </w:rPr>
            </w:pPr>
          </w:p>
        </w:tc>
      </w:tr>
      <w:tr>
        <w:trPr>
          <w:trHeight w:val="210"/>
        </w:trPr>
        <w:tc>
          <w:tcPr>
            <w:tcW w:w="4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revenues</w:t>
            </w:r>
          </w:p>
        </w:tc>
        <w:tc>
          <w:tcPr>
            <w:tcW w:w="3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521,516</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326,444</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903,798</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710,526</w:t>
            </w:r>
          </w:p>
        </w:tc>
        <w:tc>
          <w:tcPr>
            <w:tcW w:w="80" w:type="dxa"/>
            <w:vAlign w:val="bottom"/>
            <w:shd w:val="clear" w:color="auto" w:fill="CCEEFF"/>
          </w:tcPr>
          <w:p>
            <w:pPr>
              <w:spacing w:after="0"/>
              <w:rPr>
                <w:sz w:val="18"/>
                <w:szCs w:val="18"/>
                <w:color w:val="auto"/>
              </w:rPr>
            </w:pPr>
          </w:p>
        </w:tc>
      </w:tr>
      <w:tr>
        <w:trPr>
          <w:trHeight w:val="210"/>
        </w:trPr>
        <w:tc>
          <w:tcPr>
            <w:tcW w:w="4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2"/>
        </w:trPr>
        <w:tc>
          <w:tcPr>
            <w:tcW w:w="4920" w:type="dxa"/>
            <w:vAlign w:val="bottom"/>
          </w:tcPr>
          <w:p>
            <w:pPr>
              <w:ind w:left="220"/>
              <w:spacing w:after="0" w:line="201" w:lineRule="exact"/>
              <w:rPr>
                <w:sz w:val="20"/>
                <w:szCs w:val="20"/>
                <w:color w:val="auto"/>
              </w:rPr>
            </w:pPr>
            <w:r>
              <w:rPr>
                <w:rFonts w:ascii="Arial" w:cs="Arial" w:eastAsia="Arial" w:hAnsi="Arial"/>
                <w:sz w:val="18"/>
                <w:szCs w:val="18"/>
                <w:color w:val="auto"/>
                <w:w w:val="99"/>
              </w:rPr>
              <w:t>Cost of product revenues (including definite-lived intangible</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4920" w:type="dxa"/>
            <w:vAlign w:val="bottom"/>
          </w:tcPr>
          <w:p>
            <w:pPr>
              <w:ind w:left="220"/>
              <w:spacing w:after="0"/>
              <w:rPr>
                <w:sz w:val="20"/>
                <w:szCs w:val="20"/>
                <w:color w:val="auto"/>
              </w:rPr>
            </w:pPr>
            <w:r>
              <w:rPr>
                <w:rFonts w:ascii="Arial" w:cs="Arial" w:eastAsia="Arial" w:hAnsi="Arial"/>
                <w:sz w:val="18"/>
                <w:szCs w:val="18"/>
                <w:color w:val="auto"/>
              </w:rPr>
              <w:t>amortization)</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24,856</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20,260</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42,962</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35,084</w:t>
            </w:r>
          </w:p>
        </w:tc>
        <w:tc>
          <w:tcPr>
            <w:tcW w:w="80" w:type="dxa"/>
            <w:vAlign w:val="bottom"/>
          </w:tcPr>
          <w:p>
            <w:pPr>
              <w:spacing w:after="0"/>
              <w:rPr>
                <w:sz w:val="20"/>
                <w:szCs w:val="20"/>
                <w:color w:val="auto"/>
              </w:rPr>
            </w:pPr>
          </w:p>
        </w:tc>
      </w:tr>
      <w:tr>
        <w:trPr>
          <w:trHeight w:val="216"/>
        </w:trPr>
        <w:tc>
          <w:tcPr>
            <w:tcW w:w="4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Research and development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298,089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201,786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601,192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609,706</w:t>
            </w:r>
          </w:p>
        </w:tc>
        <w:tc>
          <w:tcPr>
            <w:tcW w:w="80" w:type="dxa"/>
            <w:vAlign w:val="bottom"/>
            <w:shd w:val="clear" w:color="auto" w:fill="CCEEFF"/>
          </w:tcPr>
          <w:p>
            <w:pPr>
              <w:spacing w:after="0"/>
              <w:rPr>
                <w:sz w:val="18"/>
                <w:szCs w:val="18"/>
                <w:color w:val="auto"/>
              </w:rPr>
            </w:pPr>
          </w:p>
        </w:tc>
      </w:tr>
      <w:tr>
        <w:trPr>
          <w:trHeight w:val="216"/>
        </w:trPr>
        <w:tc>
          <w:tcPr>
            <w:tcW w:w="4920" w:type="dxa"/>
            <w:vAlign w:val="bottom"/>
          </w:tcPr>
          <w:p>
            <w:pPr>
              <w:ind w:left="220"/>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5"/>
              </w:rPr>
              <w:t>108,029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90,066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229,527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177,295</w:t>
            </w:r>
          </w:p>
        </w:tc>
        <w:tc>
          <w:tcPr>
            <w:tcW w:w="80" w:type="dxa"/>
            <w:vAlign w:val="bottom"/>
          </w:tcPr>
          <w:p>
            <w:pPr>
              <w:spacing w:after="0"/>
              <w:rPr>
                <w:sz w:val="18"/>
                <w:szCs w:val="18"/>
                <w:color w:val="auto"/>
              </w:rPr>
            </w:pPr>
          </w:p>
        </w:tc>
      </w:tr>
      <w:tr>
        <w:trPr>
          <w:trHeight w:val="202"/>
        </w:trPr>
        <w:tc>
          <w:tcPr>
            <w:tcW w:w="492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Change in fair value of acquisition-related contingent</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4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consideration</w:t>
            </w:r>
          </w:p>
        </w:tc>
        <w:tc>
          <w:tcPr>
            <w:tcW w:w="3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7,303</w:t>
            </w:r>
          </w:p>
        </w:tc>
        <w:tc>
          <w:tcPr>
            <w:tcW w:w="16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7,073</w:t>
            </w:r>
          </w:p>
        </w:tc>
        <w:tc>
          <w:tcPr>
            <w:tcW w:w="14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13,988</w:t>
            </w:r>
          </w:p>
        </w:tc>
        <w:tc>
          <w:tcPr>
            <w:tcW w:w="14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14,429</w:t>
            </w:r>
          </w:p>
        </w:tc>
        <w:tc>
          <w:tcPr>
            <w:tcW w:w="80" w:type="dxa"/>
            <w:vAlign w:val="bottom"/>
            <w:shd w:val="clear" w:color="auto" w:fill="CCEEFF"/>
          </w:tcPr>
          <w:p>
            <w:pPr>
              <w:spacing w:after="0"/>
              <w:rPr>
                <w:sz w:val="20"/>
                <w:szCs w:val="20"/>
                <w:color w:val="auto"/>
              </w:rPr>
            </w:pPr>
          </w:p>
        </w:tc>
      </w:tr>
      <w:tr>
        <w:trPr>
          <w:trHeight w:val="210"/>
        </w:trPr>
        <w:tc>
          <w:tcPr>
            <w:tcW w:w="4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costs and expenses</w:t>
            </w:r>
          </w:p>
        </w:tc>
        <w:tc>
          <w:tcPr>
            <w:tcW w:w="3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438,277</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319,185</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887,669</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836,514</w:t>
            </w:r>
          </w:p>
        </w:tc>
        <w:tc>
          <w:tcPr>
            <w:tcW w:w="80" w:type="dxa"/>
            <w:vAlign w:val="bottom"/>
            <w:shd w:val="clear" w:color="auto" w:fill="CCEEFF"/>
          </w:tcPr>
          <w:p>
            <w:pPr>
              <w:spacing w:after="0"/>
              <w:rPr>
                <w:sz w:val="18"/>
                <w:szCs w:val="18"/>
                <w:color w:val="auto"/>
              </w:rPr>
            </w:pPr>
          </w:p>
        </w:tc>
      </w:tr>
      <w:tr>
        <w:trPr>
          <w:trHeight w:val="210"/>
        </w:trPr>
        <w:tc>
          <w:tcPr>
            <w:tcW w:w="4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83,239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16,129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(125,988)</w:t>
            </w: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5,808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4,066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10,270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5,213</w:t>
            </w:r>
          </w:p>
        </w:tc>
        <w:tc>
          <w:tcPr>
            <w:tcW w:w="80" w:type="dxa"/>
            <w:vAlign w:val="bottom"/>
          </w:tcPr>
          <w:p>
            <w:pPr>
              <w:spacing w:after="0"/>
              <w:rPr>
                <w:sz w:val="18"/>
                <w:szCs w:val="18"/>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(398)</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(384)</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(783)</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(6,323)</w:t>
            </w: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Unrealized loss on long term investments</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(34,641)</w:t>
            </w:r>
          </w:p>
        </w:tc>
        <w:tc>
          <w:tcPr>
            <w:tcW w:w="1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(19,574)</w:t>
            </w:r>
          </w:p>
        </w:tc>
        <w:tc>
          <w:tcPr>
            <w:tcW w:w="1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(11,962)</w:t>
            </w:r>
          </w:p>
        </w:tc>
        <w:tc>
          <w:tcPr>
            <w:tcW w:w="14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(25,388)</w:t>
            </w: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Expense related to senior note conversions</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(751)</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(54,881)</w:t>
            </w:r>
          </w:p>
        </w:tc>
      </w:tr>
      <w:tr>
        <w:trPr>
          <w:trHeight w:val="210"/>
        </w:trPr>
        <w:tc>
          <w:tcPr>
            <w:tcW w:w="4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Income (loss) before provision (benefit) for income taxes</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54,008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13,654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(207,367)</w:t>
            </w:r>
          </w:p>
        </w:tc>
      </w:tr>
      <w:tr>
        <w:trPr>
          <w:trHeight w:val="216"/>
        </w:trPr>
        <w:tc>
          <w:tcPr>
            <w:tcW w:w="4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(7,800)</w:t>
            </w:r>
          </w:p>
        </w:tc>
      </w:tr>
      <w:tr>
        <w:trPr>
          <w:trHeight w:val="210"/>
        </w:trPr>
        <w:tc>
          <w:tcPr>
            <w:tcW w:w="4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23"/>
        </w:trPr>
        <w:tc>
          <w:tcPr>
            <w:tcW w:w="4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income (loss)</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52,394</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(12,484)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11,254</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(199,567)</w:t>
            </w:r>
          </w:p>
        </w:tc>
      </w:tr>
      <w:tr>
        <w:trPr>
          <w:trHeight w:val="216"/>
        </w:trPr>
        <w:tc>
          <w:tcPr>
            <w:tcW w:w="49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per share:</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Basic</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0.25</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(0.06)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0.05</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(1.00)</w:t>
            </w: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w:t>
            </w:r>
          </w:p>
        </w:tc>
      </w:tr>
      <w:tr>
        <w:trPr>
          <w:trHeight w:val="216"/>
        </w:trPr>
        <w:tc>
          <w:tcPr>
            <w:tcW w:w="4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computing net income (loss) per share:</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Basic</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5"/>
              </w:rPr>
              <w:t>212,210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205,141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211,945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200,200</w:t>
            </w:r>
          </w:p>
        </w:tc>
        <w:tc>
          <w:tcPr>
            <w:tcW w:w="80" w:type="dxa"/>
            <w:vAlign w:val="bottom"/>
          </w:tcPr>
          <w:p>
            <w:pPr>
              <w:spacing w:after="0"/>
              <w:rPr>
                <w:sz w:val="18"/>
                <w:szCs w:val="18"/>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215,103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205,141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215,294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200,200</w:t>
            </w:r>
          </w:p>
        </w:tc>
        <w:tc>
          <w:tcPr>
            <w:tcW w:w="80" w:type="dxa"/>
            <w:vAlign w:val="bottom"/>
            <w:shd w:val="clear" w:color="auto" w:fill="CCEEFF"/>
          </w:tcPr>
          <w:p>
            <w:pPr>
              <w:spacing w:after="0"/>
              <w:rPr>
                <w:sz w:val="18"/>
                <w:szCs w:val="18"/>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 w:name="page5"/>
    <w:bookmarkEnd w:id="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INCYTE CORPORATION</w:t>
      </w:r>
    </w:p>
    <w:p>
      <w:pPr>
        <w:jc w:val="center"/>
        <w:spacing w:after="0" w:line="203" w:lineRule="auto"/>
        <w:rPr>
          <w:sz w:val="20"/>
          <w:szCs w:val="20"/>
          <w:color w:val="auto"/>
        </w:rPr>
      </w:pPr>
      <w:r>
        <w:rPr>
          <w:rFonts w:ascii="Arial" w:cs="Arial" w:eastAsia="Arial" w:hAnsi="Arial"/>
          <w:sz w:val="18"/>
          <w:szCs w:val="18"/>
          <w:b w:val="1"/>
          <w:bCs w:val="1"/>
          <w:color w:val="auto"/>
        </w:rPr>
        <w:t>CONDENSED CONSOLIDATED STATEMENTS OF COMPREHENSIVE INCOME (LOSS)</w:t>
      </w:r>
    </w:p>
    <w:p>
      <w:pPr>
        <w:jc w:val="center"/>
        <w:spacing w:after="0" w:line="204" w:lineRule="auto"/>
        <w:rPr>
          <w:sz w:val="20"/>
          <w:szCs w:val="20"/>
          <w:color w:val="auto"/>
        </w:rPr>
      </w:pPr>
      <w:r>
        <w:rPr>
          <w:rFonts w:ascii="Arial" w:cs="Arial" w:eastAsia="Arial" w:hAnsi="Arial"/>
          <w:sz w:val="18"/>
          <w:szCs w:val="18"/>
          <w:b w:val="1"/>
          <w:bCs w:val="1"/>
          <w:color w:val="auto"/>
        </w:rPr>
        <w:t>(in thousands)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170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3"/>
              </w:rPr>
              <w:t>Three Months Ended</w:t>
            </w:r>
          </w:p>
        </w:tc>
        <w:tc>
          <w:tcPr>
            <w:tcW w:w="60" w:type="dxa"/>
            <w:vAlign w:val="bottom"/>
          </w:tcPr>
          <w:p>
            <w:pPr>
              <w:spacing w:after="0"/>
              <w:rPr>
                <w:sz w:val="14"/>
                <w:szCs w:val="14"/>
                <w:color w:val="auto"/>
              </w:rPr>
            </w:pPr>
          </w:p>
        </w:tc>
        <w:tc>
          <w:tcPr>
            <w:tcW w:w="184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93"/>
              </w:rPr>
              <w:t>Six Months Ended</w:t>
            </w:r>
          </w:p>
        </w:tc>
      </w:tr>
      <w:tr>
        <w:trPr>
          <w:trHeight w:val="171"/>
        </w:trPr>
        <w:tc>
          <w:tcPr>
            <w:tcW w:w="5460" w:type="dxa"/>
            <w:vAlign w:val="bottom"/>
          </w:tcPr>
          <w:p>
            <w:pPr>
              <w:spacing w:after="0"/>
              <w:rPr>
                <w:sz w:val="14"/>
                <w:szCs w:val="14"/>
                <w:color w:val="auto"/>
              </w:rPr>
            </w:pPr>
          </w:p>
        </w:tc>
        <w:tc>
          <w:tcPr>
            <w:tcW w:w="170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89"/>
              </w:rPr>
              <w:t>June 30,</w:t>
            </w:r>
          </w:p>
        </w:tc>
        <w:tc>
          <w:tcPr>
            <w:tcW w:w="60" w:type="dxa"/>
            <w:vAlign w:val="bottom"/>
          </w:tcPr>
          <w:p>
            <w:pPr>
              <w:spacing w:after="0"/>
              <w:rPr>
                <w:sz w:val="14"/>
                <w:szCs w:val="14"/>
                <w:color w:val="auto"/>
              </w:rPr>
            </w:pPr>
          </w:p>
        </w:tc>
        <w:tc>
          <w:tcPr>
            <w:tcW w:w="184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89"/>
              </w:rPr>
              <w:t>June 30,</w:t>
            </w:r>
          </w:p>
        </w:tc>
      </w:tr>
      <w:tr>
        <w:trPr>
          <w:trHeight w:val="142"/>
        </w:trPr>
        <w:tc>
          <w:tcPr>
            <w:tcW w:w="5460" w:type="dxa"/>
            <w:vAlign w:val="bottom"/>
            <w:tcBorders>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CEEFF"/>
            </w:tcBorders>
          </w:tcPr>
          <w:p>
            <w:pPr>
              <w:spacing w:after="0"/>
              <w:rPr>
                <w:sz w:val="12"/>
                <w:szCs w:val="12"/>
                <w:color w:val="auto"/>
              </w:rPr>
            </w:pPr>
          </w:p>
        </w:tc>
      </w:tr>
      <w:tr>
        <w:trPr>
          <w:trHeight w:val="210"/>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$ 52,394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(12,484)</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$ 11,254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(199,567)</w:t>
            </w:r>
          </w:p>
        </w:tc>
        <w:tc>
          <w:tcPr>
            <w:tcW w:w="60" w:type="dxa"/>
            <w:vAlign w:val="bottom"/>
            <w:shd w:val="clear" w:color="auto" w:fill="CCEEFF"/>
          </w:tcPr>
          <w:p>
            <w:pPr>
              <w:spacing w:after="0"/>
              <w:rPr>
                <w:sz w:val="18"/>
                <w:szCs w:val="18"/>
                <w:color w:val="auto"/>
              </w:rPr>
            </w:pPr>
          </w:p>
        </w:tc>
      </w:tr>
      <w:tr>
        <w:trPr>
          <w:trHeight w:val="216"/>
        </w:trPr>
        <w:tc>
          <w:tcPr>
            <w:tcW w:w="5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460" w:type="dxa"/>
            <w:vAlign w:val="bottom"/>
          </w:tcPr>
          <w:p>
            <w:pPr>
              <w:ind w:left="220"/>
              <w:spacing w:after="0"/>
              <w:rPr>
                <w:sz w:val="20"/>
                <w:szCs w:val="20"/>
                <w:color w:val="auto"/>
              </w:rPr>
            </w:pPr>
            <w:r>
              <w:rPr>
                <w:rFonts w:ascii="Arial" w:cs="Arial" w:eastAsia="Arial" w:hAnsi="Arial"/>
                <w:sz w:val="18"/>
                <w:szCs w:val="18"/>
                <w:color w:val="auto"/>
              </w:rPr>
              <w:t>Foreign currency translation</w:t>
            </w:r>
          </w:p>
        </w:tc>
        <w:tc>
          <w:tcPr>
            <w:tcW w:w="700" w:type="dxa"/>
            <w:vAlign w:val="bottom"/>
          </w:tcPr>
          <w:p>
            <w:pPr>
              <w:jc w:val="right"/>
              <w:spacing w:after="0"/>
              <w:rPr>
                <w:sz w:val="20"/>
                <w:szCs w:val="20"/>
                <w:color w:val="auto"/>
              </w:rPr>
            </w:pPr>
            <w:r>
              <w:rPr>
                <w:rFonts w:ascii="Arial" w:cs="Arial" w:eastAsia="Arial" w:hAnsi="Arial"/>
                <w:sz w:val="18"/>
                <w:szCs w:val="18"/>
                <w:color w:val="auto"/>
              </w:rPr>
              <w:t>100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(36)</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135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(43)</w:t>
            </w:r>
          </w:p>
        </w:tc>
      </w:tr>
      <w:tr>
        <w:trPr>
          <w:trHeight w:val="216"/>
        </w:trPr>
        <w:tc>
          <w:tcPr>
            <w:tcW w:w="5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Unrealized gain (loss) on marketable securities, net of tax</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(97)</w:t>
            </w:r>
          </w:p>
        </w:tc>
        <w:tc>
          <w:tcPr>
            <w:tcW w:w="9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(403)</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(131)</w:t>
            </w:r>
          </w:p>
        </w:tc>
      </w:tr>
      <w:tr>
        <w:trPr>
          <w:trHeight w:val="216"/>
        </w:trPr>
        <w:tc>
          <w:tcPr>
            <w:tcW w:w="5460" w:type="dxa"/>
            <w:vAlign w:val="bottom"/>
          </w:tcPr>
          <w:p>
            <w:pPr>
              <w:ind w:left="220"/>
              <w:spacing w:after="0"/>
              <w:rPr>
                <w:sz w:val="20"/>
                <w:szCs w:val="20"/>
                <w:color w:val="auto"/>
              </w:rPr>
            </w:pPr>
            <w:r>
              <w:rPr>
                <w:rFonts w:ascii="Arial" w:cs="Arial" w:eastAsia="Arial" w:hAnsi="Arial"/>
                <w:sz w:val="18"/>
                <w:szCs w:val="18"/>
                <w:color w:val="auto"/>
              </w:rPr>
              <w:t>Unrealized gain on long term investment, net of tax (Note 2)</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5,677</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13,935</w:t>
            </w:r>
          </w:p>
        </w:tc>
        <w:tc>
          <w:tcPr>
            <w:tcW w:w="60" w:type="dxa"/>
            <w:vAlign w:val="bottom"/>
          </w:tcPr>
          <w:p>
            <w:pPr>
              <w:spacing w:after="0"/>
              <w:rPr>
                <w:sz w:val="18"/>
                <w:szCs w:val="18"/>
                <w:color w:val="auto"/>
              </w:rPr>
            </w:pPr>
          </w:p>
        </w:tc>
      </w:tr>
      <w:tr>
        <w:trPr>
          <w:trHeight w:val="216"/>
        </w:trPr>
        <w:tc>
          <w:tcPr>
            <w:tcW w:w="5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Defined benefit pension obligations, net of tax</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60" w:type="dxa"/>
            <w:vAlign w:val="bottom"/>
            <w:shd w:val="clear" w:color="auto" w:fill="CCEEFF"/>
          </w:tcPr>
          <w:p>
            <w:pPr>
              <w:spacing w:after="0"/>
              <w:rPr>
                <w:sz w:val="18"/>
                <w:szCs w:val="18"/>
                <w:color w:val="auto"/>
              </w:rPr>
            </w:pPr>
          </w:p>
        </w:tc>
      </w:tr>
      <w:tr>
        <w:trPr>
          <w:trHeight w:val="210"/>
        </w:trPr>
        <w:tc>
          <w:tcPr>
            <w:tcW w:w="5460" w:type="dxa"/>
            <w:vAlign w:val="bottom"/>
          </w:tcPr>
          <w:p>
            <w:pPr>
              <w:ind w:left="220"/>
              <w:spacing w:after="0"/>
              <w:rPr>
                <w:sz w:val="20"/>
                <w:szCs w:val="20"/>
                <w:color w:val="auto"/>
              </w:rPr>
            </w:pPr>
            <w:r>
              <w:rPr>
                <w:rFonts w:ascii="Arial" w:cs="Arial" w:eastAsia="Arial" w:hAnsi="Arial"/>
                <w:sz w:val="18"/>
                <w:szCs w:val="18"/>
                <w:color w:val="auto"/>
              </w:rPr>
              <w:t>Other comprehensive income (loss)</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313</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5,591</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13,854</w:t>
            </w:r>
          </w:p>
        </w:tc>
        <w:tc>
          <w:tcPr>
            <w:tcW w:w="60" w:type="dxa"/>
            <w:vAlign w:val="bottom"/>
          </w:tcPr>
          <w:p>
            <w:pPr>
              <w:spacing w:after="0"/>
              <w:rPr>
                <w:sz w:val="18"/>
                <w:szCs w:val="18"/>
                <w:color w:val="auto"/>
              </w:rPr>
            </w:pPr>
          </w:p>
        </w:tc>
      </w:tr>
      <w:tr>
        <w:trPr>
          <w:trHeight w:val="216"/>
        </w:trPr>
        <w:tc>
          <w:tcPr>
            <w:tcW w:w="5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3"/>
        </w:trPr>
        <w:tc>
          <w:tcPr>
            <w:tcW w:w="5460" w:type="dxa"/>
            <w:vAlign w:val="bottom"/>
          </w:tcPr>
          <w:p>
            <w:pPr>
              <w:spacing w:after="0"/>
              <w:rPr>
                <w:sz w:val="20"/>
                <w:szCs w:val="20"/>
                <w:color w:val="auto"/>
              </w:rPr>
            </w:pPr>
            <w:r>
              <w:rPr>
                <w:rFonts w:ascii="Arial" w:cs="Arial" w:eastAsia="Arial" w:hAnsi="Arial"/>
                <w:sz w:val="18"/>
                <w:szCs w:val="18"/>
                <w:color w:val="auto"/>
              </w:rPr>
              <w:t>Comprehensive income (loss)</w:t>
            </w:r>
          </w:p>
        </w:tc>
        <w:tc>
          <w:tcPr>
            <w:tcW w:w="700" w:type="dxa"/>
            <w:vAlign w:val="bottom"/>
          </w:tcPr>
          <w:p>
            <w:pPr>
              <w:jc w:val="right"/>
              <w:spacing w:after="0"/>
              <w:rPr>
                <w:sz w:val="20"/>
                <w:szCs w:val="20"/>
                <w:color w:val="auto"/>
              </w:rPr>
            </w:pPr>
            <w:r>
              <w:rPr>
                <w:rFonts w:ascii="Arial" w:cs="Arial" w:eastAsia="Arial" w:hAnsi="Arial"/>
                <w:sz w:val="18"/>
                <w:szCs w:val="18"/>
                <w:color w:val="auto"/>
                <w:w w:val="88"/>
              </w:rPr>
              <w:t>$ 52,707</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(6,893)</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9"/>
              </w:rPr>
              <w:t>$ 11,208</w:t>
            </w:r>
          </w:p>
        </w:tc>
        <w:tc>
          <w:tcPr>
            <w:tcW w:w="140" w:type="dxa"/>
            <w:vAlign w:val="bottom"/>
          </w:tcPr>
          <w:p>
            <w:pPr>
              <w:spacing w:after="0"/>
              <w:rPr>
                <w:sz w:val="19"/>
                <w:szCs w:val="19"/>
                <w:color w:val="auto"/>
              </w:rPr>
            </w:pPr>
          </w:p>
        </w:tc>
        <w:tc>
          <w:tcPr>
            <w:tcW w:w="16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(185,713)</w:t>
            </w:r>
          </w:p>
        </w:tc>
      </w:tr>
      <w:tr>
        <w:trPr>
          <w:trHeight w:val="378"/>
        </w:trPr>
        <w:tc>
          <w:tcPr>
            <w:tcW w:w="5460" w:type="dxa"/>
            <w:vAlign w:val="bottom"/>
          </w:tcPr>
          <w:p>
            <w:pPr>
              <w:ind w:left="3620"/>
              <w:spacing w:after="0"/>
              <w:rPr>
                <w:sz w:val="20"/>
                <w:szCs w:val="20"/>
                <w:color w:val="auto"/>
              </w:rPr>
            </w:pPr>
            <w:r>
              <w:rPr>
                <w:rFonts w:ascii="Arial" w:cs="Arial" w:eastAsia="Arial" w:hAnsi="Arial"/>
                <w:sz w:val="18"/>
                <w:szCs w:val="18"/>
                <w:color w:val="auto"/>
                <w:w w:val="87"/>
              </w:rPr>
              <w:t>See accompanying notes.</w:t>
            </w:r>
          </w:p>
        </w:tc>
        <w:tc>
          <w:tcPr>
            <w:tcW w:w="7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621"/>
        </w:trPr>
        <w:tc>
          <w:tcPr>
            <w:tcW w:w="5460" w:type="dxa"/>
            <w:vAlign w:val="bottom"/>
          </w:tcPr>
          <w:p>
            <w:pPr>
              <w:ind w:left="4480"/>
              <w:spacing w:after="0"/>
              <w:rPr>
                <w:sz w:val="20"/>
                <w:szCs w:val="20"/>
                <w:color w:val="auto"/>
              </w:rPr>
            </w:pPr>
            <w:r>
              <w:rPr>
                <w:rFonts w:ascii="Arial" w:cs="Arial" w:eastAsia="Arial" w:hAnsi="Arial"/>
                <w:sz w:val="18"/>
                <w:szCs w:val="18"/>
                <w:color w:val="auto"/>
              </w:rPr>
              <w:t>5</w:t>
            </w: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29"/>
        </w:trPr>
        <w:tc>
          <w:tcPr>
            <w:tcW w:w="54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5" w:right="1419" w:bottom="1440" w:gutter="0" w:footer="0" w:header="0"/>
        </w:sectPr>
      </w:pPr>
    </w:p>
    <w:bookmarkStart w:id="5" w:name="page6"/>
    <w:bookmarkEnd w:id="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INCYTE CORPORATION</w:t>
      </w:r>
    </w:p>
    <w:p>
      <w:pPr>
        <w:jc w:val="center"/>
        <w:spacing w:after="0" w:line="203" w:lineRule="auto"/>
        <w:rPr>
          <w:sz w:val="20"/>
          <w:szCs w:val="20"/>
          <w:color w:val="auto"/>
        </w:rPr>
      </w:pPr>
      <w:r>
        <w:rPr>
          <w:rFonts w:ascii="Arial" w:cs="Arial" w:eastAsia="Arial" w:hAnsi="Arial"/>
          <w:sz w:val="18"/>
          <w:szCs w:val="18"/>
          <w:b w:val="1"/>
          <w:bCs w:val="1"/>
          <w:color w:val="auto"/>
        </w:rPr>
        <w:t>CONDENSED CONSOLIDATED STATEMENTS OF CASH FLOWS</w:t>
      </w:r>
    </w:p>
    <w:p>
      <w:pPr>
        <w:jc w:val="center"/>
        <w:spacing w:after="0" w:line="204" w:lineRule="auto"/>
        <w:rPr>
          <w:sz w:val="20"/>
          <w:szCs w:val="20"/>
          <w:color w:val="auto"/>
        </w:rPr>
      </w:pPr>
      <w:r>
        <w:rPr>
          <w:rFonts w:ascii="Arial" w:cs="Arial" w:eastAsia="Arial" w:hAnsi="Arial"/>
          <w:sz w:val="18"/>
          <w:szCs w:val="18"/>
          <w:b w:val="1"/>
          <w:bCs w:val="1"/>
          <w:color w:val="auto"/>
        </w:rPr>
        <w:t>(in thousands)</w:t>
      </w:r>
    </w:p>
    <w:p>
      <w:pPr>
        <w:jc w:val="center"/>
        <w:spacing w:after="0" w:line="225" w:lineRule="auto"/>
        <w:rPr>
          <w:sz w:val="20"/>
          <w:szCs w:val="20"/>
          <w:color w:val="auto"/>
        </w:rPr>
      </w:pPr>
      <w:r>
        <w:rPr>
          <w:rFonts w:ascii="Arial" w:cs="Arial" w:eastAsia="Arial" w:hAnsi="Arial"/>
          <w:sz w:val="18"/>
          <w:szCs w:val="18"/>
          <w:b w:val="1"/>
          <w:bCs w:val="1"/>
          <w:color w:val="auto"/>
        </w:rPr>
        <w:t>(unaudited)</w:t>
      </w:r>
    </w:p>
    <w:p>
      <w:pPr>
        <w:jc w:val="center"/>
        <w:ind w:left="7040"/>
        <w:spacing w:after="0" w:line="221" w:lineRule="auto"/>
        <w:rPr>
          <w:sz w:val="20"/>
          <w:szCs w:val="20"/>
          <w:color w:val="auto"/>
        </w:rPr>
      </w:pPr>
      <w:r>
        <w:rPr>
          <w:rFonts w:ascii="Arial" w:cs="Arial" w:eastAsia="Arial" w:hAnsi="Arial"/>
          <w:sz w:val="14"/>
          <w:szCs w:val="14"/>
          <w:b w:val="1"/>
          <w:bCs w:val="1"/>
          <w:color w:val="auto"/>
        </w:rPr>
        <w:t>Six Months Ended</w:t>
      </w:r>
    </w:p>
    <w:p>
      <w:pPr>
        <w:jc w:val="center"/>
        <w:ind w:left="7040"/>
        <w:spacing w:after="0" w:line="232" w:lineRule="auto"/>
        <w:rPr>
          <w:sz w:val="20"/>
          <w:szCs w:val="20"/>
          <w:color w:val="auto"/>
        </w:rPr>
      </w:pPr>
      <w:r>
        <w:rPr>
          <w:rFonts w:ascii="Arial" w:cs="Arial" w:eastAsia="Arial" w:hAnsi="Arial"/>
          <w:sz w:val="14"/>
          <w:szCs w:val="14"/>
          <w:b w:val="1"/>
          <w:bCs w:val="1"/>
          <w:color w:val="auto"/>
        </w:rPr>
        <w:t>June 30,</w:t>
      </w:r>
    </w:p>
    <w:tbl>
      <w:tblPr>
        <w:tblLayout w:type="fixed"/>
        <w:tblInd w:w="0" w:type="dxa"/>
        <w:tblCellMar>
          <w:top w:w="0" w:type="dxa"/>
          <w:left w:w="0" w:type="dxa"/>
          <w:bottom w:w="0" w:type="dxa"/>
          <w:right w:w="0" w:type="dxa"/>
        </w:tblCellMar>
      </w:tblPr>
      <w:tr>
        <w:trPr>
          <w:trHeight w:val="142"/>
        </w:trPr>
        <w:tc>
          <w:tcPr>
            <w:tcW w:w="70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2018</w:t>
            </w:r>
          </w:p>
        </w:tc>
        <w:tc>
          <w:tcPr>
            <w:tcW w:w="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CEEFF"/>
            </w:tcBorders>
          </w:tcPr>
          <w:p>
            <w:pPr>
              <w:spacing w:after="0"/>
              <w:rPr>
                <w:sz w:val="12"/>
                <w:szCs w:val="12"/>
                <w:color w:val="auto"/>
              </w:rPr>
            </w:pPr>
          </w:p>
        </w:tc>
      </w:tr>
      <w:tr>
        <w:trPr>
          <w:trHeight w:val="210"/>
        </w:trPr>
        <w:tc>
          <w:tcPr>
            <w:tcW w:w="7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Net income (loss)</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11,254</w:t>
            </w:r>
          </w:p>
        </w:tc>
        <w:tc>
          <w:tcPr>
            <w:tcW w:w="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(199,567)</w:t>
            </w:r>
          </w:p>
        </w:tc>
      </w:tr>
      <w:tr>
        <w:trPr>
          <w:trHeight w:val="202"/>
        </w:trPr>
        <w:tc>
          <w:tcPr>
            <w:tcW w:w="7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Adjustments to reconcile net income (loss) to net cash provided by (used in) operating</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activities:</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16"/>
        </w:trPr>
        <w:tc>
          <w:tcPr>
            <w:tcW w:w="700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26,925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27,379</w:t>
            </w:r>
          </w:p>
        </w:tc>
        <w:tc>
          <w:tcPr>
            <w:tcW w:w="80" w:type="dxa"/>
            <w:vAlign w:val="bottom"/>
          </w:tcPr>
          <w:p>
            <w:pPr>
              <w:spacing w:after="0"/>
              <w:rPr>
                <w:sz w:val="18"/>
                <w:szCs w:val="18"/>
                <w:color w:val="auto"/>
              </w:rPr>
            </w:pPr>
          </w:p>
        </w:tc>
      </w:tr>
      <w:tr>
        <w:trPr>
          <w:trHeight w:val="216"/>
        </w:trPr>
        <w:tc>
          <w:tcPr>
            <w:tcW w:w="7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Stock-based compensation</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72,829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64,358</w:t>
            </w:r>
          </w:p>
        </w:tc>
        <w:tc>
          <w:tcPr>
            <w:tcW w:w="80" w:type="dxa"/>
            <w:vAlign w:val="bottom"/>
            <w:shd w:val="clear" w:color="auto" w:fill="CCEEFF"/>
          </w:tcPr>
          <w:p>
            <w:pPr>
              <w:spacing w:after="0"/>
              <w:rPr>
                <w:sz w:val="18"/>
                <w:szCs w:val="18"/>
                <w:color w:val="auto"/>
              </w:rPr>
            </w:pPr>
          </w:p>
        </w:tc>
      </w:tr>
      <w:tr>
        <w:trPr>
          <w:trHeight w:val="216"/>
        </w:trPr>
        <w:tc>
          <w:tcPr>
            <w:tcW w:w="7000" w:type="dxa"/>
            <w:vAlign w:val="bottom"/>
          </w:tcPr>
          <w:p>
            <w:pPr>
              <w:ind w:left="220"/>
              <w:spacing w:after="0"/>
              <w:rPr>
                <w:sz w:val="20"/>
                <w:szCs w:val="20"/>
                <w:color w:val="auto"/>
              </w:rPr>
            </w:pPr>
            <w:r>
              <w:rPr>
                <w:rFonts w:ascii="Arial" w:cs="Arial" w:eastAsia="Arial" w:hAnsi="Arial"/>
                <w:sz w:val="18"/>
                <w:szCs w:val="18"/>
                <w:color w:val="auto"/>
              </w:rPr>
              <w:t>Expense related to senior note conversions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54,881</w:t>
            </w:r>
          </w:p>
        </w:tc>
        <w:tc>
          <w:tcPr>
            <w:tcW w:w="80" w:type="dxa"/>
            <w:vAlign w:val="bottom"/>
          </w:tcPr>
          <w:p>
            <w:pPr>
              <w:spacing w:after="0"/>
              <w:rPr>
                <w:sz w:val="18"/>
                <w:szCs w:val="18"/>
                <w:color w:val="auto"/>
              </w:rPr>
            </w:pPr>
          </w:p>
        </w:tc>
      </w:tr>
      <w:tr>
        <w:trPr>
          <w:trHeight w:val="216"/>
        </w:trPr>
        <w:tc>
          <w:tcPr>
            <w:tcW w:w="7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net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80" w:type="dxa"/>
            <w:vAlign w:val="bottom"/>
            <w:shd w:val="clear" w:color="auto" w:fill="CCEEFF"/>
          </w:tcPr>
          <w:p>
            <w:pPr>
              <w:spacing w:after="0"/>
              <w:rPr>
                <w:sz w:val="18"/>
                <w:szCs w:val="18"/>
                <w:color w:val="auto"/>
              </w:rPr>
            </w:pPr>
          </w:p>
        </w:tc>
      </w:tr>
      <w:tr>
        <w:trPr>
          <w:trHeight w:val="216"/>
        </w:trPr>
        <w:tc>
          <w:tcPr>
            <w:tcW w:w="7000" w:type="dxa"/>
            <w:vAlign w:val="bottom"/>
          </w:tcPr>
          <w:p>
            <w:pPr>
              <w:ind w:left="220"/>
              <w:spacing w:after="0"/>
              <w:rPr>
                <w:sz w:val="20"/>
                <w:szCs w:val="20"/>
                <w:color w:val="auto"/>
              </w:rPr>
            </w:pPr>
            <w:r>
              <w:rPr>
                <w:rFonts w:ascii="Arial" w:cs="Arial" w:eastAsia="Arial" w:hAnsi="Arial"/>
                <w:sz w:val="18"/>
                <w:szCs w:val="18"/>
                <w:color w:val="auto"/>
              </w:rPr>
              <w:t>Unrealized loss on long term investments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11,962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25,388</w:t>
            </w:r>
          </w:p>
        </w:tc>
        <w:tc>
          <w:tcPr>
            <w:tcW w:w="80" w:type="dxa"/>
            <w:vAlign w:val="bottom"/>
          </w:tcPr>
          <w:p>
            <w:pPr>
              <w:spacing w:after="0"/>
              <w:rPr>
                <w:sz w:val="18"/>
                <w:szCs w:val="18"/>
                <w:color w:val="auto"/>
              </w:rPr>
            </w:pPr>
          </w:p>
        </w:tc>
      </w:tr>
      <w:tr>
        <w:trPr>
          <w:trHeight w:val="216"/>
        </w:trPr>
        <w:tc>
          <w:tcPr>
            <w:tcW w:w="7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 in fair value of acquisition-related contingent consideration</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13,988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14,429</w:t>
            </w:r>
          </w:p>
        </w:tc>
        <w:tc>
          <w:tcPr>
            <w:tcW w:w="80" w:type="dxa"/>
            <w:vAlign w:val="bottom"/>
            <w:shd w:val="clear" w:color="auto" w:fill="CCEEFF"/>
          </w:tcPr>
          <w:p>
            <w:pPr>
              <w:spacing w:after="0"/>
              <w:rPr>
                <w:sz w:val="18"/>
                <w:szCs w:val="18"/>
                <w:color w:val="auto"/>
              </w:rPr>
            </w:pPr>
          </w:p>
        </w:tc>
      </w:tr>
      <w:tr>
        <w:trPr>
          <w:trHeight w:val="216"/>
        </w:trPr>
        <w:tc>
          <w:tcPr>
            <w:tcW w:w="7000" w:type="dxa"/>
            <w:vAlign w:val="bottom"/>
          </w:tcPr>
          <w:p>
            <w:pPr>
              <w:ind w:left="220"/>
              <w:spacing w:after="0"/>
              <w:rPr>
                <w:sz w:val="20"/>
                <w:szCs w:val="20"/>
                <w:color w:val="auto"/>
              </w:rPr>
            </w:pPr>
            <w:r>
              <w:rPr>
                <w:rFonts w:ascii="Arial" w:cs="Arial" w:eastAsia="Arial" w:hAnsi="Arial"/>
                <w:sz w:val="18"/>
                <w:szCs w:val="18"/>
                <w:color w:val="auto"/>
              </w:rPr>
              <w:t>Changes in operating assets and liabilities: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Accounts receivable</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(50,011)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(20,758)</w:t>
            </w:r>
          </w:p>
        </w:tc>
      </w:tr>
      <w:tr>
        <w:trPr>
          <w:trHeight w:val="216"/>
        </w:trPr>
        <w:tc>
          <w:tcPr>
            <w:tcW w:w="7000" w:type="dxa"/>
            <w:vAlign w:val="bottom"/>
          </w:tcPr>
          <w:p>
            <w:pPr>
              <w:ind w:left="320"/>
              <w:spacing w:after="0"/>
              <w:rPr>
                <w:sz w:val="20"/>
                <w:szCs w:val="20"/>
                <w:color w:val="auto"/>
              </w:rPr>
            </w:pPr>
            <w:r>
              <w:rPr>
                <w:rFonts w:ascii="Arial" w:cs="Arial" w:eastAsia="Arial" w:hAnsi="Arial"/>
                <w:sz w:val="18"/>
                <w:szCs w:val="18"/>
                <w:color w:val="auto"/>
              </w:rPr>
              <w:t>Prepaid expenses and other assets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(23,589)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(33,492)</w:t>
            </w:r>
          </w:p>
        </w:tc>
      </w:tr>
      <w:tr>
        <w:trPr>
          <w:trHeight w:val="216"/>
        </w:trPr>
        <w:tc>
          <w:tcPr>
            <w:tcW w:w="7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Inventory</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4,462</w:t>
            </w:r>
          </w:p>
        </w:tc>
        <w:tc>
          <w:tcPr>
            <w:tcW w:w="80" w:type="dxa"/>
            <w:vAlign w:val="bottom"/>
            <w:shd w:val="clear" w:color="auto" w:fill="CCEEFF"/>
          </w:tcPr>
          <w:p>
            <w:pPr>
              <w:spacing w:after="0"/>
              <w:rPr>
                <w:sz w:val="18"/>
                <w:szCs w:val="18"/>
                <w:color w:val="auto"/>
              </w:rPr>
            </w:pPr>
          </w:p>
        </w:tc>
      </w:tr>
      <w:tr>
        <w:trPr>
          <w:trHeight w:val="216"/>
        </w:trPr>
        <w:tc>
          <w:tcPr>
            <w:tcW w:w="7000" w:type="dxa"/>
            <w:vAlign w:val="bottom"/>
          </w:tcPr>
          <w:p>
            <w:pPr>
              <w:ind w:left="320"/>
              <w:spacing w:after="0"/>
              <w:rPr>
                <w:sz w:val="20"/>
                <w:szCs w:val="20"/>
                <w:color w:val="auto"/>
              </w:rPr>
            </w:pPr>
            <w:r>
              <w:rPr>
                <w:rFonts w:ascii="Arial" w:cs="Arial" w:eastAsia="Arial" w:hAnsi="Arial"/>
                <w:sz w:val="18"/>
                <w:szCs w:val="18"/>
                <w:color w:val="auto"/>
              </w:rPr>
              <w:t>Accounts payable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7,888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(6,506)</w:t>
            </w:r>
          </w:p>
        </w:tc>
      </w:tr>
      <w:tr>
        <w:trPr>
          <w:trHeight w:val="216"/>
        </w:trPr>
        <w:tc>
          <w:tcPr>
            <w:tcW w:w="7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Accrued and other liabilities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(20,055)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12,436</w:t>
            </w:r>
          </w:p>
        </w:tc>
        <w:tc>
          <w:tcPr>
            <w:tcW w:w="80" w:type="dxa"/>
            <w:vAlign w:val="bottom"/>
            <w:shd w:val="clear" w:color="auto" w:fill="CCEEFF"/>
          </w:tcPr>
          <w:p>
            <w:pPr>
              <w:spacing w:after="0"/>
              <w:rPr>
                <w:sz w:val="18"/>
                <w:szCs w:val="18"/>
                <w:color w:val="auto"/>
              </w:rPr>
            </w:pPr>
          </w:p>
        </w:tc>
      </w:tr>
      <w:tr>
        <w:trPr>
          <w:trHeight w:val="210"/>
        </w:trPr>
        <w:tc>
          <w:tcPr>
            <w:tcW w:w="700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Net cash provided by (used in) operating activities</w:t>
            </w:r>
          </w:p>
        </w:tc>
        <w:tc>
          <w:tcPr>
            <w:tcW w:w="1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53,241</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(56,844)</w:t>
            </w:r>
          </w:p>
        </w:tc>
        <w:tc>
          <w:tcPr>
            <w:tcW w:w="80" w:type="dxa"/>
            <w:vAlign w:val="bottom"/>
            <w:tcBorders>
              <w:bottom w:val="single" w:sz="8" w:color="CCEEFF"/>
            </w:tcBorders>
          </w:tcPr>
          <w:p>
            <w:pPr>
              <w:spacing w:after="0"/>
              <w:rPr>
                <w:sz w:val="18"/>
                <w:szCs w:val="18"/>
                <w:color w:val="auto"/>
              </w:rPr>
            </w:pPr>
          </w:p>
        </w:tc>
      </w:tr>
      <w:tr>
        <w:trPr>
          <w:trHeight w:val="210"/>
        </w:trPr>
        <w:tc>
          <w:tcPr>
            <w:tcW w:w="7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Purchase of long term investments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(8,936)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(123,891)</w:t>
            </w: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(23,381)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(51,466)</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Purchases of marketable securities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(58,827)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(115,254)</w:t>
            </w: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Sale and maturities of marketable securities</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58,694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114,474</w:t>
            </w:r>
          </w:p>
        </w:tc>
        <w:tc>
          <w:tcPr>
            <w:tcW w:w="80" w:type="dxa"/>
            <w:vAlign w:val="bottom"/>
            <w:shd w:val="clear" w:color="auto" w:fill="CCEEFF"/>
          </w:tcPr>
          <w:p>
            <w:pPr>
              <w:spacing w:after="0"/>
              <w:rPr>
                <w:sz w:val="18"/>
                <w:szCs w:val="18"/>
                <w:color w:val="auto"/>
              </w:rPr>
            </w:pPr>
          </w:p>
        </w:tc>
      </w:tr>
      <w:tr>
        <w:trPr>
          <w:trHeight w:val="210"/>
        </w:trPr>
        <w:tc>
          <w:tcPr>
            <w:tcW w:w="700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Net cash used in investing activities</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(32,450)</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(176,137)</w:t>
            </w:r>
          </w:p>
        </w:tc>
        <w:tc>
          <w:tcPr>
            <w:tcW w:w="80" w:type="dxa"/>
            <w:vAlign w:val="bottom"/>
            <w:tcBorders>
              <w:bottom w:val="single" w:sz="8" w:color="CCEEFF"/>
            </w:tcBorders>
          </w:tcPr>
          <w:p>
            <w:pPr>
              <w:spacing w:after="0"/>
              <w:rPr>
                <w:sz w:val="18"/>
                <w:szCs w:val="18"/>
                <w:color w:val="auto"/>
              </w:rPr>
            </w:pPr>
          </w:p>
        </w:tc>
      </w:tr>
      <w:tr>
        <w:trPr>
          <w:trHeight w:val="210"/>
        </w:trPr>
        <w:tc>
          <w:tcPr>
            <w:tcW w:w="7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Proceeds from issuance of common stock under stock plans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18,043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49,461</w:t>
            </w:r>
          </w:p>
        </w:tc>
        <w:tc>
          <w:tcPr>
            <w:tcW w:w="80" w:type="dxa"/>
            <w:vAlign w:val="bottom"/>
          </w:tcPr>
          <w:p>
            <w:pPr>
              <w:spacing w:after="0"/>
              <w:rPr>
                <w:sz w:val="18"/>
                <w:szCs w:val="18"/>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Cash paid in connection with senior note conversions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(8,934)</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Payment of contingent consideration</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(9,886)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(8,035)</w:t>
            </w:r>
          </w:p>
        </w:tc>
      </w:tr>
      <w:tr>
        <w:trPr>
          <w:trHeight w:val="210"/>
        </w:trPr>
        <w:tc>
          <w:tcPr>
            <w:tcW w:w="7000" w:type="dxa"/>
            <w:vAlign w:val="bottom"/>
            <w:tcBorders>
              <w:top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Net cash provided by financing activities</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8,157</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32,492</w:t>
            </w: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7000" w:type="dxa"/>
            <w:vAlign w:val="bottom"/>
          </w:tcPr>
          <w:p>
            <w:pPr>
              <w:spacing w:after="0"/>
              <w:rPr>
                <w:sz w:val="20"/>
                <w:szCs w:val="20"/>
                <w:color w:val="auto"/>
              </w:rPr>
            </w:pPr>
            <w:r>
              <w:rPr>
                <w:rFonts w:ascii="Arial" w:cs="Arial" w:eastAsia="Arial" w:hAnsi="Arial"/>
                <w:sz w:val="18"/>
                <w:szCs w:val="18"/>
                <w:color w:val="auto"/>
              </w:rPr>
              <w:t>Effect of exchange rates on cash and cash equivalents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18"/>
                <w:szCs w:val="18"/>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cash equivalents, restricted cash and investments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29,083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(200,532)</w:t>
            </w:r>
          </w:p>
        </w:tc>
      </w:tr>
      <w:tr>
        <w:trPr>
          <w:trHeight w:val="216"/>
        </w:trPr>
        <w:tc>
          <w:tcPr>
            <w:tcW w:w="7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cash equivalents, restricted cash and investments at beginning of period</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900,434</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653,229</w:t>
            </w:r>
          </w:p>
        </w:tc>
        <w:tc>
          <w:tcPr>
            <w:tcW w:w="80" w:type="dxa"/>
            <w:vAlign w:val="bottom"/>
            <w:tcBorders>
              <w:bottom w:val="single" w:sz="8" w:color="CCEEFF"/>
            </w:tcBorders>
          </w:tcPr>
          <w:p>
            <w:pPr>
              <w:spacing w:after="0"/>
              <w:rPr>
                <w:sz w:val="18"/>
                <w:szCs w:val="18"/>
                <w:color w:val="auto"/>
              </w:rPr>
            </w:pPr>
          </w:p>
        </w:tc>
      </w:tr>
      <w:tr>
        <w:trPr>
          <w:trHeight w:val="230"/>
        </w:trPr>
        <w:tc>
          <w:tcPr>
            <w:tcW w:w="7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cash equivalents, restricted cash and investments at end of period</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929,517</w:t>
            </w: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452,697</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03"/>
        </w:trPr>
        <w:tc>
          <w:tcPr>
            <w:tcW w:w="7000" w:type="dxa"/>
            <w:vAlign w:val="bottom"/>
          </w:tcPr>
          <w:p>
            <w:pPr>
              <w:spacing w:after="0" w:line="203" w:lineRule="exact"/>
              <w:rPr>
                <w:sz w:val="20"/>
                <w:szCs w:val="20"/>
                <w:color w:val="auto"/>
              </w:rPr>
            </w:pPr>
            <w:r>
              <w:rPr>
                <w:rFonts w:ascii="Arial" w:cs="Arial" w:eastAsia="Arial" w:hAnsi="Arial"/>
                <w:sz w:val="18"/>
                <w:szCs w:val="18"/>
                <w:b w:val="1"/>
                <w:bCs w:val="1"/>
                <w:color w:val="auto"/>
              </w:rPr>
              <w:t>Supplemental Schedule of Cash Flow Information</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Interest paid</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80" w:type="dxa"/>
            <w:vAlign w:val="bottom"/>
            <w:shd w:val="clear" w:color="auto" w:fill="CCEEFF"/>
          </w:tcPr>
          <w:p>
            <w:pPr>
              <w:spacing w:after="0"/>
              <w:rPr>
                <w:sz w:val="18"/>
                <w:szCs w:val="18"/>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Income taxes paid</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1,944</w:t>
            </w:r>
          </w:p>
        </w:tc>
        <w:tc>
          <w:tcPr>
            <w:tcW w:w="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5,561</w:t>
            </w:r>
          </w:p>
        </w:tc>
        <w:tc>
          <w:tcPr>
            <w:tcW w:w="80" w:type="dxa"/>
            <w:vAlign w:val="bottom"/>
          </w:tcPr>
          <w:p>
            <w:pPr>
              <w:spacing w:after="0"/>
              <w:rPr>
                <w:sz w:val="18"/>
                <w:szCs w:val="18"/>
                <w:color w:val="auto"/>
              </w:rPr>
            </w:pPr>
          </w:p>
        </w:tc>
      </w:tr>
      <w:tr>
        <w:trPr>
          <w:trHeight w:val="202"/>
        </w:trPr>
        <w:tc>
          <w:tcPr>
            <w:tcW w:w="7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Reclassification to common stock and additional paid in capital in connection with conversions</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of 0.375% convertible senior notes due 2018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8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351,034</w:t>
            </w:r>
          </w:p>
        </w:tc>
        <w:tc>
          <w:tcPr>
            <w:tcW w:w="80" w:type="dxa"/>
            <w:vAlign w:val="bottom"/>
            <w:shd w:val="clear" w:color="auto" w:fill="CCEEFF"/>
          </w:tcPr>
          <w:p>
            <w:pPr>
              <w:spacing w:after="0"/>
              <w:rPr>
                <w:sz w:val="20"/>
                <w:szCs w:val="20"/>
                <w:color w:val="auto"/>
              </w:rPr>
            </w:pPr>
          </w:p>
        </w:tc>
      </w:tr>
      <w:tr>
        <w:trPr>
          <w:trHeight w:val="202"/>
        </w:trPr>
        <w:tc>
          <w:tcPr>
            <w:tcW w:w="7000" w:type="dxa"/>
            <w:vAlign w:val="bottom"/>
          </w:tcPr>
          <w:p>
            <w:pPr>
              <w:spacing w:after="0" w:line="201" w:lineRule="exact"/>
              <w:rPr>
                <w:sz w:val="20"/>
                <w:szCs w:val="20"/>
                <w:color w:val="auto"/>
              </w:rPr>
            </w:pPr>
            <w:r>
              <w:rPr>
                <w:rFonts w:ascii="Arial" w:cs="Arial" w:eastAsia="Arial" w:hAnsi="Arial"/>
                <w:sz w:val="18"/>
                <w:szCs w:val="18"/>
                <w:color w:val="auto"/>
                <w:w w:val="93"/>
              </w:rPr>
              <w:t>Reclassification to common stock and additional paid in capital in connection with conversions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7000" w:type="dxa"/>
            <w:vAlign w:val="bottom"/>
          </w:tcPr>
          <w:p>
            <w:pPr>
              <w:spacing w:after="0"/>
              <w:rPr>
                <w:sz w:val="20"/>
                <w:szCs w:val="20"/>
                <w:color w:val="auto"/>
              </w:rPr>
            </w:pPr>
            <w:r>
              <w:rPr>
                <w:rFonts w:ascii="Arial" w:cs="Arial" w:eastAsia="Arial" w:hAnsi="Arial"/>
                <w:sz w:val="18"/>
                <w:szCs w:val="18"/>
                <w:color w:val="auto"/>
              </w:rPr>
              <w:t>of 1.25% convertible senior notes due 2020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330,010</w:t>
            </w:r>
          </w:p>
        </w:tc>
        <w:tc>
          <w:tcPr>
            <w:tcW w:w="80" w:type="dxa"/>
            <w:vAlign w:val="bottom"/>
          </w:tcPr>
          <w:p>
            <w:pPr>
              <w:spacing w:after="0"/>
              <w:rPr>
                <w:sz w:val="20"/>
                <w:szCs w:val="20"/>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Unpaid purchases of property and equipment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10,866</w:t>
            </w:r>
          </w:p>
        </w:tc>
        <w:tc>
          <w:tcPr>
            <w:tcW w:w="80" w:type="dxa"/>
            <w:vAlign w:val="bottom"/>
            <w:shd w:val="clear" w:color="auto" w:fill="CCEEFF"/>
          </w:tcPr>
          <w:p>
            <w:pPr>
              <w:spacing w:after="0"/>
              <w:rPr>
                <w:sz w:val="18"/>
                <w:szCs w:val="18"/>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 w:name="page7"/>
    <w:bookmarkEnd w:id="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INCYTE CORPORATION</w:t>
      </w:r>
    </w:p>
    <w:p>
      <w:pPr>
        <w:jc w:val="center"/>
        <w:spacing w:after="0" w:line="203" w:lineRule="auto"/>
        <w:rPr>
          <w:sz w:val="20"/>
          <w:szCs w:val="20"/>
          <w:color w:val="auto"/>
        </w:rPr>
      </w:pPr>
      <w:r>
        <w:rPr>
          <w:rFonts w:ascii="Arial" w:cs="Arial" w:eastAsia="Arial" w:hAnsi="Arial"/>
          <w:sz w:val="18"/>
          <w:szCs w:val="18"/>
          <w:b w:val="1"/>
          <w:bCs w:val="1"/>
          <w:color w:val="auto"/>
        </w:rPr>
        <w:t>NOTES TO CONDENSED CONSOLIDATED FINANCIAL STATEMENTS</w:t>
      </w:r>
    </w:p>
    <w:p>
      <w:pPr>
        <w:jc w:val="center"/>
        <w:spacing w:after="0" w:line="204" w:lineRule="auto"/>
        <w:rPr>
          <w:sz w:val="20"/>
          <w:szCs w:val="20"/>
          <w:color w:val="auto"/>
        </w:rPr>
      </w:pPr>
      <w:r>
        <w:rPr>
          <w:rFonts w:ascii="Arial" w:cs="Arial" w:eastAsia="Arial" w:hAnsi="Arial"/>
          <w:sz w:val="18"/>
          <w:szCs w:val="18"/>
          <w:b w:val="1"/>
          <w:bCs w:val="1"/>
          <w:color w:val="auto"/>
        </w:rPr>
        <w:t>June 30, 2018</w:t>
      </w:r>
    </w:p>
    <w:p>
      <w:pPr>
        <w:jc w:val="center"/>
        <w:spacing w:after="0"/>
        <w:rPr>
          <w:sz w:val="20"/>
          <w:szCs w:val="20"/>
          <w:color w:val="auto"/>
        </w:rPr>
      </w:pPr>
      <w:r>
        <w:rPr>
          <w:rFonts w:ascii="Arial" w:cs="Arial" w:eastAsia="Arial" w:hAnsi="Arial"/>
          <w:sz w:val="18"/>
          <w:szCs w:val="18"/>
          <w:color w:val="auto"/>
        </w:rPr>
        <w:t>(Unaudited)</w:t>
      </w:r>
    </w:p>
    <w:p>
      <w:pPr>
        <w:spacing w:after="0" w:line="138" w:lineRule="exact"/>
        <w:rPr>
          <w:sz w:val="20"/>
          <w:szCs w:val="20"/>
          <w:color w:val="auto"/>
        </w:rPr>
      </w:pPr>
    </w:p>
    <w:p>
      <w:pPr>
        <w:ind w:left="360" w:hanging="357"/>
        <w:spacing w:after="0"/>
        <w:tabs>
          <w:tab w:leader="none" w:pos="3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business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Incyte Corporation (including its subsidiaries, “Incyte,” “we,” “us,” or “our”) is a biopharmaceutical company focused on developing and commercializing proprietary therapeutics. Our portfolio includes compounds in various stages, ranging from preclinical to late stage development, and commercialized products JAKAFI® (ruxolitinib) and ICLUSIG® (ponatinib). Our operations are treated as one operating segment.</w:t>
      </w:r>
    </w:p>
    <w:p>
      <w:pPr>
        <w:spacing w:after="0" w:line="183" w:lineRule="exact"/>
        <w:rPr>
          <w:sz w:val="20"/>
          <w:szCs w:val="20"/>
          <w:color w:val="auto"/>
        </w:rPr>
      </w:pPr>
    </w:p>
    <w:p>
      <w:pPr>
        <w:ind w:left="660" w:right="5400" w:hanging="657"/>
        <w:spacing w:after="0" w:line="503" w:lineRule="auto"/>
        <w:tabs>
          <w:tab w:leader="none" w:pos="372"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Basis of presentation</w:t>
      </w:r>
    </w:p>
    <w:p>
      <w:pPr>
        <w:spacing w:after="0" w:line="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accompanying unaudited condensed consolidated financial statements have been prepared in accordance with accounting principles generally accepted in the United States for interim financial information and with the instructions to Form 10-Q and Article 10 of Regulation S-X. The condensed consolidated balance sheet as of June 30, 2018, the condensed consolidated statements of operations and comprehensive income (loss) for the three and six months ended June 30, 2018 and 2017, and the condensed consolidated statements of cash flows for the six months ended June 30, 2018 and 2017 are unaudited, but include all adjustments, consisting only of normal recurring adjustments, which we consider necessary for a fair presentation of the financial position, operating results and cash flows for the periods presented. The condensed consolidated balance sheet at December 31, 2017 has been derived from audited financial statements.</w:t>
      </w:r>
    </w:p>
    <w:p>
      <w:pPr>
        <w:spacing w:after="0" w:line="16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Although we believe that the disclosures in these financial statements are adequate to make the information presented not misleading, certain information and footnote information normally included in financial statements prepared in accordance with accounting principles generally accepted in the United States (“U.S. GAAP”) have been condensed or omitted pursuant to the rules and regulations of the Securities and Exchange Commission.</w:t>
      </w:r>
    </w:p>
    <w:p>
      <w:pPr>
        <w:spacing w:after="0" w:line="17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Results for any interim period are not necessarily indicative of results for any future interim period or for the entire year. The accompanying financial statements should be read in conjunction with the financial statements and notes thereto included in our Annual Report on Form 10-K for the year ended December 31, 2017.</w:t>
      </w:r>
    </w:p>
    <w:p>
      <w:pPr>
        <w:spacing w:after="0" w:line="16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Principles of Consolidation. </w:t>
      </w:r>
      <w:r>
        <w:rPr>
          <w:rFonts w:ascii="Arial" w:cs="Arial" w:eastAsia="Arial" w:hAnsi="Arial"/>
          <w:sz w:val="18"/>
          <w:szCs w:val="18"/>
          <w:color w:val="auto"/>
        </w:rPr>
        <w:t>The condensed consolidated financial statements include the accounts of Incyte</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Corporation and our wholly owned subsidiaries. All inter-company accounts, transactions, and profits have been eliminated in consolidation.</w:t>
      </w:r>
    </w:p>
    <w:p>
      <w:pPr>
        <w:spacing w:after="0" w:line="18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i w:val="1"/>
          <w:iCs w:val="1"/>
          <w:color w:val="auto"/>
        </w:rPr>
        <w:t>Foreign Currency Translation</w:t>
      </w:r>
      <w:r>
        <w:rPr>
          <w:rFonts w:ascii="Arial" w:cs="Arial" w:eastAsia="Arial" w:hAnsi="Arial"/>
          <w:sz w:val="17"/>
          <w:szCs w:val="17"/>
          <w:color w:val="auto"/>
        </w:rPr>
        <w:t>. Operations in non-U.S. entities are recorded in the functional currency of each entity.</w:t>
      </w:r>
      <w:r>
        <w:rPr>
          <w:rFonts w:ascii="Arial" w:cs="Arial" w:eastAsia="Arial" w:hAnsi="Arial"/>
          <w:sz w:val="17"/>
          <w:szCs w:val="17"/>
          <w:i w:val="1"/>
          <w:iCs w:val="1"/>
          <w:color w:val="auto"/>
        </w:rPr>
        <w:t xml:space="preserve"> </w:t>
      </w:r>
      <w:r>
        <w:rPr>
          <w:rFonts w:ascii="Arial" w:cs="Arial" w:eastAsia="Arial" w:hAnsi="Arial"/>
          <w:sz w:val="17"/>
          <w:szCs w:val="17"/>
          <w:color w:val="auto"/>
        </w:rPr>
        <w:t>For financial reporting purposes, the functional currency of an entity is determined by a review of the source of an entity's most predominant cash flows. The results of operations for any non-U.S. dollar functional currency entities are translated from functional currencies into U.S. dollars using the average currency rate during each month. Assets and liabilities are translated using currency rates at the end of the period. Adjustments resulting from translating the financial statements of our foreign entities that use their local currency as the functional currency into U.S. dollars are reflected as a component of other comprehensive income (loss). Transaction gains and losses are recorded in other income (expense), net on the condensed consolidated statements of operations.</w:t>
      </w:r>
    </w:p>
    <w:p>
      <w:pPr>
        <w:spacing w:after="0" w:line="17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i w:val="1"/>
          <w:iCs w:val="1"/>
          <w:color w:val="auto"/>
        </w:rPr>
        <w:t xml:space="preserve">Use of Estimates. </w:t>
      </w:r>
      <w:r>
        <w:rPr>
          <w:rFonts w:ascii="Arial" w:cs="Arial" w:eastAsia="Arial" w:hAnsi="Arial"/>
          <w:sz w:val="17"/>
          <w:szCs w:val="17"/>
          <w:color w:val="auto"/>
        </w:rPr>
        <w:t>The preparation of financial statements in conformity with accounting principles generally</w:t>
      </w:r>
      <w:r>
        <w:rPr>
          <w:rFonts w:ascii="Arial" w:cs="Arial" w:eastAsia="Arial" w:hAnsi="Arial"/>
          <w:sz w:val="17"/>
          <w:szCs w:val="17"/>
          <w:i w:val="1"/>
          <w:iCs w:val="1"/>
          <w:color w:val="auto"/>
        </w:rPr>
        <w:t xml:space="preserve"> </w:t>
      </w:r>
      <w:r>
        <w:rPr>
          <w:rFonts w:ascii="Arial" w:cs="Arial" w:eastAsia="Arial" w:hAnsi="Arial"/>
          <w:sz w:val="17"/>
          <w:szCs w:val="17"/>
          <w:color w:val="auto"/>
        </w:rPr>
        <w:t>accepted in the United States requires management to make estimates and assumptions that affect the amounts reported in the financial statements and accompanying notes. Actual results could differ from those estimates.</w:t>
      </w:r>
    </w:p>
    <w:p>
      <w:pPr>
        <w:spacing w:after="0" w:line="166"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i w:val="1"/>
          <w:iCs w:val="1"/>
          <w:color w:val="auto"/>
        </w:rPr>
        <w:t xml:space="preserve">Concentrations of Credit Risk. </w:t>
      </w:r>
      <w:r>
        <w:rPr>
          <w:rFonts w:ascii="Arial" w:cs="Arial" w:eastAsia="Arial" w:hAnsi="Arial"/>
          <w:sz w:val="16"/>
          <w:szCs w:val="16"/>
          <w:color w:val="auto"/>
        </w:rPr>
        <w:t>Cash, cash equivalents, marketable securities, and trade receivables are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instruments which potentially subject us to concentrations of credit risk. The estimated fair value of financial instruments approximates the carrying value based on available market information. We primarily invest our excess available funds in debt securities and, by policy, limit the amount of credit exposure to any one issuer and to any one type of investment,</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 w:name="page8"/>
    <w:bookmarkEnd w:id="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other than securities issued or guaranteed by the U.S. government and money market funds that meet certain guidelines. Our receivables mainly relate to our product sales of JAKAFI, ICLUSIG and collaborative agreements with pharmaceutical companies. We have not experienced any significant credit losses on cash, cash equivalents, marketable securities or trade receivables to date and do not require collateral on receivables.</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Cash and cash equivalents are held in banks or in custodial accounts with banks. Cash</w:t>
      </w:r>
      <w:r>
        <w:rPr>
          <w:rFonts w:ascii="Arial" w:cs="Arial" w:eastAsia="Arial" w:hAnsi="Arial"/>
          <w:sz w:val="18"/>
          <w:szCs w:val="18"/>
          <w:i w:val="1"/>
          <w:iCs w:val="1"/>
          <w:color w:val="auto"/>
        </w:rPr>
        <w:t xml:space="preserve"> </w:t>
      </w:r>
      <w:r>
        <w:rPr>
          <w:rFonts w:ascii="Arial" w:cs="Arial" w:eastAsia="Arial" w:hAnsi="Arial"/>
          <w:sz w:val="18"/>
          <w:szCs w:val="18"/>
          <w:color w:val="auto"/>
        </w:rPr>
        <w:t>equivalents are defined as all liquid investments and money market funds with maturity from date of purchase of 90 days or less that are readily convertible into cash.</w:t>
      </w:r>
    </w:p>
    <w:p>
      <w:pPr>
        <w:spacing w:after="0" w:line="18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i w:val="1"/>
          <w:iCs w:val="1"/>
          <w:color w:val="auto"/>
        </w:rPr>
        <w:t xml:space="preserve">Marketable Securities—Available-for-Sale. </w:t>
      </w:r>
      <w:r>
        <w:rPr>
          <w:rFonts w:ascii="Arial" w:cs="Arial" w:eastAsia="Arial" w:hAnsi="Arial"/>
          <w:sz w:val="16"/>
          <w:szCs w:val="16"/>
          <w:color w:val="auto"/>
        </w:rPr>
        <w:t>Our marketable securities consist of investments in corporate debt</w:t>
      </w:r>
      <w:r>
        <w:rPr>
          <w:rFonts w:ascii="Arial" w:cs="Arial" w:eastAsia="Arial" w:hAnsi="Arial"/>
          <w:sz w:val="16"/>
          <w:szCs w:val="16"/>
          <w:i w:val="1"/>
          <w:iCs w:val="1"/>
          <w:color w:val="auto"/>
        </w:rPr>
        <w:t xml:space="preserve"> </w:t>
      </w:r>
      <w:r>
        <w:rPr>
          <w:rFonts w:ascii="Arial" w:cs="Arial" w:eastAsia="Arial" w:hAnsi="Arial"/>
          <w:sz w:val="16"/>
          <w:szCs w:val="16"/>
          <w:color w:val="auto"/>
        </w:rPr>
        <w:t>securities and U.S. government securities that are classified as available-for-sale. Available-for-sale securities are carried at fair value, based on quoted market prices and observable inputs, with unrealized gains and losses, net of tax, reported as a separate component of stockholders’ equity. We classify marketable securities that are available for use in current operations as current assets on the condensed consolidated balance sheets. Realized gains and losses and declines in value judged to be other than temporary for available-for-sale securities are included in other income (expense), net on the condensed consolidated statements of operations. The cost of securities sold is based on the specific identification method.</w:t>
      </w:r>
    </w:p>
    <w:p>
      <w:pPr>
        <w:spacing w:after="0" w:line="16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Accounts Receivable. </w:t>
      </w:r>
      <w:r>
        <w:rPr>
          <w:rFonts w:ascii="Arial" w:cs="Arial" w:eastAsia="Arial" w:hAnsi="Arial"/>
          <w:sz w:val="18"/>
          <w:szCs w:val="18"/>
          <w:color w:val="auto"/>
        </w:rPr>
        <w:t>As of June 30, 2018 and December 31, 2017, we had no allowance for doubtful accounts. We</w:t>
      </w:r>
      <w:r>
        <w:rPr>
          <w:rFonts w:ascii="Arial" w:cs="Arial" w:eastAsia="Arial" w:hAnsi="Arial"/>
          <w:sz w:val="18"/>
          <w:szCs w:val="18"/>
          <w:i w:val="1"/>
          <w:iCs w:val="1"/>
          <w:color w:val="auto"/>
        </w:rPr>
        <w:t xml:space="preserve"> </w:t>
      </w:r>
      <w:r>
        <w:rPr>
          <w:rFonts w:ascii="Arial" w:cs="Arial" w:eastAsia="Arial" w:hAnsi="Arial"/>
          <w:sz w:val="18"/>
          <w:szCs w:val="18"/>
          <w:color w:val="auto"/>
        </w:rPr>
        <w:t>provide an allowance for doubtful accounts based on experience and specifically identified risks. Accounts receivable are carried at fair value and charged off against the allowance for doubtful accounts when we determine that recovery is unlikely and we cease collection efforts.</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Inventory. </w:t>
      </w:r>
      <w:r>
        <w:rPr>
          <w:rFonts w:ascii="Arial" w:cs="Arial" w:eastAsia="Arial" w:hAnsi="Arial"/>
          <w:sz w:val="18"/>
          <w:szCs w:val="18"/>
          <w:color w:val="auto"/>
        </w:rPr>
        <w:t>Inventories are determined at the lower of cost and net realizable value with cost determined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specific identification method and may consist of raw materials, work in process and finished goods.</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JAKAFI raw materials and work-in-process inventory is not subject to expiration and the shelf life of finished goods inventory is 36 months from the start of manufacturing of the finished goods. ICLUSIG raw materials and work-in-process inventory is not subject to expiration and finished goods inventory has a shelf life of 24 months from the start of manufacturing of the finished goods. We evaluate for potential excess inventory by analyzing current and future product demand relative to the remaining product shelf life. We build demand forecasts by considering factors such as, but not limited to, overall market potential, market share, market acceptance and patient usage. We classify inventory as current on the condensed consolidated balance sheets when we expect inventory to be consumed for commercial use within the next twelve months.</w:t>
      </w:r>
    </w:p>
    <w:p>
      <w:pPr>
        <w:spacing w:after="0" w:line="19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i w:val="1"/>
          <w:iCs w:val="1"/>
          <w:color w:val="auto"/>
        </w:rPr>
        <w:t>Variable Interest Entities</w:t>
      </w:r>
      <w:r>
        <w:rPr>
          <w:rFonts w:ascii="Arial" w:cs="Arial" w:eastAsia="Arial" w:hAnsi="Arial"/>
          <w:sz w:val="17"/>
          <w:szCs w:val="17"/>
          <w:color w:val="auto"/>
        </w:rPr>
        <w:t>. We perform an initial and ongoing evaluation of the entities with which we have variable</w:t>
      </w:r>
      <w:r>
        <w:rPr>
          <w:rFonts w:ascii="Arial" w:cs="Arial" w:eastAsia="Arial" w:hAnsi="Arial"/>
          <w:sz w:val="17"/>
          <w:szCs w:val="17"/>
          <w:i w:val="1"/>
          <w:iCs w:val="1"/>
          <w:color w:val="auto"/>
        </w:rPr>
        <w:t xml:space="preserve"> </w:t>
      </w:r>
      <w:r>
        <w:rPr>
          <w:rFonts w:ascii="Arial" w:cs="Arial" w:eastAsia="Arial" w:hAnsi="Arial"/>
          <w:sz w:val="17"/>
          <w:szCs w:val="17"/>
          <w:color w:val="auto"/>
        </w:rPr>
        <w:t>interests, such as equity ownership, in order to identify entities (i) that do not have sufficient equity investment at risk to permit the entity to finance its activities without additional subordinated financial support or (ii) in which the equity investors lack an essential characteristic of a controlling financial interest as variable interest entities (“VIE” or “VIEs”). If an entity is identified as a VIE, we perform an assessment to determine whether we have both (i) the power to direct activities that most significantly impact the VIE’s economic performance and (ii) have the obligation to absorb losses from or the right to receive benefits of the VIE that could potentially be significant to the VIE. If both of these criteria are satisfied, we are identified as the primary beneficiary of the VIE. As of June 30, 2018, there were no entities in which we held a variable interest which we determined to be VIEs.</w:t>
      </w:r>
    </w:p>
    <w:p>
      <w:pPr>
        <w:spacing w:after="0" w:line="18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i w:val="1"/>
          <w:iCs w:val="1"/>
          <w:color w:val="auto"/>
        </w:rPr>
        <w:t xml:space="preserve">Long Term Equity Investments. </w:t>
      </w:r>
      <w:r>
        <w:rPr>
          <w:rFonts w:ascii="Arial" w:cs="Arial" w:eastAsia="Arial" w:hAnsi="Arial"/>
          <w:sz w:val="17"/>
          <w:szCs w:val="17"/>
          <w:color w:val="auto"/>
        </w:rPr>
        <w:t>Our long term equity investments consist of investments in common stock of</w:t>
      </w:r>
      <w:r>
        <w:rPr>
          <w:rFonts w:ascii="Arial" w:cs="Arial" w:eastAsia="Arial" w:hAnsi="Arial"/>
          <w:sz w:val="17"/>
          <w:szCs w:val="17"/>
          <w:i w:val="1"/>
          <w:iCs w:val="1"/>
          <w:color w:val="auto"/>
        </w:rPr>
        <w:t xml:space="preserve"> </w:t>
      </w:r>
      <w:r>
        <w:rPr>
          <w:rFonts w:ascii="Arial" w:cs="Arial" w:eastAsia="Arial" w:hAnsi="Arial"/>
          <w:sz w:val="17"/>
          <w:szCs w:val="17"/>
          <w:color w:val="auto"/>
        </w:rPr>
        <w:t>publicly-held companies with whom we have entered into collaboration and license agreements. We classify all of our equity investments in common stock of publicly-held companies as long term investments on our condensed consolidated balance sheets. Our equity investments are accounted for at fair value using readily determinable pricing available on a securities exchange on our condensed consolidated balance sheets. All changes in fair value are reported in our condensed consolidated statements of operations as an unrealized gain (loss) on long term investments.</w:t>
      </w:r>
    </w:p>
    <w:p>
      <w:pPr>
        <w:spacing w:after="0" w:line="178"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In assessing whether we exercise significant influence over any of the companies in which we hold equity investments, we consider the nature and magnitude of our investment, any voting and protective rights we hold, any participation in the governance of the other company, and other relevant factors such as the presence of a collaboration or</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 w:name="page9"/>
    <w:bookmarkEnd w:id="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business relationship. Currently, none of our equity investments in publicly-held companies are considered relationships in which we are able to assert control.</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i w:val="1"/>
          <w:iCs w:val="1"/>
          <w:color w:val="auto"/>
        </w:rPr>
        <w:t xml:space="preserve">Property and Equipment. </w:t>
      </w:r>
      <w:r>
        <w:rPr>
          <w:rFonts w:ascii="Arial" w:cs="Arial" w:eastAsia="Arial" w:hAnsi="Arial"/>
          <w:sz w:val="17"/>
          <w:szCs w:val="17"/>
          <w:color w:val="auto"/>
        </w:rPr>
        <w:t>Property and equipment is stated at cost, less accumulated depreciation and amortization.</w:t>
      </w:r>
      <w:r>
        <w:rPr>
          <w:rFonts w:ascii="Arial" w:cs="Arial" w:eastAsia="Arial" w:hAnsi="Arial"/>
          <w:sz w:val="17"/>
          <w:szCs w:val="17"/>
          <w:i w:val="1"/>
          <w:iCs w:val="1"/>
          <w:color w:val="auto"/>
        </w:rPr>
        <w:t xml:space="preserve"> </w:t>
      </w:r>
      <w:r>
        <w:rPr>
          <w:rFonts w:ascii="Arial" w:cs="Arial" w:eastAsia="Arial" w:hAnsi="Arial"/>
          <w:sz w:val="17"/>
          <w:szCs w:val="17"/>
          <w:color w:val="auto"/>
        </w:rPr>
        <w:t>Depreciation is recorded using the straight-line method over the estimated useful lives of the respective assets. Leasehold improvements are amortized over the shorter of the estimated useful life of the assets or lease term.</w:t>
      </w:r>
    </w:p>
    <w:p>
      <w:pPr>
        <w:spacing w:after="0" w:line="16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Management continually reviews the estimated useful lives of technologically sensitive equipment and believes that those estimates appropriately reflect the current useful life of our assets. In the event that a currently unknown significantly advanced technology became commercially available, we would re-evaluate the value and estimated useful lives of our existing equipment, possibly having a material impact on the financial statements.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Lease Accounting. </w:t>
      </w:r>
      <w:r>
        <w:rPr>
          <w:rFonts w:ascii="Arial" w:cs="Arial" w:eastAsia="Arial" w:hAnsi="Arial"/>
          <w:sz w:val="18"/>
          <w:szCs w:val="18"/>
          <w:color w:val="auto"/>
        </w:rPr>
        <w:t>We account for operating leases by recording rent expense on a straight-line basis over the</w:t>
      </w:r>
      <w:r>
        <w:rPr>
          <w:rFonts w:ascii="Arial" w:cs="Arial" w:eastAsia="Arial" w:hAnsi="Arial"/>
          <w:sz w:val="18"/>
          <w:szCs w:val="18"/>
          <w:i w:val="1"/>
          <w:iCs w:val="1"/>
          <w:color w:val="auto"/>
        </w:rPr>
        <w:t xml:space="preserve"> </w:t>
      </w:r>
      <w:r>
        <w:rPr>
          <w:rFonts w:ascii="Arial" w:cs="Arial" w:eastAsia="Arial" w:hAnsi="Arial"/>
          <w:sz w:val="18"/>
          <w:szCs w:val="18"/>
          <w:color w:val="auto"/>
        </w:rPr>
        <w:t>expected life of the lease, commencing on the date we gain possession of leased property. We include tenant improvement allowances and rent holidays received from landlords and the effect of any rent escalation clauses to determine the straight-line rent expense over the expected life of the lease.</w:t>
      </w:r>
    </w:p>
    <w:p>
      <w:pPr>
        <w:spacing w:after="0" w:line="187"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Capital leases are reflected as a liability at the inception of the lease based on the present value of the minimum lease payments or, if lower, the fair value of the property. Assets under capital leases are recorded in property and equipment, net on the condensed consolidated balance sheets and depreciated in a manner similar to other property and equipment.</w:t>
      </w:r>
    </w:p>
    <w:p>
      <w:pPr>
        <w:spacing w:after="0" w:line="14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i w:val="1"/>
          <w:iCs w:val="1"/>
          <w:color w:val="auto"/>
        </w:rPr>
        <w:t xml:space="preserve">Other Intangible Assets, net. </w:t>
      </w:r>
      <w:r>
        <w:rPr>
          <w:rFonts w:ascii="Arial" w:cs="Arial" w:eastAsia="Arial" w:hAnsi="Arial"/>
          <w:sz w:val="17"/>
          <w:szCs w:val="17"/>
          <w:color w:val="auto"/>
        </w:rPr>
        <w:t>Other intangible assets, net consist of licensed intellectual property rights acquired in</w:t>
      </w:r>
      <w:r>
        <w:rPr>
          <w:rFonts w:ascii="Arial" w:cs="Arial" w:eastAsia="Arial" w:hAnsi="Arial"/>
          <w:sz w:val="17"/>
          <w:szCs w:val="17"/>
          <w:i w:val="1"/>
          <w:iCs w:val="1"/>
          <w:color w:val="auto"/>
        </w:rPr>
        <w:t xml:space="preserve"> </w:t>
      </w:r>
      <w:r>
        <w:rPr>
          <w:rFonts w:ascii="Arial" w:cs="Arial" w:eastAsia="Arial" w:hAnsi="Arial"/>
          <w:sz w:val="17"/>
          <w:szCs w:val="17"/>
          <w:color w:val="auto"/>
        </w:rPr>
        <w:t>business combinations, which are reported at acquisition date fair value, less accumulated amortization. Intangible assets with finite lives are amortized over their estimated useful lives using the straight-line method.</w:t>
      </w:r>
    </w:p>
    <w:p>
      <w:pPr>
        <w:spacing w:after="0" w:line="16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Impairment of Long-Lived Assets. </w:t>
      </w:r>
      <w:r>
        <w:rPr>
          <w:rFonts w:ascii="Arial" w:cs="Arial" w:eastAsia="Arial" w:hAnsi="Arial"/>
          <w:sz w:val="18"/>
          <w:szCs w:val="18"/>
          <w:color w:val="auto"/>
        </w:rPr>
        <w:t>Long-lived assets with finite lives are tested for impairment whenever events or</w:t>
      </w:r>
      <w:r>
        <w:rPr>
          <w:rFonts w:ascii="Arial" w:cs="Arial" w:eastAsia="Arial" w:hAnsi="Arial"/>
          <w:sz w:val="18"/>
          <w:szCs w:val="18"/>
          <w:i w:val="1"/>
          <w:iCs w:val="1"/>
          <w:color w:val="auto"/>
        </w:rPr>
        <w:t xml:space="preserve"> </w:t>
      </w:r>
      <w:r>
        <w:rPr>
          <w:rFonts w:ascii="Arial" w:cs="Arial" w:eastAsia="Arial" w:hAnsi="Arial"/>
          <w:sz w:val="18"/>
          <w:szCs w:val="18"/>
          <w:color w:val="auto"/>
        </w:rPr>
        <w:t>changes in circumstances indicate that the carrying value of an asset may not be recoverable. If indicators of impairment are present, the asset is tested for recoverability by comparing the carrying value of the asset to the related estimated undiscounted future cash flows expected to be derived from the asset. If the expected cash flows are less than the carrying value of the asset, then the asset is considered to be impaired and its carrying value is written down to fair value, based on the related estimated discounted future cash flows.</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i w:val="1"/>
          <w:iCs w:val="1"/>
          <w:color w:val="auto"/>
        </w:rPr>
        <w:t xml:space="preserve">Goodwill. </w:t>
      </w:r>
      <w:r>
        <w:rPr>
          <w:rFonts w:ascii="Arial" w:cs="Arial" w:eastAsia="Arial" w:hAnsi="Arial"/>
          <w:sz w:val="18"/>
          <w:szCs w:val="18"/>
          <w:color w:val="auto"/>
        </w:rPr>
        <w:t>Goodwill is calculated as the difference between the acquisition date fair value of the consideration</w:t>
      </w:r>
      <w:r>
        <w:rPr>
          <w:rFonts w:ascii="Arial" w:cs="Arial" w:eastAsia="Arial" w:hAnsi="Arial"/>
          <w:sz w:val="18"/>
          <w:szCs w:val="18"/>
          <w:i w:val="1"/>
          <w:iCs w:val="1"/>
          <w:color w:val="auto"/>
        </w:rPr>
        <w:t xml:space="preserve"> </w:t>
      </w:r>
      <w:r>
        <w:rPr>
          <w:rFonts w:ascii="Arial" w:cs="Arial" w:eastAsia="Arial" w:hAnsi="Arial"/>
          <w:sz w:val="18"/>
          <w:szCs w:val="18"/>
          <w:color w:val="auto"/>
        </w:rPr>
        <w:t>transferred and the values assigned to the assets acquired and liabilities assumed. Goodwill is not amortized but is tested for impairment at the reporting unit level at least annually as of October 1 or when a triggering event occurs that could indicate a potential impairment by assessing qualitative factors or performing a quantitative analysis in determining whether it is more likely than not that the fair value of net assets are below their carrying amounts. A reporting unit is the same as, or one level below, an operating segment. Our operations are currently comprised of a single, entity wide reporting unit. We completed our most recent annual impairment assessment as of October 1, 2017 and determined that the carrying value of our reporting unit was not impaired.</w:t>
      </w:r>
    </w:p>
    <w:p>
      <w:pPr>
        <w:spacing w:after="0" w:line="19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i w:val="1"/>
          <w:iCs w:val="1"/>
          <w:color w:val="auto"/>
        </w:rPr>
        <w:t xml:space="preserve">Income Taxes. </w:t>
      </w:r>
      <w:r>
        <w:rPr>
          <w:rFonts w:ascii="Arial" w:cs="Arial" w:eastAsia="Arial" w:hAnsi="Arial"/>
          <w:sz w:val="17"/>
          <w:szCs w:val="17"/>
          <w:color w:val="auto"/>
        </w:rPr>
        <w:t>We account for income taxes using the asset and liability approach which requires the recognition of</w:t>
      </w:r>
      <w:r>
        <w:rPr>
          <w:rFonts w:ascii="Arial" w:cs="Arial" w:eastAsia="Arial" w:hAnsi="Arial"/>
          <w:sz w:val="17"/>
          <w:szCs w:val="17"/>
          <w:i w:val="1"/>
          <w:iCs w:val="1"/>
          <w:color w:val="auto"/>
        </w:rPr>
        <w:t xml:space="preserve"> </w:t>
      </w:r>
      <w:r>
        <w:rPr>
          <w:rFonts w:ascii="Arial" w:cs="Arial" w:eastAsia="Arial" w:hAnsi="Arial"/>
          <w:sz w:val="17"/>
          <w:szCs w:val="17"/>
          <w:color w:val="auto"/>
        </w:rPr>
        <w:t>deferred tax assets and liabilities for the expected future tax consequences of temporary differences between the carrying amount of assets and liabilities for financial reporting purposes and amounts reportable for income tax purposes. Deferred tax assets are reduced by a valuation allowance when, in the opinion of management, it is more-likely-than-not that some portion or all of the deferred tax assets will not be realized.</w:t>
      </w:r>
    </w:p>
    <w:p>
      <w:pPr>
        <w:spacing w:after="0" w:line="17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addition, we follow the guidance related to accounting for uncertainty in income taxes. This guidance creates a single model to address uncertainty in tax positions and clarifies the accounting for income taxes by prescribing the minimum recognition threshold a tax position is required to meet before it is recognized in the financial statements.</w:t>
      </w:r>
    </w:p>
    <w:p>
      <w:pPr>
        <w:spacing w:after="0" w:line="166"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i w:val="1"/>
          <w:iCs w:val="1"/>
          <w:color w:val="auto"/>
        </w:rPr>
        <w:t xml:space="preserve">Financing Costs Related to Long-term Debt. </w:t>
      </w:r>
      <w:r>
        <w:rPr>
          <w:rFonts w:ascii="Arial" w:cs="Arial" w:eastAsia="Arial" w:hAnsi="Arial"/>
          <w:sz w:val="17"/>
          <w:szCs w:val="17"/>
          <w:color w:val="auto"/>
        </w:rPr>
        <w:t>Costs associated with obtaining long-term debt are deferred and</w:t>
      </w:r>
      <w:r>
        <w:rPr>
          <w:rFonts w:ascii="Arial" w:cs="Arial" w:eastAsia="Arial" w:hAnsi="Arial"/>
          <w:sz w:val="17"/>
          <w:szCs w:val="17"/>
          <w:i w:val="1"/>
          <w:iCs w:val="1"/>
          <w:color w:val="auto"/>
        </w:rPr>
        <w:t xml:space="preserve"> </w:t>
      </w:r>
      <w:r>
        <w:rPr>
          <w:rFonts w:ascii="Arial" w:cs="Arial" w:eastAsia="Arial" w:hAnsi="Arial"/>
          <w:sz w:val="17"/>
          <w:szCs w:val="17"/>
          <w:color w:val="auto"/>
        </w:rPr>
        <w:t>amortized over the term of the related debt using the effective interest method. Such costs are presented as a direct</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 w:name="page10"/>
    <w:bookmarkEnd w:id="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deduction from the carrying amount of the long-term debt liability, consistent with debt discounts, on the condensed consolidated balance sheets.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Grant Accounting. </w:t>
      </w:r>
      <w:r>
        <w:rPr>
          <w:rFonts w:ascii="Arial" w:cs="Arial" w:eastAsia="Arial" w:hAnsi="Arial"/>
          <w:sz w:val="18"/>
          <w:szCs w:val="18"/>
          <w:color w:val="auto"/>
        </w:rPr>
        <w:t>Grant amounts received from government agencies for operations are deferred and are amortized</w:t>
      </w:r>
      <w:r>
        <w:rPr>
          <w:rFonts w:ascii="Arial" w:cs="Arial" w:eastAsia="Arial" w:hAnsi="Arial"/>
          <w:sz w:val="18"/>
          <w:szCs w:val="18"/>
          <w:i w:val="1"/>
          <w:iCs w:val="1"/>
          <w:color w:val="auto"/>
        </w:rPr>
        <w:t xml:space="preserve"> </w:t>
      </w:r>
      <w:r>
        <w:rPr>
          <w:rFonts w:ascii="Arial" w:cs="Arial" w:eastAsia="Arial" w:hAnsi="Arial"/>
          <w:sz w:val="18"/>
          <w:szCs w:val="18"/>
          <w:color w:val="auto"/>
        </w:rPr>
        <w:t>into income over the service period of the grant. Grant amounts received for purchases of capital assets are deferred and amortized into other income (expense), net over the useful life of the related capital assets. Such amounts are recorded in other liabilities on the condensed consolidated balance sheets.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Net Income (Loss) Per Share. </w:t>
      </w:r>
      <w:r>
        <w:rPr>
          <w:rFonts w:ascii="Arial" w:cs="Arial" w:eastAsia="Arial" w:hAnsi="Arial"/>
          <w:sz w:val="18"/>
          <w:szCs w:val="18"/>
          <w:color w:val="auto"/>
        </w:rPr>
        <w:t>Our basic and diluted net income (loss) per share is calculated by dividing the net</w:t>
      </w:r>
      <w:r>
        <w:rPr>
          <w:rFonts w:ascii="Arial" w:cs="Arial" w:eastAsia="Arial" w:hAnsi="Arial"/>
          <w:sz w:val="18"/>
          <w:szCs w:val="18"/>
          <w:i w:val="1"/>
          <w:iCs w:val="1"/>
          <w:color w:val="auto"/>
        </w:rPr>
        <w:t xml:space="preserve"> </w:t>
      </w:r>
      <w:r>
        <w:rPr>
          <w:rFonts w:ascii="Arial" w:cs="Arial" w:eastAsia="Arial" w:hAnsi="Arial"/>
          <w:sz w:val="18"/>
          <w:szCs w:val="18"/>
          <w:color w:val="auto"/>
        </w:rPr>
        <w:t>income (loss) by the weighted average number of shares of common stock outstanding during all periods presented. Options to purchase stock, restricted stock units and shares issuable upon the conversion of convertible debt are included in diluted earnings per share calculations, unless the effects are anti-dilutive.</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Accumulated Other Comprehensive Income (Loss). </w:t>
      </w:r>
      <w:r>
        <w:rPr>
          <w:rFonts w:ascii="Arial" w:cs="Arial" w:eastAsia="Arial" w:hAnsi="Arial"/>
          <w:sz w:val="18"/>
          <w:szCs w:val="18"/>
          <w:color w:val="auto"/>
        </w:rPr>
        <w:t>Accumulated other comprehensive income (loss) consists of</w:t>
      </w:r>
      <w:r>
        <w:rPr>
          <w:rFonts w:ascii="Arial" w:cs="Arial" w:eastAsia="Arial" w:hAnsi="Arial"/>
          <w:sz w:val="18"/>
          <w:szCs w:val="18"/>
          <w:i w:val="1"/>
          <w:iCs w:val="1"/>
          <w:color w:val="auto"/>
        </w:rPr>
        <w:t xml:space="preserve"> </w:t>
      </w:r>
      <w:r>
        <w:rPr>
          <w:rFonts w:ascii="Arial" w:cs="Arial" w:eastAsia="Arial" w:hAnsi="Arial"/>
          <w:sz w:val="18"/>
          <w:szCs w:val="18"/>
          <w:color w:val="auto"/>
        </w:rPr>
        <w:t>unrealized gains or losses on marketable securities that are classified as available-for-sale, foreign currency translation gains or losses and defined benefit pension obligations. For the year ended December 31, 2017 and interim periods therein, accumulated other comprehensive income (loss) included unrealized gains and losses on our long-term investment classified as available-for-sale in Calithera Biosciences, Inc. Upon adoption of ASU No. 2016-01, we recorded a $2.8 million adjustment to retained earnings as of January 1, 2018 which is further described below under “Recent Accounting Pronouncements.”</w:t>
      </w:r>
    </w:p>
    <w:p>
      <w:pPr>
        <w:spacing w:after="0" w:line="18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i w:val="1"/>
          <w:iCs w:val="1"/>
          <w:color w:val="auto"/>
        </w:rPr>
        <w:t xml:space="preserve">Revenue Recognition. </w:t>
      </w:r>
      <w:r>
        <w:rPr>
          <w:rFonts w:ascii="Arial" w:cs="Arial" w:eastAsia="Arial" w:hAnsi="Arial"/>
          <w:sz w:val="17"/>
          <w:szCs w:val="17"/>
          <w:color w:val="auto"/>
        </w:rPr>
        <w:t>The new accounting standard for the recognition of revenue, ASC 606,</w:t>
      </w:r>
      <w:r>
        <w:rPr>
          <w:rFonts w:ascii="Arial" w:cs="Arial" w:eastAsia="Arial" w:hAnsi="Arial"/>
          <w:sz w:val="17"/>
          <w:szCs w:val="17"/>
          <w:i w:val="1"/>
          <w:iCs w:val="1"/>
          <w:color w:val="auto"/>
        </w:rPr>
        <w:t xml:space="preserve"> Revenue from Contracts with Customers</w:t>
      </w:r>
      <w:r>
        <w:rPr>
          <w:rFonts w:ascii="Arial" w:cs="Arial" w:eastAsia="Arial" w:hAnsi="Arial"/>
          <w:sz w:val="17"/>
          <w:szCs w:val="17"/>
          <w:color w:val="auto"/>
        </w:rPr>
        <w:t>, was adopted for the fiscal year beginning on January 1, 2018. Per the new standard, revenue-generating contracts are assessed to identify distinct performance obligations, allocating transaction prices to those performance obligations, and criteria for satisfaction of a performance obligation. The new standard allows for recognition of revenue only when we have satisfied a performance obligation through transferring control of the promised good or service to a customer. Control, in this instance, may mean the ability to prevent other entities from directing the use of, and receiving benefit from, a good or service. The standard indicates that an entity must determine at contract inception whether it will transfer control of a promised good or service over time or satisfy the performance obligation at a point in time through analysis of the following criteria: (i) the entity has a present right to payment, (ii) the customer has legal title, (iii) the customer has physical possession, (iv) the customer has the significant risks and rewards of ownership and (v) the customer has accepted the asset. We assess collectability based primarily on the customer’s payment history and on the creditworthiness of the customer. Overall, adoption of the new standard did not significantly alter our methodology for recognition of revenue.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Product Revenues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product revenues consist of U.S. sales of JAKAFI and European sales of ICLUSIG. Product revenues are recognized once we meet the revenue recognition criteria described above. In November 2011, we began shipping JAKAFI to our customers in the U.S., which include specialty pharmacies and wholesalers. In June 2016, we acquired the right to and began shipping ICLUSIG to our customers in the European Union and certain other jurisdictions, which include retail pharmacies, hospital pharmacies and distributors.</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recognize revenues for product received by our customers net of allowances for customer credits, including estimated rebates, chargebacks, discounts, returns, distribution service fees, patient assistance programs, and government rebates, such as Medicare Part D coverage gap reimbursements in the U.S. Product shipping and handling costs are included in cost of product revenues.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Customer Credits: </w:t>
      </w:r>
      <w:r>
        <w:rPr>
          <w:rFonts w:ascii="Arial" w:cs="Arial" w:eastAsia="Arial" w:hAnsi="Arial"/>
          <w:sz w:val="18"/>
          <w:szCs w:val="18"/>
          <w:color w:val="auto"/>
        </w:rPr>
        <w:t>Our customers are offered various forms of consideration, including allowances, service fees and</w:t>
      </w:r>
      <w:r>
        <w:rPr>
          <w:rFonts w:ascii="Arial" w:cs="Arial" w:eastAsia="Arial" w:hAnsi="Arial"/>
          <w:sz w:val="18"/>
          <w:szCs w:val="18"/>
          <w:i w:val="1"/>
          <w:iCs w:val="1"/>
          <w:color w:val="auto"/>
        </w:rPr>
        <w:t xml:space="preserve"> </w:t>
      </w:r>
      <w:r>
        <w:rPr>
          <w:rFonts w:ascii="Arial" w:cs="Arial" w:eastAsia="Arial" w:hAnsi="Arial"/>
          <w:sz w:val="18"/>
          <w:szCs w:val="18"/>
          <w:color w:val="auto"/>
        </w:rPr>
        <w:t>prompt payment discounts. We expect our customers will earn prompt payment discounts and, therefore, we deduct the full amount of these discounts from total product sales when revenues are recognized. Service fees are also deducted from total product sales as they are earned.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0" w:name="page11"/>
    <w:bookmarkEnd w:id="1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i w:val="1"/>
          <w:iCs w:val="1"/>
          <w:color w:val="auto"/>
        </w:rPr>
        <w:t xml:space="preserve">Rebates and Discounts: </w:t>
      </w:r>
      <w:r>
        <w:rPr>
          <w:rFonts w:ascii="Arial" w:cs="Arial" w:eastAsia="Arial" w:hAnsi="Arial"/>
          <w:sz w:val="17"/>
          <w:szCs w:val="17"/>
          <w:color w:val="auto"/>
        </w:rPr>
        <w:t>Allowances for rebates include mandated discounts under the Medicaid Drug Rebate</w:t>
      </w:r>
      <w:r>
        <w:rPr>
          <w:rFonts w:ascii="Arial" w:cs="Arial" w:eastAsia="Arial" w:hAnsi="Arial"/>
          <w:sz w:val="17"/>
          <w:szCs w:val="17"/>
          <w:i w:val="1"/>
          <w:iCs w:val="1"/>
          <w:color w:val="auto"/>
        </w:rPr>
        <w:t xml:space="preserve"> </w:t>
      </w:r>
      <w:r>
        <w:rPr>
          <w:rFonts w:ascii="Arial" w:cs="Arial" w:eastAsia="Arial" w:hAnsi="Arial"/>
          <w:sz w:val="17"/>
          <w:szCs w:val="17"/>
          <w:color w:val="auto"/>
        </w:rPr>
        <w:t>Program in the U.S. and mandated discounts in Europe in markets where government-sponsored healthcare systems are the primary payers for healthcare. Rebates are amounts owed after the final dispensing of the product to a benefit plan participant and are based upon contractual agreements or legal requirements with public sector benefit providers. The accrual for rebates is based on statutory discount rates and expected utilization as well as historical data we have accumulated since product launches. Our estimates for expected utilization of rebates are based on data received from our customers. Rebates are generally invoiced and paid in arrears so that the accrual balance consists of an estimate of the amount expected to be incurred for the current quarter’s activity, plus an accrual balance for known prior quarters’ unpaid rebates. If actual future rebates vary from estimates, we may need to adjust prior period accruals, which would affect revenue in the period of adjustment.</w:t>
      </w:r>
    </w:p>
    <w:p>
      <w:pPr>
        <w:spacing w:after="0" w:line="17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i w:val="1"/>
          <w:iCs w:val="1"/>
          <w:color w:val="auto"/>
        </w:rPr>
        <w:t xml:space="preserve">Chargebacks: </w:t>
      </w:r>
      <w:r>
        <w:rPr>
          <w:rFonts w:ascii="Arial" w:cs="Arial" w:eastAsia="Arial" w:hAnsi="Arial"/>
          <w:sz w:val="17"/>
          <w:szCs w:val="17"/>
          <w:color w:val="auto"/>
        </w:rPr>
        <w:t>Chargebacks are discounts that occur when certain contracted customers, which currently consist</w:t>
      </w:r>
      <w:r>
        <w:rPr>
          <w:rFonts w:ascii="Arial" w:cs="Arial" w:eastAsia="Arial" w:hAnsi="Arial"/>
          <w:sz w:val="17"/>
          <w:szCs w:val="17"/>
          <w:i w:val="1"/>
          <w:iCs w:val="1"/>
          <w:color w:val="auto"/>
        </w:rPr>
        <w:t xml:space="preserve"> </w:t>
      </w:r>
      <w:r>
        <w:rPr>
          <w:rFonts w:ascii="Arial" w:cs="Arial" w:eastAsia="Arial" w:hAnsi="Arial"/>
          <w:sz w:val="17"/>
          <w:szCs w:val="17"/>
          <w:color w:val="auto"/>
        </w:rPr>
        <w:t>primarily of group purchasing organizations, Public Health Service institutions, non-profit clinics, and Federal government entities purchasing via the Federal Supply Schedule, purchase directly from our wholesalers. Contracted customers generally purchase the product at a discounted price. The wholesalers, in turn, charges back to us the difference between the price initially paid by the wholesalers and the discounted price paid by the contracted customers. In addition to actual chargebacks received we maintain an accrual for chargebacks based on the estimated contractual discounts on the inventory levels on hand in our distribution channel. If actual future chargebacks vary from these estimates, we may need to adjust prior period accruals, which would affect revenue in the period of adjustment.</w:t>
      </w:r>
    </w:p>
    <w:p>
      <w:pPr>
        <w:spacing w:after="0" w:line="17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Medicare Part D Coverage Gap: </w:t>
      </w:r>
      <w:r>
        <w:rPr>
          <w:rFonts w:ascii="Arial" w:cs="Arial" w:eastAsia="Arial" w:hAnsi="Arial"/>
          <w:sz w:val="18"/>
          <w:szCs w:val="18"/>
          <w:color w:val="auto"/>
        </w:rPr>
        <w:t>Medicare Part D prescription drug benefit mandates manufacturers to fund 50%</w:t>
      </w:r>
      <w:r>
        <w:rPr>
          <w:rFonts w:ascii="Arial" w:cs="Arial" w:eastAsia="Arial" w:hAnsi="Arial"/>
          <w:sz w:val="18"/>
          <w:szCs w:val="18"/>
          <w:i w:val="1"/>
          <w:iCs w:val="1"/>
          <w:color w:val="auto"/>
        </w:rPr>
        <w:t xml:space="preserve"> </w:t>
      </w:r>
      <w:r>
        <w:rPr>
          <w:rFonts w:ascii="Arial" w:cs="Arial" w:eastAsia="Arial" w:hAnsi="Arial"/>
          <w:sz w:val="18"/>
          <w:szCs w:val="18"/>
          <w:color w:val="auto"/>
        </w:rPr>
        <w:t>of the Medicare Part D insurance coverage gap for prescription drugs sold to eligible patients. Our estimates for the expected Medicare Part D coverage gap are based on historical invoices received and in part from data received from our customers. Funding of the coverage gap is generally invoiced and paid in arrears so that the accrual balance consists of an estimate of the amount expected to be incurred for the current quarter’s activity, plus an accrual balance for known prior quarters. If actual future funding varies from estimates, we may need to adjust prior period accruals, which would affect revenue in the period of adjustment.</w:t>
      </w:r>
    </w:p>
    <w:p>
      <w:pPr>
        <w:spacing w:after="0" w:line="18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i w:val="1"/>
          <w:iCs w:val="1"/>
          <w:color w:val="auto"/>
        </w:rPr>
        <w:t xml:space="preserve">Co-payment Assistance: </w:t>
      </w:r>
      <w:r>
        <w:rPr>
          <w:rFonts w:ascii="Arial" w:cs="Arial" w:eastAsia="Arial" w:hAnsi="Arial"/>
          <w:sz w:val="17"/>
          <w:szCs w:val="17"/>
          <w:color w:val="auto"/>
        </w:rPr>
        <w:t>Patients who have commercial insurance and meet certain eligibility requirements may</w:t>
      </w:r>
      <w:r>
        <w:rPr>
          <w:rFonts w:ascii="Arial" w:cs="Arial" w:eastAsia="Arial" w:hAnsi="Arial"/>
          <w:sz w:val="17"/>
          <w:szCs w:val="17"/>
          <w:i w:val="1"/>
          <w:iCs w:val="1"/>
          <w:color w:val="auto"/>
        </w:rPr>
        <w:t xml:space="preserve"> </w:t>
      </w:r>
      <w:r>
        <w:rPr>
          <w:rFonts w:ascii="Arial" w:cs="Arial" w:eastAsia="Arial" w:hAnsi="Arial"/>
          <w:sz w:val="17"/>
          <w:szCs w:val="17"/>
          <w:color w:val="auto"/>
        </w:rPr>
        <w:t>receive co-payment assistance. We accrue a liability for co-payment assistance based on actual program participation and estimates of program redemption using data provided by third-party administrators.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Product Royalty Revenues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Royalty revenues on commercial sales for ruxolitinib (marketed as JAKAVI® outside the United States) by Novartis Pharmaceutical International Ltd. (“Novartis”) are based on net sales of licensed products in licensed territories as provided by Novartis. Royalty revenues on commercial sales for baricitinib (marketed as OLUMIANT) by Eli Lilly and Company (“Lilly”) are based on net sales of licensed products in licensed territories as provided by Lilly. We recognize royalty revenues in the period the sales occur.</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Cost of Product Revenues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Cost of product revenues includes all JAKAFI related product costs as well as ICLUSIG related product costs. The ICLUSIG inventories were recorded at fair value less costs to sell in connection with our June 2016 acquisition of ARIAD Pharmaceuticals (Luxembourg) S.à.r.l., since renamed Incyte Biosciences Luxembourg S.à.r.l. (the “Acquisition”), which resulted in a higher cost of ICLUSIG product revenues over a one year period from the acquisition date. In addition, cost of product revenues include low single-digit royalties under our collaboration and license agreement to Novartis on all future sales of JAKAFI in the United States. Subsequent to the Acquisition on June 1, 2016, cost of product revenues also includes the amortization of our licensed intellectual property for ICLUSIG using the straight-line method over the estimated useful life of 12.5 years.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1" w:name="page12"/>
    <w:bookmarkEnd w:id="1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Contract and License Revenues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Our typical customer arrangements, which fall within the scope of ASC 606, </w:t>
      </w:r>
      <w:r>
        <w:rPr>
          <w:rFonts w:ascii="Arial" w:cs="Arial" w:eastAsia="Arial" w:hAnsi="Arial"/>
          <w:sz w:val="18"/>
          <w:szCs w:val="18"/>
          <w:i w:val="1"/>
          <w:iCs w:val="1"/>
          <w:color w:val="auto"/>
        </w:rPr>
        <w:t>Revenue from Contracts with</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Customers, </w:t>
      </w:r>
      <w:r>
        <w:rPr>
          <w:rFonts w:ascii="Arial" w:cs="Arial" w:eastAsia="Arial" w:hAnsi="Arial"/>
          <w:sz w:val="18"/>
          <w:szCs w:val="18"/>
          <w:color w:val="auto"/>
        </w:rPr>
        <w:t>include distinct drug compound out-licensing, collection of upfront payments, milestones or royalty revenues</w:t>
      </w:r>
      <w:r>
        <w:rPr>
          <w:rFonts w:ascii="Arial" w:cs="Arial" w:eastAsia="Arial" w:hAnsi="Arial"/>
          <w:sz w:val="18"/>
          <w:szCs w:val="18"/>
          <w:i w:val="1"/>
          <w:iCs w:val="1"/>
          <w:color w:val="auto"/>
        </w:rPr>
        <w:t xml:space="preserve"> </w:t>
      </w:r>
      <w:r>
        <w:rPr>
          <w:rFonts w:ascii="Arial" w:cs="Arial" w:eastAsia="Arial" w:hAnsi="Arial"/>
          <w:sz w:val="18"/>
          <w:szCs w:val="18"/>
          <w:color w:val="auto"/>
        </w:rPr>
        <w:t>from a counterparty, and provision of commercially available products to suppliers. Our agreements often include contractual milestones, which typically relate to the achievement of pre-specified development, regulatory and commercialization events outside of our control, such as regulatory approval of a compound, first patient dosing or achievement of sales-based thresholds. For such cases, we believe that revenue related to these events should not be recognized until the milestone has been achieved.</w:t>
      </w:r>
    </w:p>
    <w:p>
      <w:pPr>
        <w:spacing w:after="0" w:line="18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Some contracts form collaborative arrangements of various types with third-parties. We assess whether the nature of the arrangement is within the scope of ASC 808, </w:t>
      </w:r>
      <w:r>
        <w:rPr>
          <w:rFonts w:ascii="Arial" w:cs="Arial" w:eastAsia="Arial" w:hAnsi="Arial"/>
          <w:sz w:val="16"/>
          <w:szCs w:val="16"/>
          <w:i w:val="1"/>
          <w:iCs w:val="1"/>
          <w:color w:val="auto"/>
        </w:rPr>
        <w:t>Collaborative Arrangements</w:t>
      </w:r>
      <w:r>
        <w:rPr>
          <w:rFonts w:ascii="Arial" w:cs="Arial" w:eastAsia="Arial" w:hAnsi="Arial"/>
          <w:sz w:val="16"/>
          <w:szCs w:val="16"/>
          <w:color w:val="auto"/>
        </w:rPr>
        <w:t>, in conjunction with the new revenue guidance to determine the nature of the performance obligations and associated transaction prices. A collaborative relationship may exist when we participate in an activity or process with another party, such as performance of research and development services or the exchange of intellectual property for use in clinical trials, when both parties share in the risks and rewards that result from the activity or participate and govern contract activities through a joint steering committee.</w:t>
      </w:r>
    </w:p>
    <w:p>
      <w:pPr>
        <w:spacing w:after="0" w:line="16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regulatory review and approval process, which includes preclinical testing and clinical trials of each drug candidate, is lengthy, expensive and uncertain. Securing approval by the U.S. Food and Drug Administration (the “FDA”) requires the submission of extensive preclinical and clinical data and supporting information to the FDA for each indication to establish a drug candidate’s safety and efficacy. The approval process takes many years, requires the expenditure of substantial resources, involves post-marketing surveillance and may involve ongoing requirements for post-marketing studies. Before commencing clinical investigations of a drug candidate in humans, we must submit an Investigational New Drug application (“IND”), which must be reviewed by the FDA.</w:t>
      </w:r>
    </w:p>
    <w:p>
      <w:pPr>
        <w:spacing w:after="0" w:line="18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steps generally required before a drug may be marketed in the United States include preclinical laboratory tests, animal studies and formulation studies, submission to the FDA of an IND for human clinical testing, performance of adequate and well-controlled clinical trials in three phases, as described below, to establish the safety and efficacy of the drug for each indication, submission of a new drug application (“NDA”) or biologics license application (“BLA”) to the FDA for review and FDA approval of the NDA or BLA.</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Similar requirements exist within foreign regulatory agencies as well. The time required satisfying the FDA requirements or similar requirements of foreign regulatory agencies may vary substantially based on the type, complexity and novelty of the product or the targeted disease.</w:t>
      </w:r>
    </w:p>
    <w:p>
      <w:pPr>
        <w:spacing w:after="0" w:line="181"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Preclinical testing includes laboratory evaluation of product pharmacology, drug metabolism and toxicity, which includes animal studies, to assess potential safety and efficacy as well as product chemistry, stability, formulation, development, and testing. The results of the preclinical tests, together with manufacturing information and analytical data, are submitted to the FDA as part of an IND. The FDA may raise safety concerns or questions about the conduct of the clinical trials included in the IND, and any of these concerns or questions must be resolved before clinical trials can proceed. We cannot be sure that submission of an IND will result in the FDA allowing clinical trials to commence. Clinical trials involve the administration of the investigational drug or the marketed drug to human subjects under the supervision of qualified investigators and in accordance with good clinical practices regulations covering the protection of human subjects. Clinical trials typically are conducted in three sequential phases, but the phases may overlap or be combined. Phase I usually involves the initial introduction of the investigational drug into healthy volunteers to evaluate its safety, dosage tolerance, absorption, metabolism, distribution and excretion. Phase II usually involves clinical trials in a limited patient population to evaluate dosage tolerance and optimal dosage, identify possible adverse effects and safety risks, and evaluate and gain preliminary evidence of the efficacy of the drug for specific indications. Phase III clinical trials usually further evaluate clinical efficacy and safety by testing the drug in its final form in an expanded patient population, providing statistical evidence of efficacy and safety, and providing an adequate basis for labeling. We cannot guarantee that Phase I, Phase II or Phase III testing will be completed successfully within any specified period of time, if at all. Furthermore, we, the institutional review board for a trial, or the FDA may suspend clinical trials at any time on various grounds, including a finding that the subjects or patients are being exposed to an unacceptable health risk.</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2" w:name="page13"/>
    <w:bookmarkEnd w:id="1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Generally, the milestone events contained in our collaboration agreements coincide with the progression of our drugs from development, to regulatory approval and then to commercialization. The process of successfully discovering a new development candidate, having it approved and successfully commercialized is highly uncertain. As such, the milestone payments we may earn from our partners involve a significant degree of risk to achieve. Therefore, as a drug candidate progresses through the stages of its life-cycle, the value of the drug candidate generally increases.</w:t>
      </w:r>
    </w:p>
    <w:p>
      <w:pPr>
        <w:spacing w:after="0" w:line="17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i w:val="1"/>
          <w:iCs w:val="1"/>
          <w:color w:val="auto"/>
        </w:rPr>
        <w:t xml:space="preserve">Research and Development Costs. </w:t>
      </w:r>
      <w:r>
        <w:rPr>
          <w:rFonts w:ascii="Arial" w:cs="Arial" w:eastAsia="Arial" w:hAnsi="Arial"/>
          <w:sz w:val="17"/>
          <w:szCs w:val="17"/>
          <w:color w:val="auto"/>
        </w:rPr>
        <w:t>Our policy is to expense research and development costs as incurred. We often</w:t>
      </w:r>
      <w:r>
        <w:rPr>
          <w:rFonts w:ascii="Arial" w:cs="Arial" w:eastAsia="Arial" w:hAnsi="Arial"/>
          <w:sz w:val="17"/>
          <w:szCs w:val="17"/>
          <w:i w:val="1"/>
          <w:iCs w:val="1"/>
          <w:color w:val="auto"/>
        </w:rPr>
        <w:t xml:space="preserve"> </w:t>
      </w:r>
      <w:r>
        <w:rPr>
          <w:rFonts w:ascii="Arial" w:cs="Arial" w:eastAsia="Arial" w:hAnsi="Arial"/>
          <w:sz w:val="17"/>
          <w:szCs w:val="17"/>
          <w:color w:val="auto"/>
        </w:rPr>
        <w:t>contract with clinical research organizations (“CROs”) to facilitate, coordinate and perform agreed upon research and development of a new drug. To ensure that research and development costs are expensed as incurred, we record monthly accruals for clinical trials and preclinical testing costs based on the work performed under the contract.</w:t>
      </w:r>
    </w:p>
    <w:p>
      <w:pPr>
        <w:spacing w:after="0" w:line="17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These CRO contracts typically call for the payment of fees for services at the initiation of the contract and/or upon the achievement of certain clinical trial milestones. In the event that we prepay CRO fees, we record the prepayment as a prepaid asset and amortize the asset into research and development expense over the period of time the contracted research and development services are performed. Most professional fees, including project and clinical management, data management, monitoring, and medical writing fees are incurred throughout the contract period. These professional fees are expensed based on their percentage of completion at a particular date. Our CRO contracts generally include pass through fees. Pass through fees include, but are not limited to, regulatory expenses, investigator fees, travel costs, and other miscellaneous costs, including shipping and printing fees. We expense the costs of pass through fees under our CRO contracts as they are incurred, based on the best information available to us at the time. The estimates of the pass through fees incurred are based on the amount of work completed for the clinical trial and are monitored through correspondence with the CROs, internal reviews and a review of contractual terms. The factors utilized to derive the estimates include the number of patients enrolled, duration of the clinical trial, estimated patient attrition, screening rate and length of the dosing regimen. CRO fees incurred to set up the clinical trial are expensed during the setup period.</w:t>
      </w:r>
    </w:p>
    <w:p>
      <w:pPr>
        <w:spacing w:after="0" w:line="17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Under our clinical trial collaboration agreements we may be reimbursed for certain development costs incurred. Such costs are recorded as a reduction of research and development expense in the period in which the related expense is incurred.</w:t>
      </w:r>
    </w:p>
    <w:p>
      <w:pPr>
        <w:spacing w:after="0" w:line="18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i w:val="1"/>
          <w:iCs w:val="1"/>
          <w:color w:val="auto"/>
        </w:rPr>
        <w:t xml:space="preserve">Stock Compensation. </w:t>
      </w:r>
      <w:r>
        <w:rPr>
          <w:rFonts w:ascii="Arial" w:cs="Arial" w:eastAsia="Arial" w:hAnsi="Arial"/>
          <w:sz w:val="17"/>
          <w:szCs w:val="17"/>
          <w:color w:val="auto"/>
        </w:rPr>
        <w:t>Share-based payment transactions with employees, which include stock options, restricted</w:t>
      </w:r>
      <w:r>
        <w:rPr>
          <w:rFonts w:ascii="Arial" w:cs="Arial" w:eastAsia="Arial" w:hAnsi="Arial"/>
          <w:sz w:val="17"/>
          <w:szCs w:val="17"/>
          <w:i w:val="1"/>
          <w:iCs w:val="1"/>
          <w:color w:val="auto"/>
        </w:rPr>
        <w:t xml:space="preserve"> </w:t>
      </w:r>
      <w:r>
        <w:rPr>
          <w:rFonts w:ascii="Arial" w:cs="Arial" w:eastAsia="Arial" w:hAnsi="Arial"/>
          <w:sz w:val="17"/>
          <w:szCs w:val="17"/>
          <w:color w:val="auto"/>
        </w:rPr>
        <w:t>stock units (“RSUs”) and performance shares (“PSUs”), are recognized as compensation expense over the requisite service period based on their estimated fair values as well as expected forfeiture rates. The stock compensation process requires significant judgment and the use of estimates, particularly surrounding Black-Scholes assumptions such as stock price volatility over the option term and expected option lives, as well as expected forfeiture rates and the probability of PSUs vesting. The fair value of stock options, which are subject to graded vesting, are recognized as compensation expense over the requisite service period using the accelerated attribution method. The fair value of RSUs that are subject to cliff vesting are recognized as compensation expense over the requisite service period using the straight-line attribution method, and the fair value of RSUs that are subject to graded vesting are recognized as compensation expense over the requisite service period using the accelerated attribution method. The fair value of PSUs are recognized as compensation expense beginning at the time in which the performance conditions are deemed probable of achievement, which we assess at each reporting period. Once a performance condition is considered probable, we record compensation expense based on the portion of the service period elapsed to date with respect to that award, with a cumulative catch-up, net of estimated forfeitures, and recognize any remaining compensation expense, if any, over the remaining requisite service period using the straight-line attribution method for PSUs that are subject to cliff vesting and using the accelerated attribution method for PSUs that are subject to graded vesting.</w:t>
      </w:r>
    </w:p>
    <w:p>
      <w:pPr>
        <w:spacing w:after="0" w:line="18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i w:val="1"/>
          <w:iCs w:val="1"/>
          <w:color w:val="auto"/>
        </w:rPr>
        <w:t xml:space="preserve">Long term Incentive Plans. </w:t>
      </w:r>
      <w:r>
        <w:rPr>
          <w:rFonts w:ascii="Arial" w:cs="Arial" w:eastAsia="Arial" w:hAnsi="Arial"/>
          <w:sz w:val="17"/>
          <w:szCs w:val="17"/>
          <w:color w:val="auto"/>
        </w:rPr>
        <w:t>We have long term incentive plans which provide eligible employees with the</w:t>
      </w:r>
      <w:r>
        <w:rPr>
          <w:rFonts w:ascii="Arial" w:cs="Arial" w:eastAsia="Arial" w:hAnsi="Arial"/>
          <w:sz w:val="17"/>
          <w:szCs w:val="17"/>
          <w:i w:val="1"/>
          <w:iCs w:val="1"/>
          <w:color w:val="auto"/>
        </w:rPr>
        <w:t xml:space="preserve"> </w:t>
      </w:r>
      <w:r>
        <w:rPr>
          <w:rFonts w:ascii="Arial" w:cs="Arial" w:eastAsia="Arial" w:hAnsi="Arial"/>
          <w:sz w:val="17"/>
          <w:szCs w:val="17"/>
          <w:color w:val="auto"/>
        </w:rPr>
        <w:t>opportunity to receive performance and service-based incentive compensation, which may be comprised of cash, stock options, restricted stock units and/or performance shares. The payment of cash and the grant or vesting of equity may be contingent upon the achievement of pre-determined regulatory, sales and internal performance milestones.</w:t>
      </w:r>
    </w:p>
    <w:p>
      <w:pPr>
        <w:spacing w:after="0" w:line="17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i w:val="1"/>
          <w:iCs w:val="1"/>
          <w:color w:val="auto"/>
        </w:rPr>
        <w:t xml:space="preserve">Acquisition-Related Contingent Consideration. </w:t>
      </w:r>
      <w:r>
        <w:rPr>
          <w:rFonts w:ascii="Arial" w:cs="Arial" w:eastAsia="Arial" w:hAnsi="Arial"/>
          <w:sz w:val="16"/>
          <w:szCs w:val="16"/>
          <w:color w:val="auto"/>
        </w:rPr>
        <w:t>Acquisition-related contingent consideration, which consists of our</w:t>
      </w:r>
      <w:r>
        <w:rPr>
          <w:rFonts w:ascii="Arial" w:cs="Arial" w:eastAsia="Arial" w:hAnsi="Arial"/>
          <w:sz w:val="16"/>
          <w:szCs w:val="16"/>
          <w:i w:val="1"/>
          <w:iCs w:val="1"/>
          <w:color w:val="auto"/>
        </w:rPr>
        <w:t xml:space="preserve"> </w:t>
      </w:r>
      <w:r>
        <w:rPr>
          <w:rFonts w:ascii="Arial" w:cs="Arial" w:eastAsia="Arial" w:hAnsi="Arial"/>
          <w:sz w:val="16"/>
          <w:szCs w:val="16"/>
          <w:color w:val="auto"/>
        </w:rPr>
        <w:t>future royalty and certain potential milestone obligations to Takeda Pharmaceutical Company Limited, which acquired ARIAD Pharmaceuticals, Inc. (“Takeda”), is recorded on the acquisition date at the estimated fair value of the obligation,</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3" w:name="page14"/>
    <w:bookmarkEnd w:id="1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accordance with the acquisition method of accounting. The fair value measurement is based on significant inputs that are unobservable in the market and thus represents a Level 3 measurement. The fair value of the acquisition-related contingent consideration is remeasured each reporting period, with changes in fair value recorded in the condensed consolidated statements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May 2014, the Financial Accounting Standards Board (“FASB”) issued Accounting Standards Update (“ASU”) No. 2014-09, “Revenue from Contracts with Customers,” which replaced numerous requirements in U.S. GAAP, including industry-specific requirements. This guidance provides a five step model to be applied to all contracts with customers, with an underlying principle that an entity will recognize revenue to depict the transfer of goods or services to customers at an amount that the entity expects to be entitled to in exchange for those goods or services.</w:t>
      </w:r>
    </w:p>
    <w:p>
      <w:pPr>
        <w:spacing w:after="0" w:line="17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We performed an impact assessment which consisted of a review of a representative sample of contracts, discussions with key stakeholders, and cataloging of potential impacts on our financial statements, accounting policies, financial controls, and operations. The guidance did not have a material impact on our revenue recognition practices for product and royalty revenues. The adoption only impacted two areas in our recognition methodology for milestone and contract revenues generated by our collaborative research and license agreements:</w:t>
      </w:r>
    </w:p>
    <w:p>
      <w:pPr>
        <w:spacing w:after="0" w:line="173" w:lineRule="exact"/>
        <w:rPr>
          <w:sz w:val="20"/>
          <w:szCs w:val="20"/>
          <w:color w:val="auto"/>
        </w:rPr>
      </w:pPr>
    </w:p>
    <w:p>
      <w:pPr>
        <w:jc w:val="both"/>
        <w:ind w:left="660" w:hanging="9"/>
        <w:spacing w:after="0" w:line="302" w:lineRule="auto"/>
        <w:tabs>
          <w:tab w:leader="none" w:pos="1478" w:val="left"/>
        </w:tabs>
        <w:numPr>
          <w:ilvl w:val="0"/>
          <w:numId w:val="6"/>
        </w:numPr>
        <w:rPr>
          <w:rFonts w:ascii="Arial" w:cs="Arial" w:eastAsia="Arial" w:hAnsi="Arial"/>
          <w:sz w:val="16"/>
          <w:szCs w:val="16"/>
          <w:color w:val="auto"/>
        </w:rPr>
      </w:pPr>
      <w:r>
        <w:rPr>
          <w:rFonts w:ascii="Arial" w:cs="Arial" w:eastAsia="Arial" w:hAnsi="Arial"/>
          <w:sz w:val="16"/>
          <w:szCs w:val="16"/>
          <w:color w:val="auto"/>
        </w:rPr>
        <w:t>Changes in the model for distinct licenses of functional intellectual property which may result in a timing difference of revenue recognition. Whereas revenue from these arrangements was previously recognized over a period of time pursuant to revenue recognition guidance that was in place for our arrangements at the time such arrangements commenced, revenue from new arrangements we enter into may now be recognized at a point in time.</w:t>
      </w:r>
    </w:p>
    <w:p>
      <w:pPr>
        <w:spacing w:after="0" w:line="154" w:lineRule="exact"/>
        <w:rPr>
          <w:rFonts w:ascii="Arial" w:cs="Arial" w:eastAsia="Arial" w:hAnsi="Arial"/>
          <w:sz w:val="16"/>
          <w:szCs w:val="16"/>
          <w:color w:val="auto"/>
        </w:rPr>
      </w:pPr>
    </w:p>
    <w:p>
      <w:pPr>
        <w:jc w:val="both"/>
        <w:ind w:left="660" w:hanging="9"/>
        <w:spacing w:after="0" w:line="264" w:lineRule="auto"/>
        <w:tabs>
          <w:tab w:leader="none" w:pos="1528" w:val="left"/>
        </w:tabs>
        <w:numPr>
          <w:ilvl w:val="0"/>
          <w:numId w:val="6"/>
        </w:numPr>
        <w:rPr>
          <w:rFonts w:ascii="Arial" w:cs="Arial" w:eastAsia="Arial" w:hAnsi="Arial"/>
          <w:sz w:val="18"/>
          <w:szCs w:val="18"/>
          <w:color w:val="auto"/>
        </w:rPr>
      </w:pPr>
      <w:r>
        <w:rPr>
          <w:rFonts w:ascii="Arial" w:cs="Arial" w:eastAsia="Arial" w:hAnsi="Arial"/>
          <w:sz w:val="18"/>
          <w:szCs w:val="18"/>
          <w:color w:val="auto"/>
        </w:rPr>
        <w:t>Assessments of milestone payments linked to events that are in our control, may result in variable consideration that may be recognized at an earlier point in time, when it is probable that the milestone will be achieved without a significant future reversal of cumulative revenue expected.</w:t>
      </w:r>
    </w:p>
    <w:p>
      <w:pPr>
        <w:spacing w:after="0" w:line="18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adopted the new standard for the fiscal period beginning January 1, 2018, utilizing the “modified retrospective” adoption methodology on all contracts for which performance had not been completed as of the date of adoption, and applied the guidance to report new disclosures surrounding our recognition of revenues. There was no cumulative effect of adopting the standard at the date of initial application in retained earnings. We have implemented a controls process to identify and evaluate all revenue-generating contracts with third-party customers on an on-going basis and have provided enhanced disclosures within this Form 10-Q to provide greater detail on our revenue-generating activities, see Notes 3 and 9.</w:t>
      </w:r>
    </w:p>
    <w:p>
      <w:pPr>
        <w:spacing w:after="0" w:line="16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January 2016, the FASB issued ASU No. 2016-01, “Financial Instruments-Overall (Subtopic 825-10): Recognition and Measurement of Financial Assets and Financial Liabilities.” The standard requires several changes including that equity investments (except those accounted for under the equity method of accounting, or those that result in consolidation of the investee) be measured at fair value with changes in fair value recognized in results of operations. These provisions will not impact the accounting for our investments in corporate debt and U.S. government securities. The new guidance also changes certain disclosure requirements and other aspects of current U.S. GAAP. Amendments are to be applied as a cumulative-effect adjustment to the balance sheet as of the beginning of the fiscal year of adoption. The adoption of this standard resulted in a $2.8 million decrease in our accumulated deficit as of January 1, 2018 related to our investment in Calithera Biosciences, Inc.</w:t>
      </w:r>
    </w:p>
    <w:p>
      <w:pPr>
        <w:spacing w:after="0" w:line="19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February 2016, the FASB issued ASU No. 2016-02, “Leases,” that requires lessees to recognize assets and liabilities on the balance sheet for most leases including operating leases. Lessees will classify leases as either finance or operating leases and lessors classify all leases as sales-type, direct financing or operating leases. The statement of operations presentation and expense recognition for lessees for finance leases is similar to that of capital leases under Accounting Standards Codification (“ASC”) 840 with separate interest and amortization expense with higher periodic expense in the earlier periods of a lease. For operating leases, the statement of operations presentation and expense recognition is similar to that of operating leases under ASC 840 with single lease cost recognized on a straight-line basis.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4" w:name="page15"/>
    <w:bookmarkEnd w:id="1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guidance is to be applied using a modified retrospective approach at the beginning of the earliest comparative period presented in the financial statements and is effective for annual periods beginning after December 15, 2018 and interim periods therein. We are currently analyzing the impact of ASU No. 2016-02 and, at this time, are unable to determine the impact of the new standard, on our consolidated financial statements.</w:t>
      </w:r>
    </w:p>
    <w:p>
      <w:pPr>
        <w:spacing w:after="0" w:line="18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In November 2016, the FASB issued ASU No. 2016-18, “Restricted Cash,” which requires entities to show the changes in total of cash, cash equivalents, restricted cash and restricted cash equivalents in the statement of cash flows. As a result, entities will no longer present transfers between cash and cash equivalents and restricted cash in the statement of cash flows. When cash, cash equivalents, restricted cash and restricted cash equivalents are presented in more than one line item on the balance sheet, the new guidance requires a reconciliation of the totals in the statement of cash flows to the related captions on the balance sheet. The reconciliation can be presented either on the face of the statement of cash flows or in the notes to the financial statements. We adopted the new standard for the period beginning January 1, 2018. Due to the retrospective adoption of the standard, the cash flows from financing activities for the year ended December 31, 2017 and interim periods therein, no longer present the transfer of restricted investments to cash and cash equivalents. The change in total cash, cash equivalents, restricted cash and investments is now presented in the consolidated statement of cash flows and reconciles to the related captions on the consolidated balance sheet.</w:t>
      </w:r>
    </w:p>
    <w:p>
      <w:pPr>
        <w:spacing w:after="0" w:line="17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January 2017, the FASB issued ASU No. 2017-04, “Intangibles–Goodwill and Other,” which eliminates the requirement to calculate the implied fair value of goodwill to measure a goodwill impairment charge. Under the new standard, entities will record an impairment charge based on the excess of a reporting unit’s carrying amount over its fair value. The new standard is effective for public business entities that are SEC filers for annual or any interim goodwill impairment tests in fiscal years beginning after December 15, 2019. Early adoption is permitted for interim or annual goodwill impairment tests performed on testing dates after January 1, 2017. The standard is to be applied on a prospective basis. We are currently analyzing the impact of ASU No. 2017-04 on our consolidated financial statements.</w:t>
      </w:r>
    </w:p>
    <w:p>
      <w:pPr>
        <w:spacing w:after="0" w:line="17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March 2017, the FASB issued ASU No. 2017-07, “Compensation–Retirement Benefits,” which requires the service cost component of net periodic benefit cost to be presented in the same income statement line as other employee compensation costs arising from services rendered during the period and the other components of net periodic benefit cost to be presented separately from the income statement lines that include service cost and outside of any subtotal of operating income. We adopted the new standard for the period beginning January 1, 2018, resulting in no change in presentation of the service cost component of net periodic benefit cost, which has historically been reported in research and development and selling, general and administrative expenses along with other employee compensation costs. The retrospective adoption resulted in a change in presentation of the other components of net periodic benefit cost for the year ended December 31, 2017, and interim periods therein, which reclassed these costs out of operating income and into other income (expense), net on the consolidated statements of operations. The components of net periodic benefit cost are presented separately within our employee benefit plans footnote.</w:t>
      </w:r>
    </w:p>
    <w:p>
      <w:pPr>
        <w:spacing w:after="0" w:line="18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December 2017, the SEC issued Staff Accounting Bulletin No. 118 (“SAB 118”) to address the application of U.S. GAAP in situations when a registrant does not have the necessary information available, prepared, or analyzed (including computations) in reasonable detail to complete the accounting for certain income tax effects of the Tax Cuts and Jobs Act of 2017 (the “Act”). In accordance with SAB 118, we recorded provisional tax impacts related to the revaluation of deferred tax assets and liabilities as well as the temporary full expensing of certain business assets in our consolidated financial statements for the year ended December 31, 2017. We continue to monitor and analyze further issued guidance, however no additional tax effects of the Act were required to be recorded for the three and six months ended June 30, 2018. The financial statement impact is expected to be complete when the 2017 U.S. corporate income tax return is filed in 2018.</w:t>
      </w:r>
    </w:p>
    <w:p>
      <w:pPr>
        <w:spacing w:after="0" w:line="19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January 2018, the FASB released guidance on the accounting for tax on the global intangible low-taxed income ("GILTI") provisions of the Act. The GILTI provisions impose a tax on foreign income in excess of a deemed return on tangible assets of foreign corporations. The guidance indicates that either accounting for deferred taxes related to GILTI inclusions or to treat any taxes on GILTI inclusions as period cost are both acceptable methods subject to an accounting policy election. Effective the first quarter of 2018, we have elected to treat any potential GILTI inclusions as a period charge in the future period in which it is incurred. We have determined there to be no impact associated with GILTI on our condensed consolidated financial statements as of and for the three and six months ended June 30, 2018.</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5" w:name="page16"/>
    <w:bookmarkEnd w:id="1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In February 2018, the FASB issued ASU No. 2018-02, “Income Statement – Reporting Comprehensive Income,” which allows reclassification of certain tax effects created as a result of changing methodologies, laws and tax rates legislated in the Act. This new standard allows for stranded income tax effects resulting from the Act to be reclassified into retained earnings to allow for their tax effect to reflect the appropriate tax rate. Due to the full valuation allowance on our U.S. net deferred tax assets, a reclassification of stranded tax effects to retained earnings was not required.</w:t>
      </w:r>
    </w:p>
    <w:p>
      <w:pPr>
        <w:spacing w:after="0" w:line="154" w:lineRule="exact"/>
        <w:rPr>
          <w:sz w:val="20"/>
          <w:szCs w:val="20"/>
          <w:color w:val="auto"/>
        </w:rPr>
      </w:pPr>
    </w:p>
    <w:p>
      <w:pPr>
        <w:ind w:left="360" w:hanging="357"/>
        <w:spacing w:after="0"/>
        <w:tabs>
          <w:tab w:leader="none" w:pos="3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Revenues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As discussed in Note 2, ASC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was adopted for the fiscal year beginning on January 1, 2018. Per the new standard, revenue-generating contracts are assessed to identify distinct performance obligations, allocating transaction prices to those performance obligations, and criteria for satisfaction of a performance obligation. The new standard allows for recognition of revenue only when we have satisfied a performance obligation through transferring control of the promised good or service to a customer. The standard indicates that an entity must determine at contract inception whether it will transfer control of a promised good or service over time or satisfy the performance obligation at a point in time through analysis of the following criteria: (i) the entity has a present right to payment, (ii) the customer has legal title, (iii) the customer has physical possession, (iv) the customer has the significant risks and rewards of ownership and (v) the customer has accepted the asset. The new standard has been applied to contracts for which performance had not been completed as of the date of adoption. For those contracts that were modified prior to the date of adoption, we reflected the aggregate effect of those modifications when determining the appropriate accounting under the new standard. We do not believe the effect of applying this practical expedient resulted in material differences. Overall, adoption of the new standard did not significantly alter our methodology for recognition of revenue.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our disaggregated revenue for the periods presented.</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40" w:type="dxa"/>
            <w:vAlign w:val="bottom"/>
            <w:gridSpan w:val="4"/>
          </w:tcPr>
          <w:p>
            <w:pPr>
              <w:jc w:val="center"/>
              <w:ind w:right="72"/>
              <w:spacing w:after="0"/>
              <w:rPr>
                <w:sz w:val="20"/>
                <w:szCs w:val="20"/>
                <w:color w:val="auto"/>
              </w:rPr>
            </w:pPr>
            <w:r>
              <w:rPr>
                <w:rFonts w:ascii="Arial" w:cs="Arial" w:eastAsia="Arial" w:hAnsi="Arial"/>
                <w:sz w:val="14"/>
                <w:szCs w:val="14"/>
                <w:b w:val="1"/>
                <w:bCs w:val="1"/>
                <w:color w:val="auto"/>
                <w:w w:val="93"/>
              </w:rPr>
              <w:t>For the Three Months Ended,</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8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3"/>
              </w:rPr>
              <w:t>For the Six Months Ended,</w:t>
            </w:r>
          </w:p>
        </w:tc>
      </w:tr>
      <w:tr>
        <w:trPr>
          <w:trHeight w:val="171"/>
        </w:trPr>
        <w:tc>
          <w:tcPr>
            <w:tcW w:w="3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center"/>
              <w:ind w:left="496"/>
              <w:spacing w:after="0"/>
              <w:rPr>
                <w:sz w:val="20"/>
                <w:szCs w:val="20"/>
                <w:color w:val="auto"/>
              </w:rPr>
            </w:pPr>
            <w:r>
              <w:rPr>
                <w:rFonts w:ascii="Arial" w:cs="Arial" w:eastAsia="Arial" w:hAnsi="Arial"/>
                <w:sz w:val="14"/>
                <w:szCs w:val="14"/>
                <w:b w:val="1"/>
                <w:bCs w:val="1"/>
                <w:color w:val="auto"/>
                <w:w w:val="89"/>
              </w:rPr>
              <w:t>June 30,</w:t>
            </w:r>
          </w:p>
        </w:tc>
        <w:tc>
          <w:tcPr>
            <w:tcW w:w="7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center"/>
              <w:ind w:left="436"/>
              <w:spacing w:after="0"/>
              <w:rPr>
                <w:sz w:val="20"/>
                <w:szCs w:val="20"/>
                <w:color w:val="auto"/>
              </w:rPr>
            </w:pPr>
            <w:r>
              <w:rPr>
                <w:rFonts w:ascii="Arial" w:cs="Arial" w:eastAsia="Arial" w:hAnsi="Arial"/>
                <w:sz w:val="14"/>
                <w:szCs w:val="14"/>
                <w:b w:val="1"/>
                <w:bCs w:val="1"/>
                <w:color w:val="auto"/>
                <w:w w:val="89"/>
              </w:rPr>
              <w:t>June 30,</w:t>
            </w:r>
          </w:p>
        </w:tc>
        <w:tc>
          <w:tcPr>
            <w:tcW w:w="7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42"/>
        </w:trPr>
        <w:tc>
          <w:tcPr>
            <w:tcW w:w="3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96"/>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12"/>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96"/>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2"/>
                <w:szCs w:val="12"/>
                <w:color w:val="auto"/>
              </w:rPr>
            </w:pPr>
          </w:p>
        </w:tc>
      </w:tr>
      <w:tr>
        <w:trPr>
          <w:trHeight w:val="142"/>
        </w:trPr>
        <w:tc>
          <w:tcPr>
            <w:tcW w:w="3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3"/>
          </w:tcPr>
          <w:p>
            <w:pPr>
              <w:jc w:val="center"/>
              <w:ind w:left="496"/>
              <w:spacing w:after="0" w:line="142" w:lineRule="exact"/>
              <w:rPr>
                <w:sz w:val="20"/>
                <w:szCs w:val="20"/>
                <w:color w:val="auto"/>
              </w:rPr>
            </w:pPr>
            <w:r>
              <w:rPr>
                <w:rFonts w:ascii="Arial" w:cs="Arial" w:eastAsia="Arial" w:hAnsi="Arial"/>
                <w:sz w:val="14"/>
                <w:szCs w:val="14"/>
                <w:b w:val="1"/>
                <w:bCs w:val="1"/>
                <w:color w:val="auto"/>
                <w:w w:val="94"/>
              </w:rPr>
              <w:t>(in millions)</w:t>
            </w: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gridSpan w:val="3"/>
          </w:tcPr>
          <w:p>
            <w:pPr>
              <w:jc w:val="center"/>
              <w:ind w:left="436"/>
              <w:spacing w:after="0" w:line="142" w:lineRule="exact"/>
              <w:rPr>
                <w:sz w:val="20"/>
                <w:szCs w:val="20"/>
                <w:color w:val="auto"/>
              </w:rPr>
            </w:pPr>
            <w:r>
              <w:rPr>
                <w:rFonts w:ascii="Arial" w:cs="Arial" w:eastAsia="Arial" w:hAnsi="Arial"/>
                <w:sz w:val="14"/>
                <w:szCs w:val="14"/>
                <w:b w:val="1"/>
                <w:bCs w:val="1"/>
                <w:color w:val="auto"/>
                <w:w w:val="94"/>
              </w:rPr>
              <w:t>(in millions)</w:t>
            </w: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JAKAFI revenues, net</w:t>
            </w:r>
          </w:p>
        </w:tc>
        <w:tc>
          <w:tcPr>
            <w:tcW w:w="82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345.6</w:t>
            </w:r>
          </w:p>
        </w:tc>
        <w:tc>
          <w:tcPr>
            <w:tcW w:w="50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276.0</w:t>
            </w:r>
          </w:p>
        </w:tc>
        <w:tc>
          <w:tcPr>
            <w:tcW w:w="3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659.3</w:t>
            </w:r>
          </w:p>
        </w:tc>
        <w:tc>
          <w:tcPr>
            <w:tcW w:w="52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527.1</w:t>
            </w:r>
          </w:p>
        </w:tc>
        <w:tc>
          <w:tcPr>
            <w:tcW w:w="180" w:type="dxa"/>
            <w:vAlign w:val="bottom"/>
            <w:shd w:val="clear" w:color="auto" w:fill="CCEEFF"/>
          </w:tcPr>
          <w:p>
            <w:pPr>
              <w:spacing w:after="0"/>
              <w:rPr>
                <w:sz w:val="18"/>
                <w:szCs w:val="18"/>
                <w:color w:val="auto"/>
              </w:rPr>
            </w:pPr>
          </w:p>
        </w:tc>
      </w:tr>
      <w:tr>
        <w:trPr>
          <w:trHeight w:val="216"/>
        </w:trPr>
        <w:tc>
          <w:tcPr>
            <w:tcW w:w="3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ICLUSIG revenues, net</w:t>
            </w:r>
          </w:p>
        </w:tc>
        <w:tc>
          <w:tcPr>
            <w:tcW w:w="6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w:t>
            </w:r>
          </w:p>
        </w:tc>
        <w:tc>
          <w:tcPr>
            <w:tcW w:w="1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w:t>
            </w:r>
          </w:p>
        </w:tc>
        <w:tc>
          <w:tcPr>
            <w:tcW w:w="1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w:t>
            </w:r>
          </w:p>
        </w:tc>
        <w:tc>
          <w:tcPr>
            <w:tcW w:w="180" w:type="dxa"/>
            <w:vAlign w:val="bottom"/>
            <w:tcBorders>
              <w:bottom w:val="single" w:sz="8" w:color="CCEEFF"/>
            </w:tcBorders>
          </w:tcPr>
          <w:p>
            <w:pPr>
              <w:spacing w:after="0"/>
              <w:rPr>
                <w:sz w:val="18"/>
                <w:szCs w:val="18"/>
                <w:color w:val="auto"/>
              </w:rPr>
            </w:pPr>
          </w:p>
        </w:tc>
      </w:tr>
      <w:tr>
        <w:trPr>
          <w:trHeight w:val="210"/>
        </w:trPr>
        <w:tc>
          <w:tcPr>
            <w:tcW w:w="3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product revenues, net</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365.5</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291.7</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556.5</w:t>
            </w:r>
          </w:p>
        </w:tc>
        <w:tc>
          <w:tcPr>
            <w:tcW w:w="180" w:type="dxa"/>
            <w:vAlign w:val="bottom"/>
            <w:shd w:val="clear" w:color="auto" w:fill="CCEEFF"/>
          </w:tcPr>
          <w:p>
            <w:pPr>
              <w:spacing w:after="0"/>
              <w:rPr>
                <w:sz w:val="18"/>
                <w:szCs w:val="18"/>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JAKAVI product royalty revenues</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47.1</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33.9</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88.4</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62.7</w:t>
            </w:r>
          </w:p>
        </w:tc>
        <w:tc>
          <w:tcPr>
            <w:tcW w:w="180" w:type="dxa"/>
            <w:vAlign w:val="bottom"/>
          </w:tcPr>
          <w:p>
            <w:pPr>
              <w:spacing w:after="0"/>
              <w:rPr>
                <w:sz w:val="18"/>
                <w:szCs w:val="18"/>
                <w:color w:val="auto"/>
              </w:rPr>
            </w:pP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OLUMIANT product royalty revenues</w:t>
            </w:r>
          </w:p>
        </w:tc>
        <w:tc>
          <w:tcPr>
            <w:tcW w:w="6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6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CEEFF"/>
          </w:tcPr>
          <w:p>
            <w:pPr>
              <w:spacing w:after="0"/>
              <w:rPr>
                <w:sz w:val="18"/>
                <w:szCs w:val="18"/>
                <w:color w:val="auto"/>
              </w:rPr>
            </w:pPr>
          </w:p>
        </w:tc>
      </w:tr>
      <w:tr>
        <w:trPr>
          <w:trHeight w:val="210"/>
        </w:trPr>
        <w:tc>
          <w:tcPr>
            <w:tcW w:w="3440" w:type="dxa"/>
            <w:vAlign w:val="bottom"/>
          </w:tcPr>
          <w:p>
            <w:pPr>
              <w:ind w:left="120"/>
              <w:spacing w:after="0"/>
              <w:rPr>
                <w:sz w:val="20"/>
                <w:szCs w:val="20"/>
                <w:color w:val="auto"/>
              </w:rPr>
            </w:pPr>
            <w:r>
              <w:rPr>
                <w:rFonts w:ascii="Arial" w:cs="Arial" w:eastAsia="Arial" w:hAnsi="Arial"/>
                <w:sz w:val="18"/>
                <w:szCs w:val="18"/>
                <w:color w:val="auto"/>
              </w:rPr>
              <w:t>Total product royalty revenues</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56.0</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34.8</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103.7</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64.0</w:t>
            </w:r>
          </w:p>
        </w:tc>
        <w:tc>
          <w:tcPr>
            <w:tcW w:w="180" w:type="dxa"/>
            <w:vAlign w:val="bottom"/>
          </w:tcPr>
          <w:p>
            <w:pPr>
              <w:spacing w:after="0"/>
              <w:rPr>
                <w:sz w:val="18"/>
                <w:szCs w:val="18"/>
                <w:color w:val="auto"/>
              </w:rPr>
            </w:pP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Milestone revenues</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180" w:type="dxa"/>
            <w:vAlign w:val="bottom"/>
            <w:shd w:val="clear" w:color="auto" w:fill="CCEEFF"/>
          </w:tcPr>
          <w:p>
            <w:pPr>
              <w:spacing w:after="0"/>
              <w:rPr>
                <w:sz w:val="18"/>
                <w:szCs w:val="18"/>
                <w:color w:val="auto"/>
              </w:rPr>
            </w:pPr>
          </w:p>
        </w:tc>
      </w:tr>
      <w:tr>
        <w:trPr>
          <w:trHeight w:val="216"/>
        </w:trPr>
        <w:tc>
          <w:tcPr>
            <w:tcW w:w="3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revenues</w:t>
            </w:r>
          </w:p>
        </w:tc>
        <w:tc>
          <w:tcPr>
            <w:tcW w:w="6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80" w:type="dxa"/>
            <w:vAlign w:val="bottom"/>
            <w:tcBorders>
              <w:bottom w:val="single" w:sz="8" w:color="CCEEFF"/>
            </w:tcBorders>
          </w:tcPr>
          <w:p>
            <w:pPr>
              <w:spacing w:after="0"/>
              <w:rPr>
                <w:sz w:val="18"/>
                <w:szCs w:val="18"/>
                <w:color w:val="auto"/>
              </w:rPr>
            </w:pPr>
          </w:p>
        </w:tc>
      </w:tr>
      <w:tr>
        <w:trPr>
          <w:trHeight w:val="217"/>
        </w:trPr>
        <w:tc>
          <w:tcPr>
            <w:tcW w:w="34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revenues</w:t>
            </w:r>
          </w:p>
        </w:tc>
        <w:tc>
          <w:tcPr>
            <w:tcW w:w="6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521.5</w:t>
            </w:r>
          </w:p>
        </w:tc>
        <w:tc>
          <w:tcPr>
            <w:tcW w:w="1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326.5</w:t>
            </w:r>
          </w:p>
        </w:tc>
        <w:tc>
          <w:tcPr>
            <w:tcW w:w="1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903.8</w:t>
            </w:r>
          </w:p>
        </w:tc>
        <w:tc>
          <w:tcPr>
            <w:tcW w:w="16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710.6</w:t>
            </w:r>
          </w:p>
        </w:tc>
        <w:tc>
          <w:tcPr>
            <w:tcW w:w="180" w:type="dxa"/>
            <w:vAlign w:val="bottom"/>
            <w:tcBorders>
              <w:bottom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further information on our revenue-generating contracts, refer to our license agreements footnote.</w:t>
      </w:r>
    </w:p>
    <w:p>
      <w:pPr>
        <w:spacing w:after="0" w:line="235" w:lineRule="exact"/>
        <w:rPr>
          <w:sz w:val="20"/>
          <w:szCs w:val="20"/>
          <w:color w:val="auto"/>
        </w:rPr>
      </w:pPr>
    </w:p>
    <w:p>
      <w:pPr>
        <w:ind w:left="360" w:hanging="357"/>
        <w:spacing w:after="0"/>
        <w:tabs>
          <w:tab w:leader="none" w:pos="3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FASB accounting guidance defines fair value as the price that would be received to sell an asset or paid to transfer a liability (“the exit price”) in an orderly transaction between market participants at the measurement date. The standard outlines a valuation framework and creates a fair value hierarchy in order to increase the consistency and comparability of fair value measurements and the related disclosures. In determining fair value we use quoted prices and observable inputs. Observable inputs are inputs that market participants would use in pricing the asset or liability based on market data obtained from sources independent of us. The fair value hierarchy is broken down into three levels based on the source of inputs as follows: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1—Valuations based on unadjusted quoted prices in active markets for identical assets or liabilities.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Level 2—Valuations based on observable inputs and quoted prices in active markets for similar assets and liabilities.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6" w:name="page17"/>
    <w:bookmarkEnd w:id="1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Level 3—Valuations based on inputs that are unobservable and models that are significant to the overall fair value measurement.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Recurring Fair Value Measurements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marketable securities consist of investments in corporate debt securities and U.S. government securities that are classified as available-for-sale.</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At June 30, 2018 and December 31, 2017, our Level 2 corporate debt and U.S. government securities were valued using readily available pricing sources which utilize market observable inputs, including the current interest rate and other characteristics for similar types of investments. Our long term investments classified as Level 1 were valued using their respective closing stock prices on The Nasdaq Stock Market.</w:t>
      </w:r>
    </w:p>
    <w:p>
      <w:pPr>
        <w:spacing w:after="0" w:line="18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Our policy is to recognize transfers into and transfers out of fair value hierarchy levels as of the end of the reporting period. There were no transfers out of or in to hierarchy levels during the six months ended June 30, 2018.</w:t>
      </w:r>
    </w:p>
    <w:p>
      <w:pPr>
        <w:spacing w:after="0" w:line="14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fair value hierarchy table presents information about each major category of our financial assets measured at fair value on a recurring basis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20" w:type="dxa"/>
            <w:vAlign w:val="bottom"/>
            <w:gridSpan w:val="10"/>
          </w:tcPr>
          <w:p>
            <w:pPr>
              <w:ind w:left="40"/>
              <w:spacing w:after="0"/>
              <w:rPr>
                <w:sz w:val="20"/>
                <w:szCs w:val="20"/>
                <w:color w:val="auto"/>
              </w:rPr>
            </w:pPr>
            <w:r>
              <w:rPr>
                <w:rFonts w:ascii="Arial" w:cs="Arial" w:eastAsia="Arial" w:hAnsi="Arial"/>
                <w:sz w:val="14"/>
                <w:szCs w:val="14"/>
                <w:b w:val="1"/>
                <w:bCs w:val="1"/>
                <w:color w:val="auto"/>
              </w:rPr>
              <w:t>Fair Value Measurement at Reporting Date Using:</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8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40" w:type="dxa"/>
            <w:vAlign w:val="bottom"/>
            <w:tcBorders>
              <w:top w:val="single" w:sz="8" w:color="auto"/>
            </w:tcBorders>
            <w:gridSpan w:val="3"/>
          </w:tcPr>
          <w:p>
            <w:pPr>
              <w:jc w:val="center"/>
              <w:ind w:right="60"/>
              <w:spacing w:after="0" w:line="119" w:lineRule="exact"/>
              <w:rPr>
                <w:sz w:val="20"/>
                <w:szCs w:val="20"/>
                <w:color w:val="auto"/>
              </w:rPr>
            </w:pPr>
            <w:r>
              <w:rPr>
                <w:rFonts w:ascii="Arial" w:cs="Arial" w:eastAsia="Arial" w:hAnsi="Arial"/>
                <w:sz w:val="13"/>
                <w:szCs w:val="13"/>
                <w:b w:val="1"/>
                <w:bCs w:val="1"/>
                <w:color w:val="auto"/>
                <w:w w:val="98"/>
              </w:rPr>
              <w:t>Quoted Prices in</w:t>
            </w:r>
          </w:p>
        </w:tc>
        <w:tc>
          <w:tcPr>
            <w:tcW w:w="1220" w:type="dxa"/>
            <w:vAlign w:val="bottom"/>
            <w:tcBorders>
              <w:top w:val="single" w:sz="8" w:color="auto"/>
            </w:tcBorders>
            <w:gridSpan w:val="4"/>
          </w:tcPr>
          <w:p>
            <w:pPr>
              <w:ind w:left="80"/>
              <w:spacing w:after="0" w:line="119" w:lineRule="exact"/>
              <w:rPr>
                <w:sz w:val="20"/>
                <w:szCs w:val="20"/>
                <w:color w:val="auto"/>
              </w:rPr>
            </w:pPr>
            <w:r>
              <w:rPr>
                <w:rFonts w:ascii="Arial" w:cs="Arial" w:eastAsia="Arial" w:hAnsi="Arial"/>
                <w:sz w:val="13"/>
                <w:szCs w:val="13"/>
                <w:b w:val="1"/>
                <w:bCs w:val="1"/>
                <w:color w:val="auto"/>
              </w:rPr>
              <w:t>Significant Other</w:t>
            </w:r>
          </w:p>
        </w:tc>
        <w:tc>
          <w:tcPr>
            <w:tcW w:w="8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w w:val="99"/>
              </w:rPr>
              <w:t>Significant</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840" w:type="dxa"/>
            <w:vAlign w:val="bottom"/>
          </w:tcPr>
          <w:p>
            <w:pPr>
              <w:spacing w:after="0"/>
              <w:rPr>
                <w:sz w:val="12"/>
                <w:szCs w:val="12"/>
                <w:color w:val="auto"/>
              </w:rPr>
            </w:pPr>
          </w:p>
        </w:tc>
        <w:tc>
          <w:tcPr>
            <w:tcW w:w="1960" w:type="dxa"/>
            <w:vAlign w:val="bottom"/>
            <w:gridSpan w:val="4"/>
          </w:tcPr>
          <w:p>
            <w:pPr>
              <w:ind w:left="720"/>
              <w:spacing w:after="0" w:line="149" w:lineRule="exact"/>
              <w:rPr>
                <w:sz w:val="20"/>
                <w:szCs w:val="20"/>
                <w:color w:val="auto"/>
              </w:rPr>
            </w:pPr>
            <w:r>
              <w:rPr>
                <w:rFonts w:ascii="Arial" w:cs="Arial" w:eastAsia="Arial" w:hAnsi="Arial"/>
                <w:sz w:val="14"/>
                <w:szCs w:val="14"/>
                <w:b w:val="1"/>
                <w:bCs w:val="1"/>
                <w:color w:val="auto"/>
              </w:rPr>
              <w:t>Active Markets for</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060" w:type="dxa"/>
            <w:vAlign w:val="bottom"/>
            <w:gridSpan w:val="4"/>
          </w:tcPr>
          <w:p>
            <w:pPr>
              <w:ind w:left="80"/>
              <w:spacing w:after="0" w:line="149" w:lineRule="exact"/>
              <w:rPr>
                <w:sz w:val="20"/>
                <w:szCs w:val="20"/>
                <w:color w:val="auto"/>
              </w:rPr>
            </w:pPr>
            <w:r>
              <w:rPr>
                <w:rFonts w:ascii="Arial" w:cs="Arial" w:eastAsia="Arial" w:hAnsi="Arial"/>
                <w:sz w:val="14"/>
                <w:szCs w:val="14"/>
                <w:b w:val="1"/>
                <w:bCs w:val="1"/>
                <w:color w:val="auto"/>
              </w:rPr>
              <w:t>Unobservable</w:t>
            </w:r>
          </w:p>
        </w:tc>
        <w:tc>
          <w:tcPr>
            <w:tcW w:w="20" w:type="dxa"/>
            <w:vAlign w:val="bottom"/>
          </w:tcPr>
          <w:p>
            <w:pPr>
              <w:spacing w:after="0"/>
              <w:rPr>
                <w:sz w:val="12"/>
                <w:szCs w:val="12"/>
                <w:color w:val="auto"/>
              </w:rPr>
            </w:pPr>
          </w:p>
        </w:tc>
        <w:tc>
          <w:tcPr>
            <w:tcW w:w="96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88"/>
              </w:rPr>
              <w:t>Balance as of</w:t>
            </w:r>
          </w:p>
        </w:tc>
        <w:tc>
          <w:tcPr>
            <w:tcW w:w="0" w:type="dxa"/>
            <w:vAlign w:val="bottom"/>
          </w:tcPr>
          <w:p>
            <w:pPr>
              <w:spacing w:after="0"/>
              <w:rPr>
                <w:sz w:val="1"/>
                <w:szCs w:val="1"/>
                <w:color w:val="auto"/>
              </w:rPr>
            </w:pPr>
          </w:p>
        </w:tc>
      </w:tr>
      <w:tr>
        <w:trPr>
          <w:trHeight w:val="149"/>
        </w:trPr>
        <w:tc>
          <w:tcPr>
            <w:tcW w:w="38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Identical Assets</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Inputs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Inputs</w:t>
            </w:r>
          </w:p>
        </w:tc>
        <w:tc>
          <w:tcPr>
            <w:tcW w:w="2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(Level 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(Level 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3)</w:t>
            </w:r>
          </w:p>
        </w:tc>
        <w:tc>
          <w:tcPr>
            <w:tcW w:w="20" w:type="dxa"/>
            <w:vAlign w:val="bottom"/>
          </w:tcPr>
          <w:p>
            <w:pPr>
              <w:spacing w:after="0"/>
              <w:rPr>
                <w:sz w:val="14"/>
                <w:szCs w:val="14"/>
                <w:color w:val="auto"/>
              </w:rPr>
            </w:pPr>
          </w:p>
        </w:tc>
        <w:tc>
          <w:tcPr>
            <w:tcW w:w="9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June 30, 2018</w:t>
            </w:r>
          </w:p>
        </w:tc>
        <w:tc>
          <w:tcPr>
            <w:tcW w:w="0" w:type="dxa"/>
            <w:vAlign w:val="bottom"/>
          </w:tcPr>
          <w:p>
            <w:pPr>
              <w:spacing w:after="0"/>
              <w:rPr>
                <w:sz w:val="1"/>
                <w:szCs w:val="1"/>
                <w:color w:val="auto"/>
              </w:rPr>
            </w:pPr>
          </w:p>
        </w:tc>
      </w:tr>
      <w:tr>
        <w:trPr>
          <w:trHeight w:val="210"/>
        </w:trPr>
        <w:tc>
          <w:tcPr>
            <w:tcW w:w="3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7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928,517</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928,517</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Debt securities (corporate and government)</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269,865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269,865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Long term investments (Note 9)</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131,330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131,330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840" w:type="dxa"/>
            <w:vAlign w:val="bottom"/>
          </w:tcPr>
          <w:p>
            <w:pPr>
              <w:ind w:left="220"/>
              <w:spacing w:after="0"/>
              <w:rPr>
                <w:sz w:val="20"/>
                <w:szCs w:val="20"/>
                <w:color w:val="auto"/>
              </w:rPr>
            </w:pPr>
            <w:r>
              <w:rPr>
                <w:rFonts w:ascii="Arial" w:cs="Arial" w:eastAsia="Arial" w:hAnsi="Arial"/>
                <w:sz w:val="18"/>
                <w:szCs w:val="18"/>
                <w:color w:val="auto"/>
              </w:rPr>
              <w:t>Total assets</w:t>
            </w:r>
          </w:p>
        </w:tc>
        <w:tc>
          <w:tcPr>
            <w:tcW w:w="7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1,059,847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269,865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ind w:left="4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4"/>
              </w:rPr>
              <w:t>$ 1,329,712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8"/>
        </w:trPr>
        <w:tc>
          <w:tcPr>
            <w:tcW w:w="38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20" w:type="dxa"/>
            <w:vAlign w:val="bottom"/>
            <w:gridSpan w:val="10"/>
          </w:tcPr>
          <w:p>
            <w:pPr>
              <w:ind w:left="40"/>
              <w:spacing w:after="0"/>
              <w:rPr>
                <w:sz w:val="20"/>
                <w:szCs w:val="20"/>
                <w:color w:val="auto"/>
              </w:rPr>
            </w:pPr>
            <w:r>
              <w:rPr>
                <w:rFonts w:ascii="Arial" w:cs="Arial" w:eastAsia="Arial" w:hAnsi="Arial"/>
                <w:sz w:val="14"/>
                <w:szCs w:val="14"/>
                <w:b w:val="1"/>
                <w:bCs w:val="1"/>
                <w:color w:val="auto"/>
              </w:rPr>
              <w:t>Fair Value Measurement at Reporting Date Using:</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38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40" w:type="dxa"/>
            <w:vAlign w:val="bottom"/>
            <w:tcBorders>
              <w:top w:val="single" w:sz="8" w:color="auto"/>
            </w:tcBorders>
            <w:gridSpan w:val="3"/>
          </w:tcPr>
          <w:p>
            <w:pPr>
              <w:jc w:val="center"/>
              <w:ind w:right="60"/>
              <w:spacing w:after="0" w:line="119" w:lineRule="exact"/>
              <w:rPr>
                <w:sz w:val="20"/>
                <w:szCs w:val="20"/>
                <w:color w:val="auto"/>
              </w:rPr>
            </w:pPr>
            <w:r>
              <w:rPr>
                <w:rFonts w:ascii="Arial" w:cs="Arial" w:eastAsia="Arial" w:hAnsi="Arial"/>
                <w:sz w:val="13"/>
                <w:szCs w:val="13"/>
                <w:b w:val="1"/>
                <w:bCs w:val="1"/>
                <w:color w:val="auto"/>
                <w:w w:val="98"/>
              </w:rPr>
              <w:t>Quoted Prices in</w:t>
            </w:r>
          </w:p>
        </w:tc>
        <w:tc>
          <w:tcPr>
            <w:tcW w:w="1220" w:type="dxa"/>
            <w:vAlign w:val="bottom"/>
            <w:tcBorders>
              <w:top w:val="single" w:sz="8" w:color="auto"/>
            </w:tcBorders>
            <w:gridSpan w:val="4"/>
          </w:tcPr>
          <w:p>
            <w:pPr>
              <w:ind w:left="80"/>
              <w:spacing w:after="0" w:line="119" w:lineRule="exact"/>
              <w:rPr>
                <w:sz w:val="20"/>
                <w:szCs w:val="20"/>
                <w:color w:val="auto"/>
              </w:rPr>
            </w:pPr>
            <w:r>
              <w:rPr>
                <w:rFonts w:ascii="Arial" w:cs="Arial" w:eastAsia="Arial" w:hAnsi="Arial"/>
                <w:sz w:val="13"/>
                <w:szCs w:val="13"/>
                <w:b w:val="1"/>
                <w:bCs w:val="1"/>
                <w:color w:val="auto"/>
              </w:rPr>
              <w:t>Significant Other</w:t>
            </w:r>
          </w:p>
        </w:tc>
        <w:tc>
          <w:tcPr>
            <w:tcW w:w="8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w w:val="99"/>
              </w:rPr>
              <w:t>Significant</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840" w:type="dxa"/>
            <w:vAlign w:val="bottom"/>
          </w:tcPr>
          <w:p>
            <w:pPr>
              <w:spacing w:after="0"/>
              <w:rPr>
                <w:sz w:val="12"/>
                <w:szCs w:val="12"/>
                <w:color w:val="auto"/>
              </w:rPr>
            </w:pPr>
          </w:p>
        </w:tc>
        <w:tc>
          <w:tcPr>
            <w:tcW w:w="1960" w:type="dxa"/>
            <w:vAlign w:val="bottom"/>
            <w:gridSpan w:val="4"/>
          </w:tcPr>
          <w:p>
            <w:pPr>
              <w:ind w:left="720"/>
              <w:spacing w:after="0" w:line="149" w:lineRule="exact"/>
              <w:rPr>
                <w:sz w:val="20"/>
                <w:szCs w:val="20"/>
                <w:color w:val="auto"/>
              </w:rPr>
            </w:pPr>
            <w:r>
              <w:rPr>
                <w:rFonts w:ascii="Arial" w:cs="Arial" w:eastAsia="Arial" w:hAnsi="Arial"/>
                <w:sz w:val="14"/>
                <w:szCs w:val="14"/>
                <w:b w:val="1"/>
                <w:bCs w:val="1"/>
                <w:color w:val="auto"/>
              </w:rPr>
              <w:t>Active Markets for</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060" w:type="dxa"/>
            <w:vAlign w:val="bottom"/>
            <w:gridSpan w:val="4"/>
          </w:tcPr>
          <w:p>
            <w:pPr>
              <w:ind w:left="80"/>
              <w:spacing w:after="0" w:line="149" w:lineRule="exact"/>
              <w:rPr>
                <w:sz w:val="20"/>
                <w:szCs w:val="20"/>
                <w:color w:val="auto"/>
              </w:rPr>
            </w:pPr>
            <w:r>
              <w:rPr>
                <w:rFonts w:ascii="Arial" w:cs="Arial" w:eastAsia="Arial" w:hAnsi="Arial"/>
                <w:sz w:val="14"/>
                <w:szCs w:val="14"/>
                <w:b w:val="1"/>
                <w:bCs w:val="1"/>
                <w:color w:val="auto"/>
              </w:rPr>
              <w:t>Unobservable</w:t>
            </w:r>
          </w:p>
        </w:tc>
        <w:tc>
          <w:tcPr>
            <w:tcW w:w="20" w:type="dxa"/>
            <w:vAlign w:val="bottom"/>
          </w:tcPr>
          <w:p>
            <w:pPr>
              <w:spacing w:after="0"/>
              <w:rPr>
                <w:sz w:val="12"/>
                <w:szCs w:val="12"/>
                <w:color w:val="auto"/>
              </w:rPr>
            </w:pPr>
          </w:p>
        </w:tc>
        <w:tc>
          <w:tcPr>
            <w:tcW w:w="96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88"/>
              </w:rPr>
              <w:t>Balance as of</w:t>
            </w:r>
          </w:p>
        </w:tc>
        <w:tc>
          <w:tcPr>
            <w:tcW w:w="0" w:type="dxa"/>
            <w:vAlign w:val="bottom"/>
          </w:tcPr>
          <w:p>
            <w:pPr>
              <w:spacing w:after="0"/>
              <w:rPr>
                <w:sz w:val="1"/>
                <w:szCs w:val="1"/>
                <w:color w:val="auto"/>
              </w:rPr>
            </w:pPr>
          </w:p>
        </w:tc>
      </w:tr>
      <w:tr>
        <w:trPr>
          <w:trHeight w:val="149"/>
        </w:trPr>
        <w:tc>
          <w:tcPr>
            <w:tcW w:w="38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Identical Assets</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Inputs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Inputs</w:t>
            </w:r>
          </w:p>
        </w:tc>
        <w:tc>
          <w:tcPr>
            <w:tcW w:w="2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(Level 1)</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4"/>
              </w:rPr>
              <w:t>(Level 2)</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(Level 3)</w:t>
            </w:r>
          </w:p>
        </w:tc>
        <w:tc>
          <w:tcPr>
            <w:tcW w:w="20" w:type="dxa"/>
            <w:vAlign w:val="bottom"/>
          </w:tcPr>
          <w:p>
            <w:pPr>
              <w:spacing w:after="0"/>
              <w:rPr>
                <w:sz w:val="12"/>
                <w:szCs w:val="12"/>
                <w:color w:val="auto"/>
              </w:rPr>
            </w:pPr>
          </w:p>
        </w:tc>
        <w:tc>
          <w:tcPr>
            <w:tcW w:w="9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3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center"/>
              <w:ind w:right="113"/>
              <w:spacing w:after="0"/>
              <w:rPr>
                <w:sz w:val="20"/>
                <w:szCs w:val="20"/>
                <w:color w:val="auto"/>
              </w:rPr>
            </w:pPr>
            <w:r>
              <w:rPr>
                <w:rFonts w:ascii="Arial" w:cs="Arial" w:eastAsia="Arial" w:hAnsi="Arial"/>
                <w:sz w:val="14"/>
                <w:szCs w:val="14"/>
                <w:b w:val="1"/>
                <w:bCs w:val="1"/>
                <w:color w:val="auto"/>
                <w:w w:val="89"/>
              </w:rPr>
              <w:t>2017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7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899,509</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899,509</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Debt securities (corporate and government)</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270,136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270,136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Long term investment (Note 9)</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134,356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134,356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840" w:type="dxa"/>
            <w:vAlign w:val="bottom"/>
          </w:tcPr>
          <w:p>
            <w:pPr>
              <w:ind w:left="220"/>
              <w:spacing w:after="0"/>
              <w:rPr>
                <w:sz w:val="20"/>
                <w:szCs w:val="20"/>
                <w:color w:val="auto"/>
              </w:rPr>
            </w:pPr>
            <w:r>
              <w:rPr>
                <w:rFonts w:ascii="Arial" w:cs="Arial" w:eastAsia="Arial" w:hAnsi="Arial"/>
                <w:sz w:val="18"/>
                <w:szCs w:val="18"/>
                <w:color w:val="auto"/>
              </w:rPr>
              <w:t>Total assets</w:t>
            </w:r>
          </w:p>
        </w:tc>
        <w:tc>
          <w:tcPr>
            <w:tcW w:w="7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1,033,865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270,136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ind w:left="4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4"/>
              </w:rPr>
              <w:t>$ 1,304,001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fair value hierarchy table presents information about each major category of our financial liabilities measured at fair value on a recurring basis as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500" w:type="dxa"/>
            <w:vAlign w:val="bottom"/>
            <w:tcBorders>
              <w:bottom w:val="single" w:sz="8" w:color="auto"/>
            </w:tcBorders>
            <w:gridSpan w:val="7"/>
          </w:tcPr>
          <w:p>
            <w:pPr>
              <w:ind w:left="160"/>
              <w:spacing w:after="0"/>
              <w:rPr>
                <w:sz w:val="20"/>
                <w:szCs w:val="20"/>
                <w:color w:val="auto"/>
              </w:rPr>
            </w:pPr>
            <w:r>
              <w:rPr>
                <w:rFonts w:ascii="Arial" w:cs="Arial" w:eastAsia="Arial" w:hAnsi="Arial"/>
                <w:sz w:val="14"/>
                <w:szCs w:val="14"/>
                <w:b w:val="1"/>
                <w:bCs w:val="1"/>
                <w:color w:val="auto"/>
              </w:rPr>
              <w:t>Fair Value Measurement at Reporting Date Using:</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tcPr>
          <w:p>
            <w:pPr>
              <w:jc w:val="center"/>
              <w:ind w:right="21"/>
              <w:spacing w:after="0" w:line="119" w:lineRule="exact"/>
              <w:rPr>
                <w:sz w:val="20"/>
                <w:szCs w:val="20"/>
                <w:color w:val="auto"/>
              </w:rPr>
            </w:pPr>
            <w:r>
              <w:rPr>
                <w:rFonts w:ascii="Arial" w:cs="Arial" w:eastAsia="Arial" w:hAnsi="Arial"/>
                <w:sz w:val="13"/>
                <w:szCs w:val="13"/>
                <w:b w:val="1"/>
                <w:bCs w:val="1"/>
                <w:color w:val="auto"/>
                <w:w w:val="98"/>
              </w:rPr>
              <w:t>Quoted Prices in</w:t>
            </w:r>
          </w:p>
        </w:tc>
        <w:tc>
          <w:tcPr>
            <w:tcW w:w="140" w:type="dxa"/>
            <w:vAlign w:val="bottom"/>
          </w:tcPr>
          <w:p>
            <w:pPr>
              <w:spacing w:after="0"/>
              <w:rPr>
                <w:sz w:val="10"/>
                <w:szCs w:val="10"/>
                <w:color w:val="auto"/>
              </w:rPr>
            </w:pPr>
          </w:p>
        </w:tc>
        <w:tc>
          <w:tcPr>
            <w:tcW w:w="110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Significant Other</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jc w:val="center"/>
              <w:ind w:right="42"/>
              <w:spacing w:after="0" w:line="119" w:lineRule="exact"/>
              <w:rPr>
                <w:sz w:val="20"/>
                <w:szCs w:val="20"/>
                <w:color w:val="auto"/>
              </w:rPr>
            </w:pPr>
            <w:r>
              <w:rPr>
                <w:rFonts w:ascii="Arial" w:cs="Arial" w:eastAsia="Arial" w:hAnsi="Arial"/>
                <w:sz w:val="13"/>
                <w:szCs w:val="13"/>
                <w:b w:val="1"/>
                <w:bCs w:val="1"/>
                <w:color w:val="auto"/>
                <w:w w:val="99"/>
              </w:rPr>
              <w:t>Significant</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220" w:type="dxa"/>
            <w:vAlign w:val="bottom"/>
          </w:tcPr>
          <w:p>
            <w:pPr>
              <w:spacing w:after="0"/>
              <w:rPr>
                <w:sz w:val="12"/>
                <w:szCs w:val="12"/>
                <w:color w:val="auto"/>
              </w:rPr>
            </w:pPr>
          </w:p>
        </w:tc>
        <w:tc>
          <w:tcPr>
            <w:tcW w:w="12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91"/>
              </w:rPr>
              <w:t>Observable</w:t>
            </w:r>
          </w:p>
        </w:tc>
        <w:tc>
          <w:tcPr>
            <w:tcW w:w="140" w:type="dxa"/>
            <w:vAlign w:val="bottom"/>
          </w:tcPr>
          <w:p>
            <w:pPr>
              <w:spacing w:after="0"/>
              <w:rPr>
                <w:sz w:val="12"/>
                <w:szCs w:val="12"/>
                <w:color w:val="auto"/>
              </w:rPr>
            </w:pPr>
          </w:p>
        </w:tc>
        <w:tc>
          <w:tcPr>
            <w:tcW w:w="10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vMerge w:val="restart"/>
          </w:tcPr>
          <w:p>
            <w:pPr>
              <w:jc w:val="right"/>
              <w:ind w:right="79"/>
              <w:spacing w:after="0"/>
              <w:rPr>
                <w:sz w:val="20"/>
                <w:szCs w:val="20"/>
                <w:color w:val="auto"/>
              </w:rPr>
            </w:pPr>
            <w:r>
              <w:rPr>
                <w:rFonts w:ascii="Arial" w:cs="Arial" w:eastAsia="Arial" w:hAnsi="Arial"/>
                <w:sz w:val="14"/>
                <w:szCs w:val="14"/>
                <w:b w:val="1"/>
                <w:bCs w:val="1"/>
                <w:color w:val="auto"/>
                <w:w w:val="90"/>
              </w:rPr>
              <w:t>Balance as of</w:t>
            </w:r>
          </w:p>
        </w:tc>
        <w:tc>
          <w:tcPr>
            <w:tcW w:w="0" w:type="dxa"/>
            <w:vAlign w:val="bottom"/>
          </w:tcPr>
          <w:p>
            <w:pPr>
              <w:spacing w:after="0"/>
              <w:rPr>
                <w:sz w:val="1"/>
                <w:szCs w:val="1"/>
                <w:color w:val="auto"/>
              </w:rPr>
            </w:pPr>
          </w:p>
        </w:tc>
      </w:tr>
      <w:tr>
        <w:trPr>
          <w:trHeight w:val="149"/>
        </w:trPr>
        <w:tc>
          <w:tcPr>
            <w:tcW w:w="4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jc w:val="center"/>
              <w:ind w:right="1"/>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center"/>
              <w:ind w:right="41"/>
              <w:spacing w:after="0" w:line="149" w:lineRule="exact"/>
              <w:rPr>
                <w:sz w:val="20"/>
                <w:szCs w:val="20"/>
                <w:color w:val="auto"/>
              </w:rPr>
            </w:pPr>
            <w:r>
              <w:rPr>
                <w:rFonts w:ascii="Arial" w:cs="Arial" w:eastAsia="Arial" w:hAnsi="Arial"/>
                <w:sz w:val="14"/>
                <w:szCs w:val="14"/>
                <w:b w:val="1"/>
                <w:bCs w:val="1"/>
                <w:color w:val="auto"/>
                <w:w w:val="95"/>
              </w:rPr>
              <w:t>Inputs</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w w:val="95"/>
              </w:rPr>
              <w:t>Inputs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2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94"/>
              </w:rPr>
              <w:t>(Level 1)</w:t>
            </w: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94"/>
              </w:rPr>
              <w:t>(Level 2)</w:t>
            </w: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94"/>
              </w:rPr>
              <w:t>(Level 3)</w:t>
            </w: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w w:val="92"/>
              </w:rPr>
              <w:t>June 30, 2018</w:t>
            </w:r>
          </w:p>
        </w:tc>
        <w:tc>
          <w:tcPr>
            <w:tcW w:w="0" w:type="dxa"/>
            <w:vAlign w:val="bottom"/>
          </w:tcPr>
          <w:p>
            <w:pPr>
              <w:spacing w:after="0"/>
              <w:rPr>
                <w:sz w:val="1"/>
                <w:szCs w:val="1"/>
                <w:color w:val="auto"/>
              </w:rPr>
            </w:pPr>
          </w:p>
        </w:tc>
      </w:tr>
      <w:tr>
        <w:trPr>
          <w:trHeight w:val="210"/>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Contingent consideration</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288,000</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288,000</w:t>
            </w:r>
          </w:p>
        </w:tc>
        <w:tc>
          <w:tcPr>
            <w:tcW w:w="0" w:type="dxa"/>
            <w:vAlign w:val="bottom"/>
          </w:tcPr>
          <w:p>
            <w:pPr>
              <w:spacing w:after="0"/>
              <w:rPr>
                <w:sz w:val="1"/>
                <w:szCs w:val="1"/>
                <w:color w:val="auto"/>
              </w:rPr>
            </w:pPr>
          </w:p>
        </w:tc>
      </w:tr>
      <w:tr>
        <w:trPr>
          <w:trHeight w:val="217"/>
        </w:trPr>
        <w:tc>
          <w:tcPr>
            <w:tcW w:w="4220" w:type="dxa"/>
            <w:vAlign w:val="bottom"/>
          </w:tcPr>
          <w:p>
            <w:pPr>
              <w:ind w:left="220"/>
              <w:spacing w:after="0"/>
              <w:rPr>
                <w:sz w:val="20"/>
                <w:szCs w:val="20"/>
                <w:color w:val="auto"/>
              </w:rPr>
            </w:pPr>
            <w:r>
              <w:rPr>
                <w:rFonts w:ascii="Arial" w:cs="Arial" w:eastAsia="Arial" w:hAnsi="Arial"/>
                <w:sz w:val="18"/>
                <w:szCs w:val="18"/>
                <w:color w:val="auto"/>
              </w:rPr>
              <w:t>Total liabilities</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ind w:left="8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ind w:left="7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288,000</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288,000</w:t>
            </w:r>
          </w:p>
        </w:tc>
        <w:tc>
          <w:tcPr>
            <w:tcW w:w="0" w:type="dxa"/>
            <w:vAlign w:val="bottom"/>
          </w:tcPr>
          <w:p>
            <w:pPr>
              <w:spacing w:after="0"/>
              <w:rPr>
                <w:sz w:val="1"/>
                <w:szCs w:val="1"/>
                <w:color w:val="auto"/>
              </w:rPr>
            </w:pPr>
          </w:p>
        </w:tc>
      </w:tr>
      <w:tr>
        <w:trPr>
          <w:trHeight w:val="648"/>
        </w:trPr>
        <w:tc>
          <w:tcPr>
            <w:tcW w:w="4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ind w:left="140"/>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42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17" w:name="page18"/>
    <w:bookmarkEnd w:id="1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0" w:type="dxa"/>
            <w:vAlign w:val="bottom"/>
            <w:tcBorders>
              <w:bottom w:val="single" w:sz="8" w:color="auto"/>
            </w:tcBorders>
            <w:gridSpan w:val="7"/>
          </w:tcPr>
          <w:p>
            <w:pPr>
              <w:ind w:left="100"/>
              <w:spacing w:after="0"/>
              <w:rPr>
                <w:sz w:val="20"/>
                <w:szCs w:val="20"/>
                <w:color w:val="auto"/>
              </w:rPr>
            </w:pPr>
            <w:r>
              <w:rPr>
                <w:rFonts w:ascii="Arial" w:cs="Arial" w:eastAsia="Arial" w:hAnsi="Arial"/>
                <w:sz w:val="14"/>
                <w:szCs w:val="14"/>
                <w:b w:val="1"/>
                <w:bCs w:val="1"/>
                <w:color w:val="auto"/>
                <w:w w:val="99"/>
              </w:rPr>
              <w:t>Fair Value Measurement at Reporting Date Using:</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1"/>
        </w:trPr>
        <w:tc>
          <w:tcPr>
            <w:tcW w:w="3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center"/>
              <w:ind w:right="2"/>
              <w:spacing w:after="0"/>
              <w:rPr>
                <w:sz w:val="20"/>
                <w:szCs w:val="20"/>
                <w:color w:val="auto"/>
              </w:rPr>
            </w:pPr>
            <w:r>
              <w:rPr>
                <w:rFonts w:ascii="Arial" w:cs="Arial" w:eastAsia="Arial" w:hAnsi="Arial"/>
                <w:sz w:val="14"/>
                <w:szCs w:val="14"/>
                <w:b w:val="1"/>
                <w:bCs w:val="1"/>
                <w:color w:val="auto"/>
                <w:w w:val="91"/>
              </w:rPr>
              <w:t>Quoted Prices in</w:t>
            </w:r>
          </w:p>
        </w:tc>
        <w:tc>
          <w:tcPr>
            <w:tcW w:w="160" w:type="dxa"/>
            <w:vAlign w:val="bottom"/>
          </w:tcPr>
          <w:p>
            <w:pPr>
              <w:spacing w:after="0"/>
              <w:rPr>
                <w:sz w:val="18"/>
                <w:szCs w:val="18"/>
                <w:color w:val="auto"/>
              </w:rPr>
            </w:pP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Significant Other</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center"/>
              <w:ind w:right="21"/>
              <w:spacing w:after="0"/>
              <w:rPr>
                <w:sz w:val="20"/>
                <w:szCs w:val="20"/>
                <w:color w:val="auto"/>
              </w:rPr>
            </w:pPr>
            <w:r>
              <w:rPr>
                <w:rFonts w:ascii="Arial" w:cs="Arial" w:eastAsia="Arial" w:hAnsi="Arial"/>
                <w:sz w:val="14"/>
                <w:szCs w:val="14"/>
                <w:b w:val="1"/>
                <w:bCs w:val="1"/>
                <w:color w:val="auto"/>
                <w:w w:val="92"/>
              </w:rPr>
              <w:t>Significant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Active Markets for</w:t>
            </w:r>
          </w:p>
        </w:tc>
        <w:tc>
          <w:tcPr>
            <w:tcW w:w="160" w:type="dxa"/>
            <w:vAlign w:val="bottom"/>
          </w:tcPr>
          <w:p>
            <w:pPr>
              <w:spacing w:after="0"/>
              <w:rPr>
                <w:sz w:val="18"/>
                <w:szCs w:val="18"/>
                <w:color w:val="auto"/>
              </w:rPr>
            </w:pP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Observable</w:t>
            </w:r>
          </w:p>
        </w:tc>
        <w:tc>
          <w:tcPr>
            <w:tcW w:w="160" w:type="dxa"/>
            <w:vAlign w:val="bottom"/>
          </w:tcPr>
          <w:p>
            <w:pPr>
              <w:spacing w:after="0"/>
              <w:rPr>
                <w:sz w:val="18"/>
                <w:szCs w:val="18"/>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Unobservable</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center"/>
              <w:ind w:right="22"/>
              <w:spacing w:after="0"/>
              <w:rPr>
                <w:sz w:val="20"/>
                <w:szCs w:val="20"/>
                <w:color w:val="auto"/>
              </w:rPr>
            </w:pPr>
            <w:r>
              <w:rPr>
                <w:rFonts w:ascii="Arial" w:cs="Arial" w:eastAsia="Arial" w:hAnsi="Arial"/>
                <w:sz w:val="14"/>
                <w:szCs w:val="14"/>
                <w:b w:val="1"/>
                <w:bCs w:val="1"/>
                <w:color w:val="auto"/>
                <w:w w:val="90"/>
              </w:rPr>
              <w:t>Identical Assets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center"/>
              <w:ind w:right="159"/>
              <w:spacing w:after="0"/>
              <w:rPr>
                <w:sz w:val="20"/>
                <w:szCs w:val="20"/>
                <w:color w:val="auto"/>
              </w:rPr>
            </w:pPr>
            <w:r>
              <w:rPr>
                <w:rFonts w:ascii="Arial" w:cs="Arial" w:eastAsia="Arial" w:hAnsi="Arial"/>
                <w:sz w:val="14"/>
                <w:szCs w:val="14"/>
                <w:b w:val="1"/>
                <w:bCs w:val="1"/>
                <w:color w:val="auto"/>
                <w:w w:val="95"/>
              </w:rPr>
              <w:t>Inputs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center"/>
              <w:ind w:right="41"/>
              <w:spacing w:after="0"/>
              <w:rPr>
                <w:sz w:val="20"/>
                <w:szCs w:val="20"/>
                <w:color w:val="auto"/>
              </w:rPr>
            </w:pPr>
            <w:r>
              <w:rPr>
                <w:rFonts w:ascii="Arial" w:cs="Arial" w:eastAsia="Arial" w:hAnsi="Arial"/>
                <w:sz w:val="14"/>
                <w:szCs w:val="14"/>
                <w:b w:val="1"/>
                <w:bCs w:val="1"/>
                <w:color w:val="auto"/>
                <w:w w:val="95"/>
              </w:rPr>
              <w:t>Inputs</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Balance as of</w:t>
            </w:r>
          </w:p>
        </w:tc>
      </w:tr>
      <w:tr>
        <w:trPr>
          <w:trHeight w:val="201"/>
        </w:trPr>
        <w:tc>
          <w:tcPr>
            <w:tcW w:w="3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center"/>
              <w:ind w:right="2"/>
              <w:spacing w:after="0"/>
              <w:rPr>
                <w:sz w:val="20"/>
                <w:szCs w:val="20"/>
                <w:color w:val="auto"/>
              </w:rPr>
            </w:pPr>
            <w:r>
              <w:rPr>
                <w:rFonts w:ascii="Arial" w:cs="Arial" w:eastAsia="Arial" w:hAnsi="Arial"/>
                <w:sz w:val="14"/>
                <w:szCs w:val="14"/>
                <w:b w:val="1"/>
                <w:bCs w:val="1"/>
                <w:color w:val="auto"/>
                <w:w w:val="94"/>
              </w:rPr>
              <w:t>(Level 1)</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center"/>
              <w:ind w:right="159"/>
              <w:spacing w:after="0"/>
              <w:rPr>
                <w:sz w:val="20"/>
                <w:szCs w:val="20"/>
                <w:color w:val="auto"/>
              </w:rPr>
            </w:pPr>
            <w:r>
              <w:rPr>
                <w:rFonts w:ascii="Arial" w:cs="Arial" w:eastAsia="Arial" w:hAnsi="Arial"/>
                <w:sz w:val="14"/>
                <w:szCs w:val="14"/>
                <w:b w:val="1"/>
                <w:bCs w:val="1"/>
                <w:color w:val="auto"/>
                <w:w w:val="91"/>
              </w:rPr>
              <w:t>(Level 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center"/>
              <w:ind w:right="21"/>
              <w:spacing w:after="0"/>
              <w:rPr>
                <w:sz w:val="20"/>
                <w:szCs w:val="20"/>
                <w:color w:val="auto"/>
              </w:rPr>
            </w:pPr>
            <w:r>
              <w:rPr>
                <w:rFonts w:ascii="Arial" w:cs="Arial" w:eastAsia="Arial" w:hAnsi="Arial"/>
                <w:sz w:val="14"/>
                <w:szCs w:val="14"/>
                <w:b w:val="1"/>
                <w:bCs w:val="1"/>
                <w:color w:val="auto"/>
                <w:w w:val="94"/>
              </w:rPr>
              <w:t>(Level 3)</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3"/>
              </w:rPr>
              <w:t>December 31, 2017</w:t>
            </w:r>
          </w:p>
        </w:tc>
      </w:tr>
      <w:tr>
        <w:trPr>
          <w:trHeight w:val="210"/>
        </w:trPr>
        <w:tc>
          <w:tcPr>
            <w:tcW w:w="3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Contingent consideration</w:t>
            </w: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287,000</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right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287,000</w:t>
            </w:r>
          </w:p>
        </w:tc>
        <w:tc>
          <w:tcPr>
            <w:tcW w:w="20" w:type="dxa"/>
            <w:vAlign w:val="bottom"/>
            <w:tcBorders>
              <w:top w:val="single" w:sz="8" w:color="CCEEFF"/>
            </w:tcBorders>
            <w:shd w:val="clear" w:color="auto" w:fill="CCEEFF"/>
          </w:tcPr>
          <w:p>
            <w:pPr>
              <w:spacing w:after="0"/>
              <w:rPr>
                <w:sz w:val="18"/>
                <w:szCs w:val="18"/>
                <w:color w:val="auto"/>
              </w:rPr>
            </w:pPr>
          </w:p>
        </w:tc>
      </w:tr>
      <w:tr>
        <w:trPr>
          <w:trHeight w:val="217"/>
        </w:trPr>
        <w:tc>
          <w:tcPr>
            <w:tcW w:w="3820" w:type="dxa"/>
            <w:vAlign w:val="bottom"/>
          </w:tcPr>
          <w:p>
            <w:pPr>
              <w:ind w:left="220"/>
              <w:spacing w:after="0"/>
              <w:rPr>
                <w:sz w:val="20"/>
                <w:szCs w:val="20"/>
                <w:color w:val="auto"/>
              </w:rPr>
            </w:pPr>
            <w:r>
              <w:rPr>
                <w:rFonts w:ascii="Arial" w:cs="Arial" w:eastAsia="Arial" w:hAnsi="Arial"/>
                <w:sz w:val="18"/>
                <w:szCs w:val="18"/>
                <w:color w:val="auto"/>
              </w:rPr>
              <w:t>Total liabilities</w:t>
            </w:r>
          </w:p>
        </w:tc>
        <w:tc>
          <w:tcPr>
            <w:tcW w:w="3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ind w:left="8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287,000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287,000</w:t>
            </w:r>
          </w:p>
        </w:tc>
        <w:tc>
          <w:tcPr>
            <w:tcW w:w="20" w:type="dxa"/>
            <w:vAlign w:val="bottom"/>
          </w:tcPr>
          <w:p>
            <w:pPr>
              <w:spacing w:after="0"/>
              <w:rPr>
                <w:sz w:val="18"/>
                <w:szCs w:val="18"/>
                <w:color w:val="auto"/>
              </w:rPr>
            </w:pPr>
          </w:p>
        </w:tc>
      </w:tr>
      <w:tr>
        <w:trPr>
          <w:trHeight w:val="432"/>
        </w:trPr>
        <w:tc>
          <w:tcPr>
            <w:tcW w:w="5760" w:type="dxa"/>
            <w:vAlign w:val="bottom"/>
            <w:gridSpan w:val="6"/>
          </w:tcPr>
          <w:p>
            <w:pPr>
              <w:ind w:left="660"/>
              <w:spacing w:after="0"/>
              <w:rPr>
                <w:sz w:val="20"/>
                <w:szCs w:val="20"/>
                <w:color w:val="auto"/>
              </w:rPr>
            </w:pPr>
            <w:r>
              <w:rPr>
                <w:rFonts w:ascii="Arial" w:cs="Arial" w:eastAsia="Arial" w:hAnsi="Arial"/>
                <w:sz w:val="18"/>
                <w:szCs w:val="18"/>
                <w:color w:val="auto"/>
                <w:w w:val="94"/>
              </w:rPr>
              <w:t>The following is a rollforward of our Level 3 liabilities (in thousands):</w:t>
            </w: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46"/>
        </w:trPr>
        <w:tc>
          <w:tcPr>
            <w:tcW w:w="3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Level 3</w:t>
            </w:r>
          </w:p>
        </w:tc>
      </w:tr>
      <w:tr>
        <w:trPr>
          <w:trHeight w:val="210"/>
        </w:trPr>
        <w:tc>
          <w:tcPr>
            <w:tcW w:w="3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January 1, 2018</w:t>
            </w: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287,000</w:t>
            </w:r>
          </w:p>
        </w:tc>
        <w:tc>
          <w:tcPr>
            <w:tcW w:w="20" w:type="dxa"/>
            <w:vAlign w:val="bottom"/>
          </w:tcPr>
          <w:p>
            <w:pPr>
              <w:spacing w:after="0"/>
              <w:rPr>
                <w:sz w:val="18"/>
                <w:szCs w:val="18"/>
                <w:color w:val="auto"/>
              </w:rPr>
            </w:pPr>
          </w:p>
        </w:tc>
      </w:tr>
      <w:tr>
        <w:trPr>
          <w:trHeight w:val="216"/>
        </w:trPr>
        <w:tc>
          <w:tcPr>
            <w:tcW w:w="5360" w:type="dxa"/>
            <w:vAlign w:val="bottom"/>
            <w:gridSpan w:val="4"/>
          </w:tcPr>
          <w:p>
            <w:pPr>
              <w:spacing w:after="0"/>
              <w:rPr>
                <w:sz w:val="20"/>
                <w:szCs w:val="20"/>
                <w:color w:val="auto"/>
              </w:rPr>
            </w:pPr>
            <w:r>
              <w:rPr>
                <w:rFonts w:ascii="Arial" w:cs="Arial" w:eastAsia="Arial" w:hAnsi="Arial"/>
                <w:sz w:val="18"/>
                <w:szCs w:val="18"/>
                <w:color w:val="auto"/>
              </w:rPr>
              <w:t>Contingent consideration earned during the period but not yet paid</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(6,303)</w:t>
            </w:r>
          </w:p>
        </w:tc>
        <w:tc>
          <w:tcPr>
            <w:tcW w:w="20" w:type="dxa"/>
            <w:vAlign w:val="bottom"/>
          </w:tcPr>
          <w:p>
            <w:pPr>
              <w:spacing w:after="0"/>
              <w:rPr>
                <w:sz w:val="18"/>
                <w:szCs w:val="18"/>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Payments made during the period</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(6,685)</w:t>
            </w:r>
          </w:p>
        </w:tc>
        <w:tc>
          <w:tcPr>
            <w:tcW w:w="20" w:type="dxa"/>
            <w:vAlign w:val="bottom"/>
          </w:tcPr>
          <w:p>
            <w:pPr>
              <w:spacing w:after="0"/>
              <w:rPr>
                <w:sz w:val="18"/>
                <w:szCs w:val="18"/>
                <w:color w:val="auto"/>
              </w:rPr>
            </w:pPr>
          </w:p>
        </w:tc>
      </w:tr>
      <w:tr>
        <w:trPr>
          <w:trHeight w:val="216"/>
        </w:trPr>
        <w:tc>
          <w:tcPr>
            <w:tcW w:w="3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w w:val="99"/>
              </w:rPr>
              <w:t>Change in fair value of contingent consideration</w:t>
            </w:r>
          </w:p>
        </w:tc>
        <w:tc>
          <w:tcPr>
            <w:tcW w:w="3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13,988</w:t>
            </w:r>
          </w:p>
        </w:tc>
        <w:tc>
          <w:tcPr>
            <w:tcW w:w="20" w:type="dxa"/>
            <w:vAlign w:val="bottom"/>
          </w:tcPr>
          <w:p>
            <w:pPr>
              <w:spacing w:after="0"/>
              <w:rPr>
                <w:sz w:val="18"/>
                <w:szCs w:val="18"/>
                <w:color w:val="auto"/>
              </w:rPr>
            </w:pPr>
          </w:p>
        </w:tc>
      </w:tr>
      <w:tr>
        <w:trPr>
          <w:trHeight w:val="217"/>
        </w:trPr>
        <w:tc>
          <w:tcPr>
            <w:tcW w:w="3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June 30, 2018</w:t>
            </w:r>
          </w:p>
        </w:tc>
        <w:tc>
          <w:tcPr>
            <w:tcW w:w="3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gridSpan w:val="2"/>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288,000</w:t>
            </w:r>
          </w:p>
        </w:tc>
        <w:tc>
          <w:tcPr>
            <w:tcW w:w="20" w:type="dxa"/>
            <w:vAlign w:val="bottom"/>
          </w:tcPr>
          <w:p>
            <w:pPr>
              <w:spacing w:after="0"/>
              <w:rPr>
                <w:sz w:val="18"/>
                <w:szCs w:val="18"/>
                <w:color w:val="auto"/>
              </w:rPr>
            </w:pPr>
          </w:p>
        </w:tc>
      </w:tr>
    </w:tbl>
    <w:p>
      <w:pPr>
        <w:spacing w:after="0" w:line="161" w:lineRule="exact"/>
        <w:rPr>
          <w:sz w:val="20"/>
          <w:szCs w:val="20"/>
          <w:color w:val="auto"/>
        </w:rPr>
      </w:pPr>
    </w:p>
    <w:p>
      <w:pPr>
        <w:jc w:val="both"/>
        <w:ind w:right="20" w:firstLine="648"/>
        <w:spacing w:after="0" w:line="255" w:lineRule="auto"/>
        <w:rPr>
          <w:sz w:val="20"/>
          <w:szCs w:val="20"/>
          <w:color w:val="auto"/>
        </w:rPr>
      </w:pPr>
      <w:r>
        <w:rPr>
          <w:rFonts w:ascii="Arial" w:cs="Arial" w:eastAsia="Arial" w:hAnsi="Arial"/>
          <w:sz w:val="18"/>
          <w:szCs w:val="18"/>
          <w:color w:val="auto"/>
        </w:rPr>
        <w:t>The fair value of the contingent consideration was determined using an income approach based on estimated ICLUSIG revenues in the European Union and other countries for the approved third line treatment. The fair value of the contingent consideration is remeasured each reporting period, with changes in fair value recorded in the condensed consolidated statements of operations. The change in fair value of the contingent consideration during the three and six months ended June 30, 2018 was due primarily to the passage of time as there were no other significant changes in the key assumptions during the period.</w:t>
      </w:r>
    </w:p>
    <w:p>
      <w:pPr>
        <w:spacing w:after="0" w:line="193"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We make payments to Takeda quarterly based on the royalties or any additional milestone payments earned in the previous quarter. During the three months ended June 30, 2018, contingent consideration earned but not yet paid was $6.3 million and we paid Takeda $6.7 million for royalties earned in the first quarter of 2018 that were included in accrued and other current liabilities at March 31, 2018.</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our marketable security portfolio.</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Amortized</w:t>
            </w:r>
          </w:p>
        </w:tc>
        <w:tc>
          <w:tcPr>
            <w:tcW w:w="220" w:type="dxa"/>
            <w:vAlign w:val="bottom"/>
          </w:tcPr>
          <w:p>
            <w:pPr>
              <w:spacing w:after="0"/>
              <w:rPr>
                <w:sz w:val="14"/>
                <w:szCs w:val="14"/>
                <w:color w:val="auto"/>
              </w:rPr>
            </w:pPr>
          </w:p>
        </w:tc>
        <w:tc>
          <w:tcPr>
            <w:tcW w:w="860" w:type="dxa"/>
            <w:vAlign w:val="bottom"/>
          </w:tcPr>
          <w:p>
            <w:pPr>
              <w:jc w:val="center"/>
              <w:ind w:right="82"/>
              <w:spacing w:after="0"/>
              <w:rPr>
                <w:sz w:val="20"/>
                <w:szCs w:val="20"/>
                <w:color w:val="auto"/>
              </w:rPr>
            </w:pPr>
            <w:r>
              <w:rPr>
                <w:rFonts w:ascii="Arial" w:cs="Arial" w:eastAsia="Arial" w:hAnsi="Arial"/>
                <w:sz w:val="14"/>
                <w:szCs w:val="14"/>
                <w:b w:val="1"/>
                <w:bCs w:val="1"/>
                <w:color w:val="auto"/>
                <w:w w:val="97"/>
              </w:rPr>
              <w:t>Net</w:t>
            </w:r>
          </w:p>
        </w:tc>
        <w:tc>
          <w:tcPr>
            <w:tcW w:w="280" w:type="dxa"/>
            <w:vAlign w:val="bottom"/>
          </w:tcPr>
          <w:p>
            <w:pPr>
              <w:spacing w:after="0"/>
              <w:rPr>
                <w:sz w:val="14"/>
                <w:szCs w:val="14"/>
                <w:color w:val="auto"/>
              </w:rPr>
            </w:pPr>
          </w:p>
        </w:tc>
        <w:tc>
          <w:tcPr>
            <w:tcW w:w="740" w:type="dxa"/>
            <w:vAlign w:val="bottom"/>
          </w:tcPr>
          <w:p>
            <w:pPr>
              <w:ind w:left="140"/>
              <w:spacing w:after="0"/>
              <w:rPr>
                <w:sz w:val="20"/>
                <w:szCs w:val="20"/>
                <w:color w:val="auto"/>
              </w:rPr>
            </w:pPr>
            <w:r>
              <w:rPr>
                <w:rFonts w:ascii="Arial" w:cs="Arial" w:eastAsia="Arial" w:hAnsi="Arial"/>
                <w:sz w:val="14"/>
                <w:szCs w:val="14"/>
                <w:b w:val="1"/>
                <w:bCs w:val="1"/>
                <w:color w:val="auto"/>
              </w:rPr>
              <w:t>Net</w:t>
            </w:r>
          </w:p>
        </w:tc>
        <w:tc>
          <w:tcPr>
            <w:tcW w:w="9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center"/>
              <w:ind w:right="82"/>
              <w:spacing w:after="0" w:line="149" w:lineRule="exact"/>
              <w:rPr>
                <w:sz w:val="20"/>
                <w:szCs w:val="20"/>
                <w:color w:val="auto"/>
              </w:rPr>
            </w:pPr>
            <w:r>
              <w:rPr>
                <w:rFonts w:ascii="Arial" w:cs="Arial" w:eastAsia="Arial" w:hAnsi="Arial"/>
                <w:sz w:val="14"/>
                <w:szCs w:val="14"/>
                <w:b w:val="1"/>
                <w:bCs w:val="1"/>
                <w:color w:val="auto"/>
                <w:w w:val="93"/>
              </w:rPr>
              <w:t>Unrealized</w:t>
            </w:r>
          </w:p>
        </w:tc>
        <w:tc>
          <w:tcPr>
            <w:tcW w:w="10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Unrealized</w:t>
            </w: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jc w:val="right"/>
              <w:ind w:right="268"/>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4"/>
                <w:szCs w:val="14"/>
                <w:color w:val="auto"/>
              </w:rPr>
            </w:pPr>
          </w:p>
        </w:tc>
        <w:tc>
          <w:tcPr>
            <w:tcW w:w="860" w:type="dxa"/>
            <w:vAlign w:val="bottom"/>
          </w:tcPr>
          <w:p>
            <w:pPr>
              <w:jc w:val="center"/>
              <w:ind w:right="102"/>
              <w:spacing w:after="0"/>
              <w:rPr>
                <w:sz w:val="20"/>
                <w:szCs w:val="20"/>
                <w:color w:val="auto"/>
              </w:rPr>
            </w:pPr>
            <w:r>
              <w:rPr>
                <w:rFonts w:ascii="Arial" w:cs="Arial" w:eastAsia="Arial" w:hAnsi="Arial"/>
                <w:sz w:val="14"/>
                <w:szCs w:val="14"/>
                <w:b w:val="1"/>
                <w:bCs w:val="1"/>
                <w:color w:val="auto"/>
                <w:w w:val="92"/>
              </w:rPr>
              <w:t>Gains</w:t>
            </w:r>
          </w:p>
        </w:tc>
        <w:tc>
          <w:tcPr>
            <w:tcW w:w="280" w:type="dxa"/>
            <w:vAlign w:val="bottom"/>
          </w:tcPr>
          <w:p>
            <w:pPr>
              <w:spacing w:after="0"/>
              <w:rPr>
                <w:sz w:val="14"/>
                <w:szCs w:val="14"/>
                <w:color w:val="auto"/>
              </w:rPr>
            </w:pPr>
          </w:p>
        </w:tc>
        <w:tc>
          <w:tcPr>
            <w:tcW w:w="740" w:type="dxa"/>
            <w:vAlign w:val="bottom"/>
          </w:tcPr>
          <w:p>
            <w:pPr>
              <w:jc w:val="center"/>
              <w:ind w:right="179"/>
              <w:spacing w:after="0"/>
              <w:rPr>
                <w:sz w:val="20"/>
                <w:szCs w:val="20"/>
                <w:color w:val="auto"/>
              </w:rPr>
            </w:pPr>
            <w:r>
              <w:rPr>
                <w:rFonts w:ascii="Arial" w:cs="Arial" w:eastAsia="Arial" w:hAnsi="Arial"/>
                <w:sz w:val="14"/>
                <w:szCs w:val="14"/>
                <w:b w:val="1"/>
                <w:bCs w:val="1"/>
                <w:color w:val="auto"/>
                <w:w w:val="82"/>
              </w:rPr>
              <w:t>Losses</w:t>
            </w:r>
          </w:p>
        </w:tc>
        <w:tc>
          <w:tcPr>
            <w:tcW w:w="940" w:type="dxa"/>
            <w:vAlign w:val="bottom"/>
            <w:gridSpan w:val="2"/>
          </w:tcPr>
          <w:p>
            <w:pPr>
              <w:ind w:left="18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880" w:type="dxa"/>
            <w:vAlign w:val="bottom"/>
            <w:tcBorders>
              <w:top w:val="single" w:sz="8" w:color="auto"/>
            </w:tcBorders>
            <w:gridSpan w:val="3"/>
          </w:tcPr>
          <w:p>
            <w:pPr>
              <w:ind w:left="400"/>
              <w:spacing w:after="0" w:line="142" w:lineRule="exact"/>
              <w:rPr>
                <w:sz w:val="20"/>
                <w:szCs w:val="20"/>
                <w:color w:val="auto"/>
              </w:rPr>
            </w:pPr>
            <w:r>
              <w:rPr>
                <w:rFonts w:ascii="Arial" w:cs="Arial" w:eastAsia="Arial" w:hAnsi="Arial"/>
                <w:sz w:val="14"/>
                <w:szCs w:val="14"/>
                <w:b w:val="1"/>
                <w:bCs w:val="1"/>
                <w:color w:val="auto"/>
              </w:rPr>
              <w:t>(in thousands)</w:t>
            </w:r>
          </w:p>
        </w:tc>
        <w:tc>
          <w:tcPr>
            <w:tcW w:w="8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June 30, 2018</w:t>
            </w:r>
          </w:p>
        </w:tc>
        <w:tc>
          <w:tcPr>
            <w:tcW w:w="9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Debt securities (corporate and government)</w:t>
            </w:r>
          </w:p>
        </w:tc>
        <w:tc>
          <w:tcPr>
            <w:tcW w:w="1840" w:type="dxa"/>
            <w:vAlign w:val="bottom"/>
            <w:gridSpan w:val="2"/>
          </w:tcPr>
          <w:p>
            <w:pPr>
              <w:jc w:val="right"/>
              <w:ind w:right="48"/>
              <w:spacing w:after="0"/>
              <w:rPr>
                <w:sz w:val="20"/>
                <w:szCs w:val="20"/>
                <w:color w:val="auto"/>
              </w:rPr>
            </w:pPr>
            <w:r>
              <w:rPr>
                <w:rFonts w:ascii="Arial" w:cs="Arial" w:eastAsia="Arial" w:hAnsi="Arial"/>
                <w:sz w:val="18"/>
                <w:szCs w:val="18"/>
                <w:color w:val="auto"/>
              </w:rPr>
              <w:t>$ 271,533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ind w:left="560"/>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ind w:left="120"/>
              <w:spacing w:after="0"/>
              <w:rPr>
                <w:sz w:val="20"/>
                <w:szCs w:val="20"/>
                <w:color w:val="auto"/>
              </w:rPr>
            </w:pPr>
            <w:r>
              <w:rPr>
                <w:rFonts w:ascii="Arial" w:cs="Arial" w:eastAsia="Arial" w:hAnsi="Arial"/>
                <w:sz w:val="18"/>
                <w:szCs w:val="18"/>
                <w:color w:val="auto"/>
              </w:rPr>
              <w:t>(1,668)</w:t>
            </w:r>
          </w:p>
        </w:tc>
        <w:tc>
          <w:tcPr>
            <w:tcW w:w="880" w:type="dxa"/>
            <w:vAlign w:val="bottom"/>
          </w:tcPr>
          <w:p>
            <w:pPr>
              <w:jc w:val="right"/>
              <w:spacing w:after="0"/>
              <w:rPr>
                <w:sz w:val="20"/>
                <w:szCs w:val="20"/>
                <w:color w:val="auto"/>
              </w:rPr>
            </w:pPr>
            <w:r>
              <w:rPr>
                <w:rFonts w:ascii="Arial" w:cs="Arial" w:eastAsia="Arial" w:hAnsi="Arial"/>
                <w:sz w:val="18"/>
                <w:szCs w:val="18"/>
                <w:color w:val="auto"/>
              </w:rPr>
              <w:t>$ 269,865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December 31, 2017</w:t>
            </w:r>
          </w:p>
        </w:tc>
        <w:tc>
          <w:tcPr>
            <w:tcW w:w="9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Debt securities (corporate and government)</w:t>
            </w:r>
          </w:p>
        </w:tc>
        <w:tc>
          <w:tcPr>
            <w:tcW w:w="184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$ 271,401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(1,265)</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$ 270,136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debt securities generally have contractual maturity dates of between 12 to 18 months.</w:t>
      </w:r>
    </w:p>
    <w:p>
      <w:pPr>
        <w:spacing w:after="0" w:line="221" w:lineRule="exact"/>
        <w:rPr>
          <w:sz w:val="20"/>
          <w:szCs w:val="20"/>
          <w:color w:val="auto"/>
        </w:rPr>
      </w:pPr>
    </w:p>
    <w:p>
      <w:pPr>
        <w:ind w:left="360" w:hanging="357"/>
        <w:spacing w:after="0"/>
        <w:tabs>
          <w:tab w:leader="none" w:pos="3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Concentration of credit risk</w:t>
      </w:r>
    </w:p>
    <w:p>
      <w:pPr>
        <w:spacing w:after="0" w:line="229"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In December 2009, we entered into a license, development and commercialization agreement with Lilly. In November 2009, we entered into a collaboration and license agreement with Novartis. The concentration of credit risk related to our collaborative partners is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220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0"/>
              </w:rPr>
              <w:t>Percentage of Total</w:t>
            </w:r>
          </w:p>
        </w:tc>
        <w:tc>
          <w:tcPr>
            <w:tcW w:w="200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90"/>
              </w:rPr>
              <w:t>Percentage of Total</w:t>
            </w:r>
          </w:p>
        </w:tc>
      </w:tr>
      <w:tr>
        <w:trPr>
          <w:trHeight w:val="149"/>
        </w:trPr>
        <w:tc>
          <w:tcPr>
            <w:tcW w:w="4860" w:type="dxa"/>
            <w:vAlign w:val="bottom"/>
          </w:tcPr>
          <w:p>
            <w:pPr>
              <w:spacing w:after="0"/>
              <w:rPr>
                <w:sz w:val="12"/>
                <w:szCs w:val="12"/>
                <w:color w:val="auto"/>
              </w:rPr>
            </w:pPr>
          </w:p>
        </w:tc>
        <w:tc>
          <w:tcPr>
            <w:tcW w:w="2200" w:type="dxa"/>
            <w:vAlign w:val="bottom"/>
            <w:gridSpan w:val="5"/>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Milestone Revenues for the</w:t>
            </w:r>
          </w:p>
        </w:tc>
        <w:tc>
          <w:tcPr>
            <w:tcW w:w="2000" w:type="dxa"/>
            <w:vAlign w:val="bottom"/>
            <w:gridSpan w:val="5"/>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Milestone Revenues for the</w:t>
            </w:r>
          </w:p>
        </w:tc>
      </w:tr>
      <w:tr>
        <w:trPr>
          <w:trHeight w:val="171"/>
        </w:trPr>
        <w:tc>
          <w:tcPr>
            <w:tcW w:w="4860" w:type="dxa"/>
            <w:vAlign w:val="bottom"/>
          </w:tcPr>
          <w:p>
            <w:pPr>
              <w:spacing w:after="0"/>
              <w:rPr>
                <w:sz w:val="14"/>
                <w:szCs w:val="14"/>
                <w:color w:val="auto"/>
              </w:rPr>
            </w:pPr>
          </w:p>
        </w:tc>
        <w:tc>
          <w:tcPr>
            <w:tcW w:w="220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5"/>
              </w:rPr>
              <w:t>Three Months Ended</w:t>
            </w:r>
          </w:p>
        </w:tc>
        <w:tc>
          <w:tcPr>
            <w:tcW w:w="200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93"/>
              </w:rPr>
              <w:t>Six Months Ended</w:t>
            </w:r>
          </w:p>
        </w:tc>
      </w:tr>
      <w:tr>
        <w:trPr>
          <w:trHeight w:val="142"/>
        </w:trPr>
        <w:tc>
          <w:tcPr>
            <w:tcW w:w="4860" w:type="dxa"/>
            <w:vAlign w:val="bottom"/>
          </w:tcPr>
          <w:p>
            <w:pPr>
              <w:spacing w:after="0"/>
              <w:rPr>
                <w:sz w:val="12"/>
                <w:szCs w:val="12"/>
                <w:color w:val="auto"/>
              </w:rPr>
            </w:pPr>
          </w:p>
        </w:tc>
        <w:tc>
          <w:tcPr>
            <w:tcW w:w="2000" w:type="dxa"/>
            <w:vAlign w:val="bottom"/>
            <w:tcBorders>
              <w:top w:val="single" w:sz="8" w:color="auto"/>
              <w:bottom w:val="single" w:sz="8" w:color="auto"/>
            </w:tcBorders>
            <w:gridSpan w:val="4"/>
          </w:tcPr>
          <w:p>
            <w:pPr>
              <w:jc w:val="center"/>
              <w:spacing w:after="0" w:line="142" w:lineRule="exact"/>
              <w:rPr>
                <w:sz w:val="20"/>
                <w:szCs w:val="20"/>
                <w:color w:val="auto"/>
              </w:rPr>
            </w:pPr>
            <w:r>
              <w:rPr>
                <w:rFonts w:ascii="Arial" w:cs="Arial" w:eastAsia="Arial" w:hAnsi="Arial"/>
                <w:sz w:val="14"/>
                <w:szCs w:val="14"/>
                <w:b w:val="1"/>
                <w:bCs w:val="1"/>
                <w:color w:val="auto"/>
                <w:w w:val="92"/>
              </w:rPr>
              <w:t>June 30,</w:t>
            </w:r>
          </w:p>
        </w:tc>
        <w:tc>
          <w:tcPr>
            <w:tcW w:w="200" w:type="dxa"/>
            <w:vAlign w:val="bottom"/>
          </w:tcPr>
          <w:p>
            <w:pPr>
              <w:spacing w:after="0"/>
              <w:rPr>
                <w:sz w:val="12"/>
                <w:szCs w:val="12"/>
                <w:color w:val="auto"/>
              </w:rPr>
            </w:pPr>
          </w:p>
        </w:tc>
        <w:tc>
          <w:tcPr>
            <w:tcW w:w="1960" w:type="dxa"/>
            <w:vAlign w:val="bottom"/>
            <w:tcBorders>
              <w:top w:val="single" w:sz="8" w:color="auto"/>
              <w:bottom w:val="single" w:sz="8" w:color="auto"/>
            </w:tcBorders>
            <w:gridSpan w:val="4"/>
          </w:tcPr>
          <w:p>
            <w:pPr>
              <w:jc w:val="center"/>
              <w:spacing w:after="0" w:line="142" w:lineRule="exact"/>
              <w:rPr>
                <w:sz w:val="20"/>
                <w:szCs w:val="20"/>
                <w:color w:val="auto"/>
              </w:rPr>
            </w:pPr>
            <w:r>
              <w:rPr>
                <w:rFonts w:ascii="Arial" w:cs="Arial" w:eastAsia="Arial" w:hAnsi="Arial"/>
                <w:sz w:val="14"/>
                <w:szCs w:val="14"/>
                <w:b w:val="1"/>
                <w:bCs w:val="1"/>
                <w:color w:val="auto"/>
                <w:w w:val="89"/>
              </w:rPr>
              <w:t>June 30,</w:t>
            </w:r>
          </w:p>
        </w:tc>
        <w:tc>
          <w:tcPr>
            <w:tcW w:w="40" w:type="dxa"/>
            <w:vAlign w:val="bottom"/>
          </w:tcPr>
          <w:p>
            <w:pPr>
              <w:spacing w:after="0"/>
              <w:rPr>
                <w:sz w:val="12"/>
                <w:szCs w:val="12"/>
                <w:color w:val="auto"/>
              </w:rPr>
            </w:pPr>
          </w:p>
        </w:tc>
      </w:tr>
      <w:tr>
        <w:trPr>
          <w:trHeight w:val="142"/>
        </w:trPr>
        <w:tc>
          <w:tcPr>
            <w:tcW w:w="486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jc w:val="right"/>
              <w:ind w:right="163"/>
              <w:spacing w:after="0" w:line="142"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jc w:val="right"/>
              <w:ind w:right="163"/>
              <w:spacing w:after="0" w:line="142"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CEEFF"/>
            </w:tcBorders>
          </w:tcPr>
          <w:p>
            <w:pPr>
              <w:spacing w:after="0"/>
              <w:rPr>
                <w:sz w:val="12"/>
                <w:szCs w:val="12"/>
                <w:color w:val="auto"/>
              </w:rPr>
            </w:pPr>
          </w:p>
        </w:tc>
        <w:tc>
          <w:tcPr>
            <w:tcW w:w="72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r>
      <w:tr>
        <w:trPr>
          <w:trHeight w:val="210"/>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Collaboration Partner A</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40" w:type="dxa"/>
            <w:vAlign w:val="bottom"/>
            <w:shd w:val="clear" w:color="auto" w:fill="CCEEFF"/>
          </w:tcPr>
          <w:p>
            <w:pPr>
              <w:spacing w:after="0"/>
              <w:rPr>
                <w:sz w:val="18"/>
                <w:szCs w:val="18"/>
                <w:color w:val="auto"/>
              </w:rPr>
            </w:pPr>
          </w:p>
        </w:tc>
      </w:tr>
      <w:tr>
        <w:trPr>
          <w:trHeight w:val="230"/>
        </w:trPr>
        <w:tc>
          <w:tcPr>
            <w:tcW w:w="4860" w:type="dxa"/>
            <w:vAlign w:val="bottom"/>
          </w:tcPr>
          <w:p>
            <w:pPr>
              <w:spacing w:after="0"/>
              <w:rPr>
                <w:sz w:val="20"/>
                <w:szCs w:val="20"/>
                <w:color w:val="auto"/>
              </w:rPr>
            </w:pPr>
            <w:r>
              <w:rPr>
                <w:rFonts w:ascii="Arial" w:cs="Arial" w:eastAsia="Arial" w:hAnsi="Arial"/>
                <w:sz w:val="18"/>
                <w:szCs w:val="18"/>
                <w:color w:val="auto"/>
              </w:rPr>
              <w:t>Collaboration Partner B</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100 %</w:t>
            </w:r>
          </w:p>
        </w:tc>
        <w:tc>
          <w:tcPr>
            <w:tcW w:w="1200" w:type="dxa"/>
            <w:vAlign w:val="bottom"/>
            <w:gridSpan w:val="3"/>
          </w:tcPr>
          <w:p>
            <w:pPr>
              <w:jc w:val="right"/>
              <w:ind w:right="280"/>
              <w:spacing w:after="0"/>
              <w:rPr>
                <w:sz w:val="20"/>
                <w:szCs w:val="20"/>
                <w:color w:val="auto"/>
              </w:rPr>
            </w:pPr>
            <w:r>
              <w:rPr>
                <w:rFonts w:ascii="Arial" w:cs="Arial" w:eastAsia="Arial" w:hAnsi="Arial"/>
                <w:sz w:val="18"/>
                <w:szCs w:val="18"/>
                <w:color w:val="auto"/>
              </w:rPr>
              <w:t>— %</w:t>
            </w:r>
          </w:p>
        </w:tc>
        <w:tc>
          <w:tcPr>
            <w:tcW w:w="980" w:type="dxa"/>
            <w:vAlign w:val="bottom"/>
            <w:gridSpan w:val="2"/>
          </w:tcPr>
          <w:p>
            <w:pPr>
              <w:jc w:val="right"/>
              <w:ind w:right="10"/>
              <w:spacing w:after="0"/>
              <w:rPr>
                <w:sz w:val="20"/>
                <w:szCs w:val="20"/>
                <w:color w:val="auto"/>
              </w:rPr>
            </w:pPr>
            <w:r>
              <w:rPr>
                <w:rFonts w:ascii="Arial" w:cs="Arial" w:eastAsia="Arial" w:hAnsi="Arial"/>
                <w:sz w:val="18"/>
                <w:szCs w:val="18"/>
                <w:color w:val="auto"/>
              </w:rPr>
              <w:t>100 %</w:t>
            </w:r>
          </w:p>
        </w:tc>
        <w:tc>
          <w:tcPr>
            <w:tcW w:w="980" w:type="dxa"/>
            <w:vAlign w:val="bottom"/>
            <w:gridSpan w:val="2"/>
          </w:tcPr>
          <w:p>
            <w:pPr>
              <w:jc w:val="right"/>
              <w:ind w:right="10"/>
              <w:spacing w:after="0"/>
              <w:rPr>
                <w:sz w:val="20"/>
                <w:szCs w:val="20"/>
                <w:color w:val="auto"/>
              </w:rPr>
            </w:pPr>
            <w:r>
              <w:rPr>
                <w:rFonts w:ascii="Arial" w:cs="Arial" w:eastAsia="Arial" w:hAnsi="Arial"/>
                <w:sz w:val="18"/>
                <w:szCs w:val="18"/>
                <w:color w:val="auto"/>
              </w:rPr>
              <w:t>72 %</w:t>
            </w:r>
          </w:p>
        </w:tc>
        <w:tc>
          <w:tcPr>
            <w:tcW w:w="40" w:type="dxa"/>
            <w:vAlign w:val="bottom"/>
          </w:tcPr>
          <w:p>
            <w:pPr>
              <w:spacing w:after="0"/>
              <w:rPr>
                <w:sz w:val="20"/>
                <w:szCs w:val="20"/>
                <w:color w:val="auto"/>
              </w:rPr>
            </w:pPr>
          </w:p>
        </w:tc>
      </w:tr>
    </w:tbl>
    <w:p>
      <w:pPr>
        <w:spacing w:after="0" w:line="14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Collaboration Partner A and Collaboration Partner B comprised, in aggregate, 50% and 47% of the accounts receivable balance as of June 30, 2018 and December 31, 2017, respectively.</w:t>
      </w:r>
    </w:p>
    <w:p>
      <w:pPr>
        <w:spacing w:after="0" w:line="38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80"/>
          </w:cols>
          <w:pgMar w:left="1420" w:top="125" w:right="1399" w:bottom="1440" w:gutter="0" w:footer="0" w:header="0"/>
        </w:sectPr>
      </w:pPr>
    </w:p>
    <w:bookmarkStart w:id="18" w:name="page19"/>
    <w:bookmarkEnd w:id="1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November 2011, we began commercialization and distribution of JAKAFI to a number of customers. Our product revenues are concentrated in a number of these customers. The concentration of credit risk related to our JAKAFI product revenues is as follows:</w:t>
      </w:r>
    </w:p>
    <w:p>
      <w:pPr>
        <w:sectPr>
          <w:pgSz w:w="11900" w:h="16838" w:orient="portrait"/>
          <w:cols w:equalWidth="0" w:num="1">
            <w:col w:w="9060"/>
          </w:cols>
          <w:pgMar w:left="1420" w:top="125" w:right="1419" w:bottom="1440" w:gutter="0" w:footer="0" w:header="0"/>
        </w:sectPr>
      </w:pPr>
    </w:p>
    <w:p>
      <w:pPr>
        <w:spacing w:after="0" w:line="186" w:lineRule="exact"/>
        <w:rPr>
          <w:sz w:val="20"/>
          <w:szCs w:val="20"/>
          <w:color w:val="auto"/>
        </w:rPr>
      </w:pPr>
    </w:p>
    <w:p>
      <w:pPr>
        <w:jc w:val="center"/>
        <w:ind w:left="5320"/>
        <w:spacing w:after="0"/>
        <w:rPr>
          <w:sz w:val="20"/>
          <w:szCs w:val="20"/>
          <w:color w:val="auto"/>
        </w:rPr>
      </w:pPr>
      <w:r>
        <w:rPr>
          <w:rFonts w:ascii="Arial" w:cs="Arial" w:eastAsia="Arial" w:hAnsi="Arial"/>
          <w:sz w:val="13"/>
          <w:szCs w:val="13"/>
          <w:b w:val="1"/>
          <w:bCs w:val="1"/>
          <w:color w:val="auto"/>
        </w:rPr>
        <w:t>Percentage of Total Net</w:t>
      </w:r>
    </w:p>
    <w:p>
      <w:pPr>
        <w:spacing w:after="0" w:line="15" w:lineRule="exact"/>
        <w:rPr>
          <w:sz w:val="20"/>
          <w:szCs w:val="20"/>
          <w:color w:val="auto"/>
        </w:rPr>
      </w:pPr>
    </w:p>
    <w:p>
      <w:pPr>
        <w:jc w:val="center"/>
        <w:ind w:left="5320"/>
        <w:spacing w:after="0"/>
        <w:rPr>
          <w:sz w:val="20"/>
          <w:szCs w:val="20"/>
          <w:color w:val="auto"/>
        </w:rPr>
      </w:pPr>
      <w:r>
        <w:rPr>
          <w:rFonts w:ascii="Arial" w:cs="Arial" w:eastAsia="Arial" w:hAnsi="Arial"/>
          <w:sz w:val="12"/>
          <w:szCs w:val="12"/>
          <w:b w:val="1"/>
          <w:bCs w:val="1"/>
          <w:color w:val="auto"/>
        </w:rPr>
        <w:t>Product Revenues for the</w:t>
      </w:r>
    </w:p>
    <w:p>
      <w:pPr>
        <w:spacing w:after="0" w:line="11" w:lineRule="exact"/>
        <w:rPr>
          <w:sz w:val="20"/>
          <w:szCs w:val="20"/>
          <w:color w:val="auto"/>
        </w:rPr>
      </w:pPr>
    </w:p>
    <w:p>
      <w:pPr>
        <w:jc w:val="center"/>
        <w:ind w:left="5320"/>
        <w:spacing w:after="0"/>
        <w:rPr>
          <w:sz w:val="20"/>
          <w:szCs w:val="20"/>
          <w:color w:val="auto"/>
        </w:rPr>
      </w:pPr>
      <w:r>
        <w:rPr>
          <w:rFonts w:ascii="Arial" w:cs="Arial" w:eastAsia="Arial" w:hAnsi="Arial"/>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3303905</wp:posOffset>
            </wp:positionH>
            <wp:positionV relativeFrom="paragraph">
              <wp:posOffset>-3175</wp:posOffset>
            </wp:positionV>
            <wp:extent cx="114935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149350" cy="8890"/>
                    </a:xfrm>
                    <a:prstGeom prst="rect">
                      <a:avLst/>
                    </a:prstGeom>
                    <a:noFill/>
                  </pic:spPr>
                </pic:pic>
              </a:graphicData>
            </a:graphic>
          </wp:anchor>
        </w:drawing>
      </w:r>
    </w:p>
    <w:p>
      <w:pPr>
        <w:ind w:left="586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3303905</wp:posOffset>
            </wp:positionH>
            <wp:positionV relativeFrom="paragraph">
              <wp:posOffset>-3175</wp:posOffset>
            </wp:positionV>
            <wp:extent cx="114935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149350" cy="8890"/>
                    </a:xfrm>
                    <a:prstGeom prst="rect">
                      <a:avLst/>
                    </a:prstGeom>
                    <a:noFill/>
                  </pic:spPr>
                </pic:pic>
              </a:graphicData>
            </a:graphic>
          </wp:anchor>
        </w:drawing>
      </w:r>
    </w:p>
    <w:p>
      <w:pPr>
        <w:ind w:left="5380"/>
        <w:spacing w:after="0" w:line="233" w:lineRule="auto"/>
        <w:tabs>
          <w:tab w:leader="none" w:pos="628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2017</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jc w:val="center"/>
        <w:ind w:right="180"/>
        <w:spacing w:after="0" w:line="254" w:lineRule="auto"/>
        <w:rPr>
          <w:sz w:val="20"/>
          <w:szCs w:val="20"/>
          <w:color w:val="auto"/>
        </w:rPr>
      </w:pPr>
      <w:r>
        <w:rPr>
          <w:rFonts w:ascii="Arial" w:cs="Arial" w:eastAsia="Arial" w:hAnsi="Arial"/>
          <w:sz w:val="13"/>
          <w:szCs w:val="13"/>
          <w:b w:val="1"/>
          <w:bCs w:val="1"/>
          <w:color w:val="auto"/>
        </w:rPr>
        <w:t>Percentage of Total Net Product Revenues for the Six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-74930</wp:posOffset>
            </wp:positionH>
            <wp:positionV relativeFrom="paragraph">
              <wp:posOffset>-3175</wp:posOffset>
            </wp:positionV>
            <wp:extent cx="114935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149350" cy="88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-74930</wp:posOffset>
            </wp:positionH>
            <wp:positionV relativeFrom="paragraph">
              <wp:posOffset>-3175</wp:posOffset>
            </wp:positionV>
            <wp:extent cx="114935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149350" cy="8890"/>
                    </a:xfrm>
                    <a:prstGeom prst="rect">
                      <a:avLst/>
                    </a:prstGeom>
                    <a:noFill/>
                  </pic:spPr>
                </pic:pic>
              </a:graphicData>
            </a:graphic>
          </wp:anchor>
        </w:drawing>
      </w:r>
    </w:p>
    <w:p>
      <w:pPr>
        <w:ind w:left="60"/>
        <w:spacing w:after="0" w:line="233" w:lineRule="auto"/>
        <w:tabs>
          <w:tab w:leader="none" w:pos="96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2017</w:t>
      </w:r>
    </w:p>
    <w:p>
      <w:pPr>
        <w:spacing w:after="0" w:line="20" w:lineRule="exact"/>
        <w:rPr>
          <w:sz w:val="20"/>
          <w:szCs w:val="20"/>
          <w:color w:val="auto"/>
        </w:rPr>
      </w:pPr>
    </w:p>
    <w:p>
      <w:pPr>
        <w:sectPr>
          <w:pgSz w:w="11900" w:h="16838" w:orient="portrait"/>
          <w:cols w:equalWidth="0" w:num="2">
            <w:col w:w="6880" w:space="440"/>
            <w:col w:w="1740"/>
          </w:cols>
          <w:pgMar w:left="1420" w:top="125" w:right="141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520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r>
      <w:tr>
        <w:trPr>
          <w:trHeight w:val="190"/>
        </w:trPr>
        <w:tc>
          <w:tcPr>
            <w:tcW w:w="52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Customer A</w:t>
            </w:r>
          </w:p>
        </w:tc>
        <w:tc>
          <w:tcPr>
            <w:tcW w:w="90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8"/>
                <w:szCs w:val="18"/>
                <w:color w:val="auto"/>
              </w:rPr>
              <w:t>21 %</w:t>
            </w:r>
          </w:p>
        </w:tc>
        <w:tc>
          <w:tcPr>
            <w:tcW w:w="1100" w:type="dxa"/>
            <w:vAlign w:val="bottom"/>
            <w:gridSpan w:val="2"/>
            <w:shd w:val="clear" w:color="auto" w:fill="CCEEFF"/>
          </w:tcPr>
          <w:p>
            <w:pPr>
              <w:jc w:val="right"/>
              <w:ind w:right="280"/>
              <w:spacing w:after="0" w:line="189" w:lineRule="exact"/>
              <w:rPr>
                <w:sz w:val="20"/>
                <w:szCs w:val="20"/>
                <w:color w:val="auto"/>
              </w:rPr>
            </w:pPr>
            <w:r>
              <w:rPr>
                <w:rFonts w:ascii="Arial" w:cs="Arial" w:eastAsia="Arial" w:hAnsi="Arial"/>
                <w:sz w:val="18"/>
                <w:szCs w:val="18"/>
                <w:color w:val="auto"/>
              </w:rPr>
              <w:t>23 %</w:t>
            </w:r>
          </w:p>
        </w:tc>
        <w:tc>
          <w:tcPr>
            <w:tcW w:w="90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8"/>
                <w:szCs w:val="18"/>
                <w:color w:val="auto"/>
              </w:rPr>
              <w:t>21 %</w:t>
            </w:r>
          </w:p>
        </w:tc>
        <w:tc>
          <w:tcPr>
            <w:tcW w:w="96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8"/>
                <w:szCs w:val="18"/>
                <w:color w:val="auto"/>
              </w:rPr>
              <w:t>25 %</w:t>
            </w: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Customer B</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15 %</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16 %</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14 %</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16 %</w:t>
            </w: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Customer C</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14 %</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13 %</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14 %</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13 %</w:t>
            </w: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Customer D</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12 %</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9 %</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11 %</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8 %</w:t>
            </w:r>
          </w:p>
        </w:tc>
      </w:tr>
    </w:tbl>
    <w:p>
      <w:pPr>
        <w:spacing w:after="0" w:line="14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are exposed to risks associated with extending credit to customers related to the sale of products. Customer A, Customer B, Customer C and Customer D comprised, in aggregate, 26% and 25% of the accounts receivable balance as of June 30, 2018 and December 31, 2017, respectively.</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concentration of credit risk relating to ICLUSIG product revenues or accounts receivable is not significant.</w:t>
      </w:r>
    </w:p>
    <w:p>
      <w:pPr>
        <w:spacing w:after="0" w:line="233"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6.</w:t>
        <w:tab/>
        <w:t>Inventory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inventory balance consists of the following:</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30,</w:t>
            </w: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438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r>
      <w:tr>
        <w:trPr>
          <w:trHeight w:val="142"/>
        </w:trPr>
        <w:tc>
          <w:tcPr>
            <w:tcW w:w="438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60" w:type="dxa"/>
            <w:vAlign w:val="bottom"/>
            <w:gridSpan w:val="4"/>
          </w:tcPr>
          <w:p>
            <w:pPr>
              <w:jc w:val="right"/>
              <w:ind w:right="433"/>
              <w:spacing w:after="0" w:line="142" w:lineRule="exact"/>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2"/>
                <w:szCs w:val="12"/>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1,119</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w:t>
            </w:r>
          </w:p>
        </w:tc>
        <w:tc>
          <w:tcPr>
            <w:tcW w:w="120" w:type="dxa"/>
            <w:vAlign w:val="bottom"/>
            <w:shd w:val="clear" w:color="auto" w:fill="CCEEFF"/>
          </w:tcPr>
          <w:p>
            <w:pPr>
              <w:spacing w:after="0"/>
              <w:rPr>
                <w:sz w:val="18"/>
                <w:szCs w:val="18"/>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Work-in-process</w:t>
            </w:r>
          </w:p>
        </w:tc>
        <w:tc>
          <w:tcPr>
            <w:tcW w:w="2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5,582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8,615</w:t>
            </w:r>
          </w:p>
        </w:tc>
        <w:tc>
          <w:tcPr>
            <w:tcW w:w="120" w:type="dxa"/>
            <w:vAlign w:val="bottom"/>
          </w:tcPr>
          <w:p>
            <w:pPr>
              <w:spacing w:after="0"/>
              <w:rPr>
                <w:sz w:val="18"/>
                <w:szCs w:val="18"/>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6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5,869</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4,771</w:t>
            </w:r>
          </w:p>
        </w:tc>
        <w:tc>
          <w:tcPr>
            <w:tcW w:w="120" w:type="dxa"/>
            <w:vAlign w:val="bottom"/>
            <w:shd w:val="clear" w:color="auto" w:fill="CCEEFF"/>
          </w:tcPr>
          <w:p>
            <w:pPr>
              <w:spacing w:after="0"/>
              <w:rPr>
                <w:sz w:val="18"/>
                <w:szCs w:val="18"/>
                <w:color w:val="auto"/>
              </w:rPr>
            </w:pPr>
          </w:p>
        </w:tc>
      </w:tr>
      <w:tr>
        <w:trPr>
          <w:trHeight w:val="210"/>
        </w:trPr>
        <w:tc>
          <w:tcPr>
            <w:tcW w:w="43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12,570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14,448</w:t>
            </w:r>
          </w:p>
        </w:tc>
        <w:tc>
          <w:tcPr>
            <w:tcW w:w="120" w:type="dxa"/>
            <w:vAlign w:val="bottom"/>
          </w:tcPr>
          <w:p>
            <w:pPr>
              <w:spacing w:after="0"/>
              <w:rPr>
                <w:sz w:val="18"/>
                <w:szCs w:val="18"/>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Inventories-current</w:t>
            </w:r>
          </w:p>
        </w:tc>
        <w:tc>
          <w:tcPr>
            <w:tcW w:w="26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5,869</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6,482</w:t>
            </w:r>
          </w:p>
        </w:tc>
        <w:tc>
          <w:tcPr>
            <w:tcW w:w="120" w:type="dxa"/>
            <w:vAlign w:val="bottom"/>
            <w:shd w:val="clear" w:color="auto" w:fill="CCEEFF"/>
          </w:tcPr>
          <w:p>
            <w:pPr>
              <w:spacing w:after="0"/>
              <w:rPr>
                <w:sz w:val="18"/>
                <w:szCs w:val="18"/>
                <w:color w:val="auto"/>
              </w:rPr>
            </w:pPr>
          </w:p>
        </w:tc>
      </w:tr>
      <w:tr>
        <w:trPr>
          <w:trHeight w:val="217"/>
        </w:trPr>
        <w:tc>
          <w:tcPr>
            <w:tcW w:w="4380" w:type="dxa"/>
            <w:vAlign w:val="bottom"/>
          </w:tcPr>
          <w:p>
            <w:pPr>
              <w:spacing w:after="0"/>
              <w:rPr>
                <w:sz w:val="20"/>
                <w:szCs w:val="20"/>
                <w:color w:val="auto"/>
              </w:rPr>
            </w:pPr>
            <w:r>
              <w:rPr>
                <w:rFonts w:ascii="Arial" w:cs="Arial" w:eastAsia="Arial" w:hAnsi="Arial"/>
                <w:sz w:val="18"/>
                <w:szCs w:val="18"/>
                <w:color w:val="auto"/>
              </w:rPr>
              <w:t>Inventories-non-current</w:t>
            </w:r>
          </w:p>
        </w:tc>
        <w:tc>
          <w:tcPr>
            <w:tcW w:w="26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6,701</w:t>
            </w: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7,966</w:t>
            </w:r>
          </w:p>
        </w:tc>
        <w:tc>
          <w:tcPr>
            <w:tcW w:w="120" w:type="dxa"/>
            <w:vAlign w:val="bottom"/>
          </w:tcPr>
          <w:p>
            <w:pPr>
              <w:spacing w:after="0"/>
              <w:rPr>
                <w:sz w:val="18"/>
                <w:szCs w:val="18"/>
                <w:color w:val="auto"/>
              </w:rPr>
            </w:pPr>
          </w:p>
        </w:tc>
      </w:tr>
    </w:tbl>
    <w:p>
      <w:pPr>
        <w:spacing w:after="0" w:line="16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Inventories, stated at the lower of cost and net realizable value, consist of raw materials, work in process and finished goods. The ICLUSIG inventories acquired on June 1, 2016 totaling $4.0 million were recorded at fair value less costs to sell, and therefore, resulted in a higher cost of ICLUSIG revenues over a one year period from the acquisition date. At June 30, 2018, $5.9 million of inventory was classified as current on the condensed consolidated balance sheet as we expect this inventory to be consumed for commercial use within the next twelve months. At June 30, 2018, $6.7 million of inventory was classified as non-current on the condensed consolidated balance sheets as we did not expect this inventory to be consumed for commercial use within the next twelve months. We obtain some inventory components from a limited number of suppliers due to technology, availability, price, quality or other considerations. The loss of a supplier, the deterioration of our relationship with a supplier, or any unilateral violation of the contractual terms under which we are supplied components by a supplier could adversely affect our total revenues and gross margins.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type w:val="continuous"/>
        </w:sectPr>
      </w:pPr>
    </w:p>
    <w:bookmarkStart w:id="19" w:name="page20"/>
    <w:bookmarkEnd w:id="1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6"/>
          <w:szCs w:val="16"/>
          <w:b w:val="1"/>
          <w:bCs w:val="1"/>
          <w:color w:val="auto"/>
        </w:rPr>
        <w:t>Property and equipment, net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Property and equipment, net consists of the following:</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6"/>
                <w:szCs w:val="16"/>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0"/>
              </w:rPr>
              <w:t>December 31,</w:t>
            </w:r>
          </w:p>
        </w:tc>
      </w:tr>
      <w:tr>
        <w:trPr>
          <w:trHeight w:val="201"/>
        </w:trPr>
        <w:tc>
          <w:tcPr>
            <w:tcW w:w="49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2017</w:t>
            </w:r>
          </w:p>
        </w:tc>
        <w:tc>
          <w:tcPr>
            <w:tcW w:w="340" w:type="dxa"/>
            <w:vAlign w:val="bottom"/>
          </w:tcPr>
          <w:p>
            <w:pPr>
              <w:spacing w:after="0"/>
              <w:rPr>
                <w:sz w:val="17"/>
                <w:szCs w:val="17"/>
                <w:color w:val="auto"/>
              </w:rPr>
            </w:pPr>
          </w:p>
        </w:tc>
      </w:tr>
      <w:tr>
        <w:trPr>
          <w:trHeight w:val="196"/>
        </w:trPr>
        <w:tc>
          <w:tcPr>
            <w:tcW w:w="49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20" w:type="dxa"/>
            <w:vAlign w:val="bottom"/>
            <w:gridSpan w:val="5"/>
          </w:tcPr>
          <w:p>
            <w:pPr>
              <w:jc w:val="right"/>
              <w:ind w:right="1020"/>
              <w:spacing w:after="0"/>
              <w:rPr>
                <w:sz w:val="20"/>
                <w:szCs w:val="20"/>
                <w:color w:val="auto"/>
              </w:rPr>
            </w:pPr>
            <w:r>
              <w:rPr>
                <w:rFonts w:ascii="Arial" w:cs="Arial" w:eastAsia="Arial" w:hAnsi="Arial"/>
                <w:sz w:val="14"/>
                <w:szCs w:val="14"/>
                <w:b w:val="1"/>
                <w:bCs w:val="1"/>
                <w:color w:val="auto"/>
              </w:rPr>
              <w:t>(in thousands)</w:t>
            </w: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Office equipment</w:t>
            </w:r>
          </w:p>
        </w:tc>
        <w:tc>
          <w:tcPr>
            <w:tcW w:w="166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16,361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14,674</w:t>
            </w:r>
          </w:p>
        </w:tc>
        <w:tc>
          <w:tcPr>
            <w:tcW w:w="340" w:type="dxa"/>
            <w:vAlign w:val="bottom"/>
            <w:shd w:val="clear" w:color="auto" w:fill="CCEEFF"/>
          </w:tcPr>
          <w:p>
            <w:pPr>
              <w:spacing w:after="0"/>
              <w:rPr>
                <w:sz w:val="18"/>
                <w:szCs w:val="18"/>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Laboratory equipment</w:t>
            </w: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57,409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48,807</w:t>
            </w:r>
          </w:p>
        </w:tc>
        <w:tc>
          <w:tcPr>
            <w:tcW w:w="340" w:type="dxa"/>
            <w:vAlign w:val="bottom"/>
          </w:tcPr>
          <w:p>
            <w:pPr>
              <w:spacing w:after="0"/>
              <w:rPr>
                <w:sz w:val="18"/>
                <w:szCs w:val="18"/>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1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54,191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51,351</w:t>
            </w:r>
          </w:p>
        </w:tc>
        <w:tc>
          <w:tcPr>
            <w:tcW w:w="340" w:type="dxa"/>
            <w:vAlign w:val="bottom"/>
            <w:shd w:val="clear" w:color="auto" w:fill="CCEEFF"/>
          </w:tcPr>
          <w:p>
            <w:pPr>
              <w:spacing w:after="0"/>
              <w:rPr>
                <w:sz w:val="18"/>
                <w:szCs w:val="18"/>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Land</w:t>
            </w: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5,350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5,350</w:t>
            </w:r>
          </w:p>
        </w:tc>
        <w:tc>
          <w:tcPr>
            <w:tcW w:w="340" w:type="dxa"/>
            <w:vAlign w:val="bottom"/>
          </w:tcPr>
          <w:p>
            <w:pPr>
              <w:spacing w:after="0"/>
              <w:rPr>
                <w:sz w:val="18"/>
                <w:szCs w:val="18"/>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Building and leasehold improvements</w:t>
            </w:r>
          </w:p>
        </w:tc>
        <w:tc>
          <w:tcPr>
            <w:tcW w:w="14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222,063</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214,245</w:t>
            </w:r>
          </w:p>
        </w:tc>
        <w:tc>
          <w:tcPr>
            <w:tcW w:w="340" w:type="dxa"/>
            <w:vAlign w:val="bottom"/>
            <w:shd w:val="clear" w:color="auto" w:fill="CCEEFF"/>
          </w:tcPr>
          <w:p>
            <w:pPr>
              <w:spacing w:after="0"/>
              <w:rPr>
                <w:sz w:val="18"/>
                <w:szCs w:val="18"/>
                <w:color w:val="auto"/>
              </w:rPr>
            </w:pPr>
          </w:p>
        </w:tc>
      </w:tr>
      <w:tr>
        <w:trPr>
          <w:trHeight w:val="210"/>
        </w:trPr>
        <w:tc>
          <w:tcPr>
            <w:tcW w:w="49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355,374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334,427</w:t>
            </w:r>
          </w:p>
        </w:tc>
        <w:tc>
          <w:tcPr>
            <w:tcW w:w="340" w:type="dxa"/>
            <w:vAlign w:val="bottom"/>
          </w:tcPr>
          <w:p>
            <w:pPr>
              <w:spacing w:after="0"/>
              <w:rPr>
                <w:sz w:val="18"/>
                <w:szCs w:val="18"/>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1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(87,788)</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(74,664)</w:t>
            </w:r>
          </w:p>
        </w:tc>
      </w:tr>
      <w:tr>
        <w:trPr>
          <w:trHeight w:val="217"/>
        </w:trPr>
        <w:tc>
          <w:tcPr>
            <w:tcW w:w="49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4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267,586</w:t>
            </w:r>
          </w:p>
        </w:tc>
        <w:tc>
          <w:tcPr>
            <w:tcW w:w="1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259,763</w:t>
            </w:r>
          </w:p>
        </w:tc>
        <w:tc>
          <w:tcPr>
            <w:tcW w:w="340" w:type="dxa"/>
            <w:vAlign w:val="bottom"/>
          </w:tcPr>
          <w:p>
            <w:pPr>
              <w:spacing w:after="0"/>
              <w:rPr>
                <w:sz w:val="18"/>
                <w:szCs w:val="18"/>
                <w:color w:val="auto"/>
              </w:rPr>
            </w:pPr>
          </w:p>
        </w:tc>
      </w:tr>
    </w:tbl>
    <w:p>
      <w:pPr>
        <w:spacing w:after="0" w:line="161" w:lineRule="exact"/>
        <w:rPr>
          <w:sz w:val="20"/>
          <w:szCs w:val="20"/>
          <w:color w:val="auto"/>
        </w:rPr>
      </w:pPr>
    </w:p>
    <w:p>
      <w:pPr>
        <w:jc w:val="both"/>
        <w:ind w:right="60" w:firstLine="648"/>
        <w:spacing w:after="0" w:line="257" w:lineRule="auto"/>
        <w:rPr>
          <w:sz w:val="20"/>
          <w:szCs w:val="20"/>
          <w:color w:val="auto"/>
        </w:rPr>
      </w:pPr>
      <w:r>
        <w:rPr>
          <w:rFonts w:ascii="Arial" w:cs="Arial" w:eastAsia="Arial" w:hAnsi="Arial"/>
          <w:sz w:val="18"/>
          <w:szCs w:val="18"/>
          <w:color w:val="auto"/>
        </w:rPr>
        <w:t>In February 2018, we signed an agreement to rent a building in Morges, Switzerland for an initial term of 15 years, with multiple options to extend for an additional 20 years. The building will undergo extensive renovations prior to our occupation and, when completed, will serve as our new European headquarters. The new building will consist of approximately 100,000 square feet of office space. When complete, this building will allow for consolidation of our European operations that are currently located in Geneva and Lausanne, Switzerland.</w:t>
      </w:r>
    </w:p>
    <w:p>
      <w:pPr>
        <w:spacing w:after="0" w:line="184" w:lineRule="exact"/>
        <w:rPr>
          <w:sz w:val="20"/>
          <w:szCs w:val="20"/>
          <w:color w:val="auto"/>
        </w:rPr>
      </w:pPr>
    </w:p>
    <w:p>
      <w:pPr>
        <w:ind w:left="320" w:hanging="317"/>
        <w:spacing w:after="0"/>
        <w:tabs>
          <w:tab w:leader="none" w:pos="32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 and goodwill</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Intangible Assets, Net</w:t>
      </w:r>
    </w:p>
    <w:p>
      <w:pPr>
        <w:spacing w:after="0" w:line="22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components of intangible assets were as follows (in thousands, except for useful life):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0" w:type="dxa"/>
            <w:vAlign w:val="bottom"/>
            <w:tcBorders>
              <w:bottom w:val="single" w:sz="8" w:color="auto"/>
            </w:tcBorders>
            <w:gridSpan w:val="5"/>
          </w:tcPr>
          <w:p>
            <w:pPr>
              <w:jc w:val="right"/>
              <w:ind w:right="568"/>
              <w:spacing w:after="0"/>
              <w:rPr>
                <w:sz w:val="20"/>
                <w:szCs w:val="20"/>
                <w:color w:val="auto"/>
              </w:rPr>
            </w:pPr>
            <w:r>
              <w:rPr>
                <w:rFonts w:ascii="Arial" w:cs="Arial" w:eastAsia="Arial" w:hAnsi="Arial"/>
                <w:sz w:val="14"/>
                <w:szCs w:val="14"/>
                <w:b w:val="1"/>
                <w:bCs w:val="1"/>
                <w:color w:val="auto"/>
              </w:rPr>
              <w:t>Balance at June 30, 2018</w:t>
            </w:r>
          </w:p>
        </w:tc>
        <w:tc>
          <w:tcPr>
            <w:tcW w:w="140" w:type="dxa"/>
            <w:vAlign w:val="bottom"/>
          </w:tcPr>
          <w:p>
            <w:pPr>
              <w:spacing w:after="0"/>
              <w:rPr>
                <w:sz w:val="14"/>
                <w:szCs w:val="14"/>
                <w:color w:val="auto"/>
              </w:rPr>
            </w:pPr>
          </w:p>
        </w:tc>
        <w:tc>
          <w:tcPr>
            <w:tcW w:w="274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1"/>
              </w:rPr>
              <w:t>Balance at December 31, 2017</w:t>
            </w:r>
          </w:p>
        </w:tc>
        <w:tc>
          <w:tcPr>
            <w:tcW w:w="0" w:type="dxa"/>
            <w:vAlign w:val="bottom"/>
          </w:tcPr>
          <w:p>
            <w:pPr>
              <w:spacing w:after="0"/>
              <w:rPr>
                <w:sz w:val="1"/>
                <w:szCs w:val="1"/>
                <w:color w:val="auto"/>
              </w:rPr>
            </w:pPr>
          </w:p>
        </w:tc>
      </w:tr>
      <w:tr>
        <w:trPr>
          <w:trHeight w:val="254"/>
        </w:trPr>
        <w:tc>
          <w:tcPr>
            <w:tcW w:w="2280" w:type="dxa"/>
            <w:vAlign w:val="bottom"/>
          </w:tcPr>
          <w:p>
            <w:pPr>
              <w:spacing w:after="0"/>
              <w:rPr>
                <w:sz w:val="22"/>
                <w:szCs w:val="22"/>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4"/>
              </w:rPr>
              <w:t>Weighted-</w:t>
            </w:r>
          </w:p>
        </w:tc>
        <w:tc>
          <w:tcPr>
            <w:tcW w:w="160" w:type="dxa"/>
            <w:vAlign w:val="bottom"/>
          </w:tcPr>
          <w:p>
            <w:pPr>
              <w:spacing w:after="0"/>
              <w:rPr>
                <w:sz w:val="22"/>
                <w:szCs w:val="22"/>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8"/>
              </w:rPr>
              <w:t>Gross</w:t>
            </w:r>
          </w:p>
        </w:tc>
        <w:tc>
          <w:tcPr>
            <w:tcW w:w="9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w w:val="90"/>
              </w:rPr>
              <w:t>Accumulated</w:t>
            </w:r>
          </w:p>
        </w:tc>
        <w:tc>
          <w:tcPr>
            <w:tcW w:w="160" w:type="dxa"/>
            <w:vAlign w:val="bottom"/>
          </w:tcPr>
          <w:p>
            <w:pPr>
              <w:spacing w:after="0"/>
              <w:rPr>
                <w:sz w:val="22"/>
                <w:szCs w:val="22"/>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7"/>
              </w:rPr>
              <w:t>Net</w:t>
            </w:r>
          </w:p>
        </w:tc>
        <w:tc>
          <w:tcPr>
            <w:tcW w:w="140" w:type="dxa"/>
            <w:vAlign w:val="bottom"/>
          </w:tcPr>
          <w:p>
            <w:pPr>
              <w:spacing w:after="0"/>
              <w:rPr>
                <w:sz w:val="22"/>
                <w:szCs w:val="22"/>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8"/>
              </w:rPr>
              <w:t>Gross</w:t>
            </w:r>
          </w:p>
        </w:tc>
        <w:tc>
          <w:tcPr>
            <w:tcW w:w="960" w:type="dxa"/>
            <w:vAlign w:val="bottom"/>
            <w:gridSpan w:val="2"/>
            <w:vMerge w:val="restart"/>
          </w:tcPr>
          <w:p>
            <w:pPr>
              <w:jc w:val="center"/>
              <w:ind w:left="19"/>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22"/>
                <w:szCs w:val="22"/>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 Useful</w:t>
            </w:r>
          </w:p>
        </w:tc>
        <w:tc>
          <w:tcPr>
            <w:tcW w:w="1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Carrying</w:t>
            </w:r>
          </w:p>
        </w:tc>
        <w:tc>
          <w:tcPr>
            <w:tcW w:w="9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Carrying</w:t>
            </w:r>
          </w:p>
        </w:tc>
        <w:tc>
          <w:tcPr>
            <w:tcW w:w="14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Carrying</w:t>
            </w:r>
          </w:p>
        </w:tc>
        <w:tc>
          <w:tcPr>
            <w:tcW w:w="9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71"/>
        </w:trPr>
        <w:tc>
          <w:tcPr>
            <w:tcW w:w="228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Lives (Years)</w:t>
            </w:r>
          </w:p>
        </w:tc>
        <w:tc>
          <w:tcPr>
            <w:tcW w:w="16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Amortization</w:t>
            </w:r>
          </w:p>
        </w:tc>
        <w:tc>
          <w:tcPr>
            <w:tcW w:w="16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Amortization</w:t>
            </w:r>
          </w:p>
        </w:tc>
        <w:tc>
          <w:tcPr>
            <w:tcW w:w="12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10"/>
        </w:trPr>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w w:val="97"/>
              </w:rPr>
              <w:t>Finite-lived intangible assets:</w:t>
            </w: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80" w:type="dxa"/>
            <w:vAlign w:val="bottom"/>
          </w:tcPr>
          <w:p>
            <w:pPr>
              <w:ind w:left="120"/>
              <w:spacing w:after="0"/>
              <w:rPr>
                <w:sz w:val="20"/>
                <w:szCs w:val="20"/>
                <w:color w:val="auto"/>
              </w:rPr>
            </w:pPr>
            <w:r>
              <w:rPr>
                <w:rFonts w:ascii="Arial" w:cs="Arial" w:eastAsia="Arial" w:hAnsi="Arial"/>
                <w:sz w:val="18"/>
                <w:szCs w:val="18"/>
                <w:color w:val="auto"/>
              </w:rPr>
              <w:t>Licensed IP</w:t>
            </w: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12.5</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  271,000</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rPr>
              <w:t>$  44,868</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$ 226,132</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$ 271,000</w:t>
            </w:r>
          </w:p>
        </w:tc>
        <w:tc>
          <w:tcPr>
            <w:tcW w:w="960" w:type="dxa"/>
            <w:vAlign w:val="bottom"/>
            <w:gridSpan w:val="2"/>
          </w:tcPr>
          <w:p>
            <w:pPr>
              <w:jc w:val="center"/>
              <w:spacing w:after="0"/>
              <w:rPr>
                <w:sz w:val="20"/>
                <w:szCs w:val="20"/>
                <w:color w:val="auto"/>
              </w:rPr>
            </w:pPr>
            <w:r>
              <w:rPr>
                <w:rFonts w:ascii="Arial" w:cs="Arial" w:eastAsia="Arial" w:hAnsi="Arial"/>
                <w:sz w:val="18"/>
                <w:szCs w:val="18"/>
                <w:color w:val="auto"/>
              </w:rPr>
              <w:t>$  34,099</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$ 236,901</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right="60" w:firstLine="648"/>
        <w:spacing w:after="0" w:line="277" w:lineRule="auto"/>
        <w:rPr>
          <w:sz w:val="20"/>
          <w:szCs w:val="20"/>
          <w:color w:val="auto"/>
        </w:rPr>
      </w:pPr>
      <w:r>
        <w:rPr>
          <w:rFonts w:ascii="Arial" w:cs="Arial" w:eastAsia="Arial" w:hAnsi="Arial"/>
          <w:sz w:val="18"/>
          <w:szCs w:val="18"/>
          <w:color w:val="auto"/>
        </w:rPr>
        <w:t>Estimated aggregate amortization expense based on the current carrying value of amortizable intangible assets is as follows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6"/>
              </w:rPr>
              <w:t>Remainder of</w:t>
            </w:r>
          </w:p>
        </w:tc>
        <w:tc>
          <w:tcPr>
            <w:tcW w:w="760" w:type="dxa"/>
            <w:vAlign w:val="bottom"/>
            <w:gridSpan w:val="2"/>
            <w:vMerge w:val="restart"/>
          </w:tcPr>
          <w:p>
            <w:pPr>
              <w:jc w:val="right"/>
              <w:ind w:right="70"/>
              <w:spacing w:after="0"/>
              <w:rPr>
                <w:sz w:val="20"/>
                <w:szCs w:val="20"/>
                <w:color w:val="auto"/>
              </w:rPr>
            </w:pPr>
            <w:r>
              <w:rPr>
                <w:rFonts w:ascii="Arial" w:cs="Arial" w:eastAsia="Arial" w:hAnsi="Arial"/>
                <w:sz w:val="14"/>
                <w:szCs w:val="14"/>
                <w:b w:val="1"/>
                <w:bCs w:val="1"/>
                <w:color w:val="auto"/>
              </w:rPr>
              <w:t>2019</w:t>
            </w:r>
          </w:p>
        </w:tc>
        <w:tc>
          <w:tcPr>
            <w:tcW w:w="760" w:type="dxa"/>
            <w:vAlign w:val="bottom"/>
            <w:gridSpan w:val="2"/>
            <w:vMerge w:val="restart"/>
          </w:tcPr>
          <w:p>
            <w:pPr>
              <w:jc w:val="right"/>
              <w:ind w:right="70"/>
              <w:spacing w:after="0"/>
              <w:rPr>
                <w:sz w:val="20"/>
                <w:szCs w:val="20"/>
                <w:color w:val="auto"/>
              </w:rPr>
            </w:pPr>
            <w:r>
              <w:rPr>
                <w:rFonts w:ascii="Arial" w:cs="Arial" w:eastAsia="Arial" w:hAnsi="Arial"/>
                <w:sz w:val="14"/>
                <w:szCs w:val="14"/>
                <w:b w:val="1"/>
                <w:bCs w:val="1"/>
                <w:color w:val="auto"/>
              </w:rPr>
              <w:t>2020</w:t>
            </w:r>
          </w:p>
        </w:tc>
        <w:tc>
          <w:tcPr>
            <w:tcW w:w="760" w:type="dxa"/>
            <w:vAlign w:val="bottom"/>
            <w:gridSpan w:val="2"/>
            <w:vMerge w:val="restart"/>
          </w:tcPr>
          <w:p>
            <w:pPr>
              <w:jc w:val="right"/>
              <w:ind w:right="70"/>
              <w:spacing w:after="0"/>
              <w:rPr>
                <w:sz w:val="20"/>
                <w:szCs w:val="20"/>
                <w:color w:val="auto"/>
              </w:rPr>
            </w:pPr>
            <w:r>
              <w:rPr>
                <w:rFonts w:ascii="Arial" w:cs="Arial" w:eastAsia="Arial" w:hAnsi="Arial"/>
                <w:sz w:val="14"/>
                <w:szCs w:val="14"/>
                <w:b w:val="1"/>
                <w:bCs w:val="1"/>
                <w:color w:val="auto"/>
              </w:rPr>
              <w:t>2021</w:t>
            </w:r>
          </w:p>
        </w:tc>
        <w:tc>
          <w:tcPr>
            <w:tcW w:w="740" w:type="dxa"/>
            <w:vAlign w:val="bottom"/>
            <w:gridSpan w:val="2"/>
            <w:vMerge w:val="restart"/>
          </w:tcPr>
          <w:p>
            <w:pPr>
              <w:jc w:val="right"/>
              <w:ind w:right="70"/>
              <w:spacing w:after="0"/>
              <w:rPr>
                <w:sz w:val="20"/>
                <w:szCs w:val="20"/>
                <w:color w:val="auto"/>
              </w:rPr>
            </w:pPr>
            <w:r>
              <w:rPr>
                <w:rFonts w:ascii="Arial" w:cs="Arial" w:eastAsia="Arial" w:hAnsi="Arial"/>
                <w:sz w:val="14"/>
                <w:szCs w:val="14"/>
                <w:b w:val="1"/>
                <w:bCs w:val="1"/>
                <w:color w:val="auto"/>
              </w:rPr>
              <w:t>2022</w:t>
            </w:r>
          </w:p>
        </w:tc>
        <w:tc>
          <w:tcPr>
            <w:tcW w:w="6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Thereafter</w:t>
            </w:r>
          </w:p>
        </w:tc>
        <w:tc>
          <w:tcPr>
            <w:tcW w:w="0" w:type="dxa"/>
            <w:vAlign w:val="bottom"/>
          </w:tcPr>
          <w:p>
            <w:pPr>
              <w:spacing w:after="0"/>
              <w:rPr>
                <w:sz w:val="1"/>
                <w:szCs w:val="1"/>
                <w:color w:val="auto"/>
              </w:rPr>
            </w:pPr>
          </w:p>
        </w:tc>
      </w:tr>
      <w:tr>
        <w:trPr>
          <w:trHeight w:val="171"/>
        </w:trPr>
        <w:tc>
          <w:tcPr>
            <w:tcW w:w="4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ind w:right="202"/>
              <w:spacing w:after="0"/>
              <w:rPr>
                <w:sz w:val="20"/>
                <w:szCs w:val="20"/>
                <w:color w:val="auto"/>
              </w:rPr>
            </w:pPr>
            <w:r>
              <w:rPr>
                <w:rFonts w:ascii="Arial" w:cs="Arial" w:eastAsia="Arial" w:hAnsi="Arial"/>
                <w:sz w:val="14"/>
                <w:szCs w:val="14"/>
                <w:b w:val="1"/>
                <w:bCs w:val="1"/>
                <w:color w:val="auto"/>
              </w:rPr>
              <w:t>2018</w:t>
            </w:r>
          </w:p>
        </w:tc>
        <w:tc>
          <w:tcPr>
            <w:tcW w:w="76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Amortization expense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10,767</w:t>
            </w:r>
          </w:p>
        </w:tc>
        <w:tc>
          <w:tcPr>
            <w:tcW w:w="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$ 21,536</w:t>
            </w:r>
          </w:p>
        </w:tc>
        <w:tc>
          <w:tcPr>
            <w:tcW w:w="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$ 21,536</w:t>
            </w:r>
          </w:p>
        </w:tc>
        <w:tc>
          <w:tcPr>
            <w:tcW w:w="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$ 21,536</w:t>
            </w:r>
          </w:p>
        </w:tc>
        <w:tc>
          <w:tcPr>
            <w:tcW w:w="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$ 21,536</w:t>
            </w:r>
          </w:p>
        </w:tc>
        <w:tc>
          <w:tcPr>
            <w:tcW w:w="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$ 129,221</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were no changes to the carrying amount of goodwill for the six months ended June 30, 2018.</w:t>
      </w:r>
    </w:p>
    <w:p>
      <w:pPr>
        <w:spacing w:after="0" w:line="22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5"/>
          <w:szCs w:val="15"/>
          <w:b w:val="1"/>
          <w:bCs w:val="1"/>
          <w:color w:val="auto"/>
        </w:rPr>
        <w:t>License agreements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Novartis</w:t>
      </w:r>
    </w:p>
    <w:p>
      <w:pPr>
        <w:spacing w:after="0" w:line="225" w:lineRule="exact"/>
        <w:rPr>
          <w:sz w:val="20"/>
          <w:szCs w:val="20"/>
          <w:color w:val="auto"/>
        </w:rPr>
      </w:pPr>
    </w:p>
    <w:p>
      <w:pPr>
        <w:jc w:val="both"/>
        <w:ind w:right="60" w:firstLine="648"/>
        <w:spacing w:after="0" w:line="279" w:lineRule="auto"/>
        <w:rPr>
          <w:sz w:val="20"/>
          <w:szCs w:val="20"/>
          <w:color w:val="auto"/>
        </w:rPr>
      </w:pPr>
      <w:r>
        <w:rPr>
          <w:rFonts w:ascii="Arial" w:cs="Arial" w:eastAsia="Arial" w:hAnsi="Arial"/>
          <w:sz w:val="17"/>
          <w:szCs w:val="17"/>
          <w:color w:val="auto"/>
        </w:rPr>
        <w:t>In November 2009, we entered into a Collaboration and License Agreement with Novartis. Under the terms of the agreement, Novartis received exclusive development and commercialization rights outside of the United States to our JAK inhibitor ruxolitinib and certain back-up compounds for hematologic and oncology indications, including all hematological malignancies, solid tumors and myeloproliferative diseases. We retained exclusive development and</w:t>
      </w:r>
    </w:p>
    <w:p>
      <w:pPr>
        <w:spacing w:after="0" w:line="38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120"/>
          </w:cols>
          <w:pgMar w:left="1420" w:top="125" w:right="1359" w:bottom="1440" w:gutter="0" w:footer="0" w:header="0"/>
        </w:sectPr>
      </w:pPr>
    </w:p>
    <w:bookmarkStart w:id="20" w:name="page21"/>
    <w:bookmarkEnd w:id="2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commercialization rights to JAKAFI (ruxolitinib) in the United States and in certain other indications. Novartis also received worldwide exclusive development and commercialization rights to our MET inhibitor compound capmatinib and certain back-up compounds in all indications. We retained options to co-develop and to co-promote capmatinib in the United States.</w:t>
      </w:r>
    </w:p>
    <w:p>
      <w:pPr>
        <w:spacing w:after="0" w:line="14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Under this agreement, we received an upfront payment and immediate milestone payment totaling $210.0 million and were initially eligible to receive up to $1.2 billion in milestone payments across multiple indications upon the achievement of pre-specified events, including up to $174.0 million for the achievement of development milestones, up to $495.0 million for the achievement of regulatory milestones and up to $500.0 million for the achievement of commercialization milestones. In April 2016, we amended this agreement to provide that Novartis has exclusive research, development and commercialization rights outside of the United States to ruxolitinib (excluding topical formulations) in the graft-versus-host-disease (“GVHD”) field. We became eligible to receive up to $75.0 million of additional potential development and regulatory milestones relating to GVHD. Exclusive of the upfront payment of $150.0 million received in 2009 and the immediate milestone of $60.0 million earned in 2010, we have recognized and received, in aggregate, $132.0 million for the achievement of development milestones, $215.0 million for the achievement of regulatory milestones and $60.0 million for the achievement of sales milestones through June 30, 2018.</w:t>
      </w:r>
    </w:p>
    <w:p>
      <w:pPr>
        <w:spacing w:after="0" w:line="183"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During the year ended December 31, 2017, under this agreement, we recognized a $40.0 million sales milestone for Novartis achieving annual net sales of a JAK licensed product of $600.0 million and a $25.0 million development milestone based on the formal initiation by Novartis of a Phase III clinical trial evaluating ruxolitinib in GVHD. In 2016, we recognized a $5.0 million payment in exchange for the development and commercialization rights to ruxolitinib in GVHD outside of the United States and a $40.0 million regulatory milestone for the reimbursement of JAKAVI in Europe for the treatment of patients with polycythemia vera. In 2015, we recognized a $5.0 million development milestone based on the formal initiation by Novartis of a Phase II clinical trial evaluating capmatinib for a third indication, a $25.0 million regulatory milestone triggered by the Committee for Medicinal Products for Human Use of the European Medicines Agency adopting a positive opinion for JAKAVI (ruxolitinib) for the treatment of adult patients with polycythemia vera who are resistant to or intolerant of hydroxyurea, a $15.0 million regulatory milestone for the approval of JAKAVI in Japan for the treatment of patients with polycythemia vera, and a $20.0 million sales milestone for Novartis achieving annual net sales of a JAK licensed product of $300.0 million. In 2014, we recognized a $60.0 million regulatory milestone related to reimbursement of JAKAVI in Europe, a $25.0 million regulatory milestone for the approval of JAKAVI in Japan for the treatment of patients with myelofibrosis and a $7.0 million development milestone based on the formal initiation by Novartis of a Phase II clinical trial evaluating capmatinib in non-small cell lung cancer. In 2013, we recognized a $25.0 million development milestone based on the formal initiation by Novartis of a Phase II clinical trial evaluating capmatinib. In 2012, we recognized a $40.0 million regulatory milestone for the achievement of a predefined milestone for the European Union regulatory approval of JAKAVI. In 2011, we recognized a $15.0 million development milestone for the achievement of a predefined milestone in the Phase I dose-escalation trial for capmatinib in patients with solid tumors and a $10.0 million regulatory milestone for the approval of JAKAFI in the United States. In 2010, we recognized $50.0 million in development milestones for the initiation of the global Phase III trial, RESPONSE, in patients with polycythemia vera. We determined that each of these milestones were substantive as their achievement required substantive efforts by us and was at risk until the milestones were ultimately achieved.</w:t>
      </w:r>
    </w:p>
    <w:p>
      <w:pPr>
        <w:spacing w:after="0" w:line="18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also are eligible to receive tiered, double-digit royalties ranging from the upper-teens to the mid-twenties on future JAKAVI net sales outside of the United States, and tiered, worldwide royalties on future capmatinib net sales that range from 12% to 14%. Since the achievement of the $60.0 million regulatory milestone related to reimbursement of JAKAVI in Europe in September 2014, we are obligated to pay to Novartis tiered royalties in the low single-digits on future JAKAFI net sales within the United States. During the three and six months ended June 30, 2018, such royalties payable to Novartis on net sales within the United States totaled $16.9 million and $27.3 million, respectively, and are reflected in cost of product revenues on the condensed consolidated statements of operations. During the three and six months ended June 30, 2017, such royalties payable to Novartis on net sales within the United States totaled $13.0 million and $20.8 million, respectively, and are reflected in cost of product revenues on the condensed consolidated statements of operations. Each company is responsible for costs relating to the development and commercialization of ruxolitinib in its respective territories, with costs of collaborative studies shared equally. Novartis is also responsible for all costs relating to the development and commercialization of capmatinib.</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1" w:name="page22"/>
    <w:bookmarkEnd w:id="2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Novartis agreement will continue on a program-by-program basis until Novartis has no royalty payment obligations with respect to such program or, if earlier, the termination of the agreement or any program in accordance with the terms of the agreement. Royalties are payable by Novartis on a product-by-product and country-by-country basis until the latest to occur of (i) the expiration of the last valid claim of the licensed patent rights covering the licensed product in the relevant country, (ii) the expiration of regulatory exclusivity for the licensed product in such country and (iii) a specified period from first commercial sale in such country of the licensed product by Novartis or its affiliates or sublicensees. The agreement may be terminated in its entirety or on a program-by-program basis by Novartis for convenience. The agreement may also be terminated by either party under certain other circumstances, including material breach.</w:t>
      </w:r>
    </w:p>
    <w:p>
      <w:pPr>
        <w:spacing w:after="0" w:line="16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determined that there were two deliverables under the agreement: (i) the ex-U.S. license for ruxolitinib and (ii) our obligations in connection with our participation on the joint development committee for myelofibrosis and polycythemia vera/essential thrombocythemia. We concluded that these deliverables should be accounted for as a single unit of accounting and the $150.0 million upfront payment received in December 2009 and the immediate $60.0 million milestone payment received in January 2010 should be recognized on a straight-line basis through December 2013, when we estimated we would complete our obligations in connection with our participation on the joint development committee for myelofibrosis and polycythemia vera, our estimated performance period under the agreement. We completed this substantive performance obligation related to this arrangement in December 2013.</w:t>
      </w:r>
    </w:p>
    <w:p>
      <w:pPr>
        <w:spacing w:after="0" w:line="17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At December 31, 2009, we recorded $10.9 million of reimbursable costs incurred prior to the effective date of the agreement as deferred revenue on the consolidated balance sheet. These costs were recognized on a straight-line basis through December 2013 consistent with the aforementioned upfront and milestone payments. Future reimbursable costs incurred after the effective date of the agreement with Novartis are recorded net against the related research and development expenses. At June 30, 2018 and December 31, 2017, $1.3 million and $1.6 million, respectively, of reimbursable costs were included in accounts receivable on the condensed consolidated balance sheets. Research and development expenses for the three and six months ended June 30, 2018 were net of $0.7 million and $1.2 million, respectively, of costs reimbursed by Novartis. Research and development expenses for the three and six months ended June 30, 2017 were net of $0.8 million and $1.5 million, respectively, of costs reimbursed by Novartis.</w:t>
      </w:r>
    </w:p>
    <w:p>
      <w:pPr>
        <w:spacing w:after="0" w:line="18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Milestone revenue under the Novartis agreement for the three and six months ended June 30, 2018 was $0.0 million. Milestone revenue under the Novartis agreement for the three and six months ended June 30, 2017 was $0.0 million and $25.0 million, respectively. Product royalty revenue related to Novartis net sales of JAKAVI outside of the United States for the three and six months ended June 30, 2018 was $47.1 million and $88.4 million, respectively. Product royalty revenue related to Novartis net sales of JAKAVI outside of the United States for the three and six months ended June 30, 2017 was $33.9 million and $62.7 million, respectively. At June 30, 2018 and December 31, 2017, $47.1 million and $47.7 million, respectively, of product royalties were included in accounts receivable on the condensed consolidated balance sheets.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Lilly - Baricitinib</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December 2009, we entered into a License, Development and Commercialization Agreement with Lilly. Under the terms of the agreement, Lilly received exclusive worldwide development and commercialization rights to our JAK inhibitor baricitinib, and certain back-up compounds for inflammatory and autoimmune diseases. We received an upfront payment of $90.0 million, and were initially eligible to receive up to $665.0 million in substantive milestone payments across multiple indications upon the achievement of pre-specified events, including up to $150.0 million for the achievement of development milestones, up to $365.0 million for the achievement of regulatory milestones and up to $150.0 million for the achievement of commercialization milestones. Exclusive of the upfront payment of $90.0 million received in 2009, we have recognized and received, in aggregate, $129.0 million for the achievement of development milestones and $235.0 million for the achievement of regulatory milestones through June 30, 2018.</w:t>
      </w:r>
    </w:p>
    <w:p>
      <w:pPr>
        <w:spacing w:after="0" w:line="18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January 2016, Lilly submitted an NDA to the FDA and a Marketing Authorization Application (MAA) to the European Medicines Agency for baricitinib as treatment for rheumatoid arthritis. In February 2017, we and Lilly announced that the European Commission approved baricitinib as OLUMIANT for the treatment of moderate-to-severe rheumatoid arthritis in adult patients who have responded inadequately to, or who are intolerant to, one or more disease-</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2" w:name="page23"/>
    <w:bookmarkEnd w:id="2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modifying antirheumatic drugs. In July 2017, Japan's Ministry of Health, Labor and Welfare granted marketing approval for OLUMIANTfor the treatment of rheumatoid arthritis in patients with inadequate response to standard-of-care therapies. In June 2018, the FDA approved the 2mg dose of OLUMIANT for the treatment of adults with moderately-to-severely active rheumatoid arthritis who have had an inadequate response to one or more tumor necrosis factor inhibitor therapies.</w:t>
      </w:r>
    </w:p>
    <w:p>
      <w:pPr>
        <w:spacing w:after="0" w:line="154"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During the three months ended June 30, 2018, under this agreement, we recognized a $100.0 million regulatory milestone for the FDA approval of the 2mg dose of OLUMIANT (baricitinib) for the treatment of adults with moderately-to-severely active rheumatoid arthritis. In 2017, we recognized a $30.0 million development milestone for the first patient treated in the atopic dermatitis Phase III program for baricitinib, $15.0 million regulatory milestone for the approval of baricitinib for the treatment of rheumatoid arthritis by Japan’s Ministry of Health, Labor and Welfare and a $65.0 million regulatory milestone for the approval of baricitinib for the treatment of moderate-to-severe rheumatoid arthritis in adult patients by the European Commission. In 2016, we recognized a $35.0 million regulatory milestone for the submission of an NDA to the FDA for the approval of oral once-daily baricitinib for the treatment of moderate-to-severe rheumatoid arthritis and a $20.0 million regulatory milestone for the submission of a Marketing Authorization Application to the European Medicines Agency for the approval of oral once-daily baricitinib for the treatment of moderate-to-severe rheumatoid arthritis. In 2012, we recognized a $50.0 million development milestone for the initiation of the rheumatoid arthritis Phase III program for baricitinib. In 2010, we recognized a $30.0 million development milestone based upon the initial three month data in the Phase IIa clinical trial of baricitinib for the treatment of rheumatoid arthritis and a $19.0 million development milestone for the Phase IIb clinical trial initiation of baricitinib for the treatment of rheumatoid arthritis. We determined that each of these milestones were substantive as their achievement required substantive efforts by us and was at risk until the milestones were ultimately achieved. In July 2010, we elected to co-develop baricitinib with Lilly in rheumatoid arthritis and we are responsible for funding 30% of the associated future global development costs for this indication from the initiation of the Phase IIb trial through regulatory approval, including post-launch studies required by a regulatory authority. We have exercised our co-development options in psoriatic arthritis, atopic dermatitis, alopecia areata, systemic lupus erythematosus and axial spondyloarthritis to fund 30% of future global development costs through regulatory approval, including post-launch studies required by a regulatory authority.</w:t>
      </w:r>
    </w:p>
    <w:p>
      <w:pPr>
        <w:spacing w:after="0" w:line="187" w:lineRule="exact"/>
        <w:rPr>
          <w:sz w:val="20"/>
          <w:szCs w:val="20"/>
          <w:color w:val="auto"/>
        </w:rPr>
      </w:pPr>
    </w:p>
    <w:p>
      <w:pPr>
        <w:jc w:val="both"/>
        <w:ind w:firstLine="648"/>
        <w:spacing w:after="0" w:line="217" w:lineRule="exact"/>
        <w:rPr>
          <w:sz w:val="20"/>
          <w:szCs w:val="20"/>
          <w:color w:val="auto"/>
        </w:rPr>
      </w:pPr>
      <w:r>
        <w:rPr>
          <w:rFonts w:ascii="Arial" w:cs="Arial" w:eastAsia="Arial" w:hAnsi="Arial"/>
          <w:sz w:val="16"/>
          <w:szCs w:val="16"/>
          <w:color w:val="auto"/>
        </w:rPr>
        <w:t>We retained options to co-develop our JAK1/JAK2 inhibitors with Lilly on a compound-by-compound and indication-by-indication basis. Lilly is responsible for all costs relating to the development and commercialization of the compounds unless we elect to co-develop any compounds or indications. If we elect to co-develop any compounds and/or indications, we would be responsible for funding 30% of the associated future global development costs from the initiation of a Phase IIb trial through regulatory approval, including post-launch studies required by a regulatory authority. We would receive an incremental royalty rate increase across all tiers resulting in effective royalty rates ranging up to the high twenties on potential future global net sales for compounds and/or indications that we elect to co-develop. For indications that we elect not to co</w:t>
      </w:r>
      <w:r>
        <w:rPr>
          <w:rFonts w:ascii="MS PGothic" w:cs="MS PGothic" w:eastAsia="MS PGothic" w:hAnsi="MS PGothic"/>
          <w:sz w:val="16"/>
          <w:szCs w:val="16"/>
          <w:color w:val="auto"/>
        </w:rPr>
        <w:t>‑</w:t>
      </w:r>
      <w:r>
        <w:rPr>
          <w:rFonts w:ascii="Arial" w:cs="Arial" w:eastAsia="Arial" w:hAnsi="Arial"/>
          <w:sz w:val="16"/>
          <w:szCs w:val="16"/>
          <w:color w:val="auto"/>
        </w:rPr>
        <w:t>develop, we would receive tiered, double</w:t>
      </w:r>
      <w:r>
        <w:rPr>
          <w:rFonts w:ascii="MS PGothic" w:cs="MS PGothic" w:eastAsia="MS PGothic" w:hAnsi="MS PGothic"/>
          <w:sz w:val="16"/>
          <w:szCs w:val="16"/>
          <w:color w:val="auto"/>
        </w:rPr>
        <w:t>‑</w:t>
      </w:r>
      <w:r>
        <w:rPr>
          <w:rFonts w:ascii="Arial" w:cs="Arial" w:eastAsia="Arial" w:hAnsi="Arial"/>
          <w:sz w:val="16"/>
          <w:szCs w:val="16"/>
          <w:color w:val="auto"/>
        </w:rPr>
        <w:t>digit royalty payments on future global net sales with rates ranging up to 20% if the product is successfully commercialized. We previously had retained an option to co-promote products in the United States but, in March 2016, we waived our co-promotion option as part of an amendment to the agreement.</w:t>
      </w:r>
    </w:p>
    <w:p>
      <w:pPr>
        <w:spacing w:after="0" w:line="207"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Research and development expenses recorded under the Lilly agreement representing 30% of the global development costs for baricitinib for the treatment of rheumatoid arthritis, psoriatic arthritis, atopic dermatitis, alopecia areata, systemic lupus erythematosus and axial spondyloarthritis for the three and six months ended June 30, 2018 were $14.2 million and $26.7 million, respectively. Research and development expenses recorded under the Lilly agreement representing 30% of the global development costs for baricitinib for the treatment of rheumatoid arthritis, psoriatic arthritis and atopic dermatitis for the three and six months ended June 30, 2017 were $8.7 million and $18.1 million, respectively. We have retained certain mechanisms to give us cost protection as baricitinib advances in clinical development. We can defer our portion of co-development study costs by indication if they exceed a predetermined level. This deferment would be credited against future milestones or royalties and we would still be eligible for the full incremental royalties related to the co-development option. In addition, even if we have started co-development funding for any indication, we can at any time opt out and stop future co-development cost sharing. If we elect to do this we would still be eligible for our base royalties plus an incremental pro-rated royalty commensurate with our contribution to the total co-development cost for those indications for which we co-funded. The Lilly agreement will continue until Lilly no longer has any royalty payment obligations or, if earlier, the termination of the agreement in accordance with its terms. Royalties are payable by Lilly on a product-by-product and country-by-country basis until the latest to occur of (i) the expiration of the last valid claim of the licensed patent rights covering the licensed product in the relevant country, (ii) the expiration of regulatory exclusivity</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3" w:name="page24"/>
    <w:bookmarkEnd w:id="2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licensed product in such country and (iii) a specified period from first commercial sale in such country of the licensed product by Lilly or its affiliates or sublicensees. The agreement may be terminated by Lilly for convenience, and may also be terminated under certain other circumstances, including material breach.</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determined that there were two deliverables under the agreement: (i) the worldwide license and (ii) our obligations in connection with a co-development option. We concluded that these deliverables should be accounted for as a single unit of accounting and the $90.0 million upfront payment should be recognized on a straight-line basis as revenue through December 2016, our estimated performance period under the agreement. We completed our substantive performance obligation related to this arrangement in December 2016.</w:t>
      </w:r>
    </w:p>
    <w:p>
      <w:pPr>
        <w:spacing w:after="0" w:line="18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Milestone revenue under the Lilly agreement for the three and six months ended June 30, 2018 was $100.0 million. Milestone revenue under the Lilly agreement for the three and six months ended June 30, 2017 was $0.0 million and $65.0 million, respectively. Product royalty revenue related to Lilly global net sales of OLUMIANT for the three and six months ended June 30, 2018 was $8.9 million and $15.3 million, respectively. Product royalty revenue related to Lilly global net sales of OLUMIANT for the three and six months ended June 30, 2017 was $0.9 million and $1.3 million, respectively. At June 30, 2018 and December 31, 2017, $8.9 million and $4.6 million, respectively, of product royalties were included in accounts receivable on the condensed consolidated balance sheets.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Lilly - Ruxolitinib</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March 2016, we entered into an amendment to the agreement with Lilly that amended the non-compete provision of the agreement to allow us to engage in the development and commercialization of ruxolitinib in the GVHD field. We paid Lilly an upfront payment of $35.0 million and Lilly is eligible to receive up to $40.0 million in additional regulatory milestone payments relating to ruxolitinib in the GVHD field.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Agenus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January 2015, we entered into a License, Development and Commercialization Agreement with Agenus Inc. and its wholly-owned subsidiary, 4-Antibody AG, (now known as Agenus Switzerland Inc.), which we collectively refer to as Agenus. Under this agreement, the parties have agreed to collaborate on the discovery of novel immuno-therapeutics using Agenus’ antibody discovery platforms. The agreement became effective on February 18, 2015, upon the expiration of the waiting period under the Hart-Scott-Rodino Antitrust Improvements Act of 1976. In February 2017, we and Agenus amended this agreement (the “Amended Agreement”).</w:t>
      </w:r>
    </w:p>
    <w:p>
      <w:pPr>
        <w:spacing w:after="0" w:line="19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Under the terms of the Amended Agreement, we received exclusive worldwide development and commercialization rights to four checkpoint modulators directed against GITR, OX40, LAG-3 and TIM-3. In addition to the initial four program targets, we and Agenus have the option to jointly nominate and pursue additional targets within the framework of the collaboration, and in November 2015, three more targets were added. Targets may be designated profit-share programs, where all costs and profits are shared equally by us and Agenus, or royalty-bearing programs, where we are responsible for all costs associated with discovery, preclinical, clinical development and commercialization activities. The programs relating to GITR and OX40 and two of the undisclosed targets were profit-share programs until February 2017, while the other targets currently under collaboration are royalty-bearing programs. The Amended Agreement converted the programs relating to GITR and OX40 to royalty-bearing programs and removed from the collaboration the profit-share programs relating to the two undisclosed targets, with one reverting to us and one reverting to Agenus. Should any of those removed programs be successfully developed by a party, the other party will be eligible to receive the same milestone payments as the royalty-bearing programs and royalties at a 15% rate on global net sales. There are currently no profit-share programs. For each royalty-bearing product other than GITR and OX40, Agenus will be eligible to receive tiered royalties on global net sales ranging from 6% to 12%. For GITR and OX40, Agenus will be eligible to receive 15% royalties on global net sales.</w:t>
      </w:r>
    </w:p>
    <w:p>
      <w:pPr>
        <w:spacing w:after="0" w:line="172"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Under the Amended Agreement, we paid Agenus $20.0 million in accelerated milestones relating to the clinical development of the GITR and OX40 programs, which is recorded in research and development expense on the consolidated statement of operations during the year ended December 31, 2017. Agenus is eligible to receive up to an additional $510.0 million in future contingent development, regulatory and commercialization milestones across all programs in the</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4" w:name="page25"/>
    <w:bookmarkEnd w:id="2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collaboration. The agreement may be terminated by us for convenience upon 12 months’ notice and may also be terminated under certain other circumstances, including material breach. In June 2018, we recorded a $5.0 million development milestone due to Agenus for the LAG-3 program which is recorded in research and development expense on the condensed consolidated statement of operations during the three and six months ended June 30, 2018.</w:t>
      </w:r>
    </w:p>
    <w:p>
      <w:pPr>
        <w:spacing w:after="0" w:line="17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connection with the Amended Agreement, we also agreed to purchase 10.0 million shares of Agenus Inc. common stock for an aggregate purchase price of $60.0 million in cash, or $6.00 per share. We completed the purchase of the shares on February 14, 2017, when the closing price on The Nasdaq Stock Market for Agenus Inc. shares was $4.40 per share. The shares we acquired were not registered under the Securities Act of 1933 on the purchase date and were subject to certain security specific restrictions for a period of time, and accordingly, we estimated a discount for lack of marketability on the shares on the issuance date of $4.5 million, which resulted in a net fair value of the shares on the issuance date of $39.5 million. Therefore, of the total consideration paid of $60.0 million, $39.5 million was allocated to our stock purchase in Agenus Inc. and was recorded within long term investments on the condensed consolidated balance sheets and $20.5 million was allocated to research and development expense on the consolidated statement of operations during the six months ended June 30, 2017.</w:t>
      </w:r>
    </w:p>
    <w:p>
      <w:pPr>
        <w:spacing w:after="0" w:line="178"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We have concluded Agenus Inc. is not a VIE because it has sufficient equity to finance its activities without additional subordinated financial support and its at-risk equity holders have the characteristics of a controlling financial interest. From the date of our initial stock purchase in February 2015 and up to the date of our second stock purchase in February 2017, we owned between 9% and 11% of the outstanding shares of Agenus Inc. common stock. As a result of our February 2017 stock purchase, we owned approximately 17% of the outstanding shares of Agenus Inc. common stock as of June 30, 2018. We concluded that we have the ability to exercise significant influence, but not control, over Agenus Inc. based primarily on our ownership interest, the fact that we have been the largest Agenus stockholder since the date of our initial stock purchase, the level of intra-entity transactions between us and Agenus related to development expenses, as well as other qualitative factors. We have elected the fair value option to account for our long term investment in Agenus Inc. whereby the investment is marked to market through earnings in each reporting period. We believe the fair value option to be the most appropriate accounting method to account for securities in publicly held collaborators for which we have significant influence. For the three and six months ended June 30, 2018, we recorded an unrealized loss of $43.3 million and $17.6 million, respectively, based on the changes in market price of Agenus Inc.’s common stock during these periods. For the three and six months ended June 30, 2017, we recorded an unrealized gain of $4.4 million and an unrealized loss of $3.3 million, respectively, based on the changes in market price of Agenus Inc.’s common stock during these periods. The fair market value of our long term investment in Agenus Inc. at June 30, 2018 and December 31, 2017 was $40.3 million and $57.9 million, respectively.</w:t>
      </w:r>
    </w:p>
    <w:p>
      <w:pPr>
        <w:spacing w:after="0" w:line="19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Research and development expenses for the three and six months ended June 30, 2018 also included $0.9 million and $2.8 million, respectively, of development costs incurred pursuant to the Agenus arrangement. Research and development expenses for the three and six months ended June 30, 2017 also included $11.2 million and $18.9 million, respectively, of development costs incurred pursuant to the Agenus arrangement. At June 30, 2018 and December 31, 2017, a total of $0.9 million and $3.2 million, respectively, of such costs were included in accrued and other liabilities on the condensed consolidated balance sheets.</w:t>
      </w:r>
    </w:p>
    <w:p>
      <w:pPr>
        <w:spacing w:after="0" w:line="19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February 2018, Agenus’ independent registered public accounting firm, KPMG LLP, expressed substantial doubt within Agenus’ Form 10-K filing regarding the entity’s ability to continue as a going concern. During the second quarter of 2018, Agenus experienced a significant decline in stock price. In Agenus’ March 31, 2018 Form 10-Q filed May 10, 2018, they noted approximately $52.3 million in cash and cash equivalents and quarterly operating expenses of approximately $43.4 million. For the three months ended March 31, 2018, Agenus Inc. reported total revenues of $1.6 million and net loss of $54.3 million within their consolidated financial statements. At this time, we have no plans to participate in any future equity-based fundraising, and, in the event of any future equity-based fundraising, anticipate dilution of our ownership percentage and a significant permanent decrease in the value of our overall investment.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Merus</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In December 2016, we entered into a Collaboration and License Agreement with Merus N.V. Under this agreement, which became effective in January 2017, the parties have agreed to collaborate with respect to the research,</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5" w:name="page26"/>
    <w:bookmarkEnd w:id="2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discovery and development of bispecific antibodies utilizing Merus’ technology platform. The collaboration encompasses up to eleven independent programs, including two of Merus’ current preclinical immuno-oncology discovery programs. We received exclusive development and commercialization rights outside of the United States to products and product candidates resulting from one of Merus’ current preclinical discovery programs, referred to as “Program 1.” We also received worldwide exclusive development and commercialization rights to products and product candidates resulting from the other current Merus preclinical discovery program that is subject to the collaboration and to up to nine additional programs. Merus retained exclusive development and commercialization rights in the United States to products and product candidates resulting from Program 1 and options, subject to certain conditions, to co-fund development of products resulting from two other programs in exchange for a share of profits in the United States. Should Program 1 fail to successfully complete IND-enabling toxicology studies, Merus would be granted an additional option to co-fund development of a program in exchange for a share of profits in the United States. All costs related to the collaboration are subject to joint research and development plans. Each party will share equally the costs of mutually agreed global development activities for Program 1, and fund itself any independent development activities in its territory. We will be responsible for all research, development and commercialization costs relating to all other programs, subject to Merus’ election to co-fund development and co-detail described above. If Merus exercises its co-funding option for a program, Merus would be responsible for funding 35% of the associated future global development costs and, for certain of such programs, would be responsible for reimbursing us for certain development costs incurred prior to the option exercise.</w:t>
      </w:r>
    </w:p>
    <w:p>
      <w:pPr>
        <w:spacing w:after="0" w:line="17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In February 2017, we paid Merus an upfront non-refundable payment of $120.0 million, which is recorded in research and development expense on the condensed consolidated statement of operations. For each program as to which Merus does not have commercialization or co-development rights, Merus will be eligible to receive up to $100.0 million in future contingent development and regulatory milestones and up to $250.0 million in commercialization milestones as well as tiered royalties ranging from 6% to 10% of global net sales. For each program as to which Merus exercises its option to co-fund development, Merus will be eligible to receive a 50% share of profits (or sustain 50% of any losses) in the United States and be eligible to receive tiered royalties ranging from 6% to 10% of net sales of products outside of the United States. If Merus opts to cease co-funding a program as to which it exercised its co-development option, then Merus will no longer receive a share of profits in the United States but will be eligible to receive the same milestones from the co-funding termination date and the same tiered royalties described above with respect to non-co-developed programs and, depending on the stage at which Merus chose to cease co-funding development costs, additional royalties ranging up to 4% of net sales in the United States. For Program 1, we and Merus will each be eligible to receive tiered royalties on net sales in the other party’s territory at rates ranging from 6% to 10%.</w:t>
      </w:r>
    </w:p>
    <w:p>
      <w:pPr>
        <w:spacing w:after="0" w:line="18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Merus agreement will continue on a program-by-program basis until we have no royalty payment obligations with respect to such program or, if earlier, the termination of the agreement or any program in accordance with the terms of the agreement. The agreement may be terminated in its entirety or on a program-by-program basis by us for convenience. The agreement may also be terminated by either party under certain other circumstances, including material breach, as set forth in the agreement. If the agreement is terminated with respect to one or more programs, all rights in the terminated programs revert to Merus, subject to payment to us of a reverse royalty of up to 4% on sales of future products, if Merus elects to pursue development and commercialization of products arising from the terminated programs.</w:t>
      </w:r>
    </w:p>
    <w:p>
      <w:pPr>
        <w:spacing w:after="0" w:line="16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addition, in December 2016, we entered into a Share Subscription Agreement with Merus, pursuant to which we agreed to purchase 3.2 million common shares of Merus for an aggregate purchase price of $80.0 million in cash, or $25.00 per share.</w:t>
      </w:r>
    </w:p>
    <w:p>
      <w:pPr>
        <w:spacing w:after="0" w:line="181"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We agreed to certain standstill provisions whereby we are obligated to refrain from taking certain actions with respect to Merus or Merus’ common shares during a period ending on the earliest of (i) three years from the closing date of our share purchase, (ii) the date Merus publicly announces any merger or similar business combination or another party announces an intention to acquire a substantial portion of Merus’ securities, and (iii) the termination of the Collaboration and License Agreement. The standstill provisions are subject to certain exceptions, including an exception that allows us to maintain our percentage ownership following equity financings by Merus. We also agreed, subject to limited exceptions, not to sell or otherwise transfer any of our Merus shares for a period, referred to as the Lock-Up Period, ending on the earlier of 18 months after the closing date of the sale of the Shares or the end of the standstill period. In addition, if the standstill period has not been terminated earlier upon the occurrence of certain events, for a period of three years after the Lock-Up Period, we will be restricted from selling or otherwise transferring more than one-third of our Merus shares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6" w:name="page27"/>
    <w:bookmarkEnd w:id="2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any 12-month period or 10% of our Merus shares during any three-month period, unless Merus consents otherwise. We have further agreed that during the standstill period, we will vote all of our Merus shares in accordance with the recommendation of a majority of Merus’ supervisory board. However, we may vote our Merus shares at our own discretion for certain extraordinary matters, including a change in control of Merus. Merus has agreed to customary resale registration rights with respect to our Merus shares; however, any such resales will be subject to the Lock-Up Period and volume limitations on sale and transfer described above.</w:t>
      </w:r>
    </w:p>
    <w:p>
      <w:pPr>
        <w:spacing w:after="0" w:line="19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completed the purchase of the shares on January 23, 2017 when the closing price on The Nasdaq Stock Market for Merus shares was $24.50 per share. The shares we acquired were not registered under the Securities Act of 1933 on the purchase date and were subject to certain security specific restrictions for a period of time, and accordingly, we estimated a discount for lack of marketability on the shares on the issuance date of $5.6 million, which resulted in a net fair value of the shares on the issuance date of $72.8 million. Of the total consideration paid of $80.0 million, $72.8 million was allocated to our stock purchase in Merus and was recorded as a long term investment on the consolidated balance sheets and $7.2 million was allocated to research and development expense on the consolidated statement of operations during the six months ended June 30, 2017. The fair market value of our total long term investment in Merus at June 30, 2018 and December 31, 2017 was $72.8 million and $62.1 million, respectively.</w:t>
      </w:r>
    </w:p>
    <w:p>
      <w:pPr>
        <w:spacing w:after="0" w:line="18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We have concluded Merus is not a VIE because it has sufficient equity to finance its activities without additional subordinated financial support and its at-risk equity holders have the characteristics of a controlling financial interest. As of June 30, 2018, we owned approximately 14% of the outstanding shares of Merus common stock and conclude that we have the ability to exercise significant influence, but not control, over Merus based primarily on our ownership interest, the level of intra-entity transactions between us and Merus related to development expenses, as well as other qualitative factors. We have elected the fair value option to account for our long term investment in Merus whereby the investment is marked to market through earnings in each reporting period. We believe the fair value option to be the most appropriate accounting method to account for securities in publicly held collaborators for which we have significant influence. For the three and six months ended June 30, 2018 we recorded an unrealized gain of $13.5 million and $10.8 million, respectively, based on the changes in the market price of Merus’ common stock during these periods. For the three and six months ended June 30, 2017 we recorded unrealized losses of $23.9 million and $22.0 million, respectively, based on the changes in the market price of Merus’ common stock during these periods. For the fiscal year ended December 31, 2017, Merus N.V. reported within their Form 20-F total revenues of approximately €13.6 million and net loss of approximately €73.0 million within their consolidated financial statements.</w:t>
      </w:r>
    </w:p>
    <w:p>
      <w:pPr>
        <w:spacing w:after="0" w:line="18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Research and development expenses for the three and six months ended June 30, 2018 included $2.8 million and $5.2 million, respectively, of additional development costs incurred pursuant to the Merus agreement. Research and development expenses for the three and six months ended June 30, 2017 included $1.5 million and $2.6 million, respectively, of additional development costs incurred pursuant to the Merus agreement. At June 30, 2018 and December 31, 2017, a total of $2.4 million and $2.1 million, respectively, of such costs were included in accrued and other liabilities on the condensed consolidated balance sheets.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Calithera</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In January 2017, we entered into a Collaboration and License Agreement with Calithera Biosciences, Inc. Under this agreement, we received an exclusive, worldwide license to develop and commercialize small molecule arginase inhibitors, including CB-1158, which is currently in Phase I clinical trials, for hematology and oncology indications. We have agreed to co-fund 70% of the global development costs for the development of the licensed products for hematology and oncology indications. Calithera will have the right to conduct certain clinical development under the collaboration, including combination studies of a licensed product with a proprietary compound of Calithera. We will be entitled to 60% of the profits and losses from net sales of licensed product in the United States, and Calithera will have the right to co-detail licensed products in the United States, and we have agreed to pay Calithera tiered royalties ranging from the low to mid-double digits on net sales of licensed products outside the United States. Calithera may opt out of its co-funding obligation, in which case the U.S. profit sharing will no longer be in effect, and we have agreed to pay Calithera tiered royalties ranging from the low to mid-double digits on net sales of licensed products both in the United States and outside the United States, and additional royalties to reimburse Calithera for previously incurred development costs.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7" w:name="page28"/>
    <w:bookmarkEnd w:id="2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441"/>
        <w:spacing w:after="0" w:line="257" w:lineRule="auto"/>
        <w:rPr>
          <w:sz w:val="20"/>
          <w:szCs w:val="20"/>
          <w:color w:val="auto"/>
        </w:rPr>
      </w:pPr>
      <w:r>
        <w:rPr>
          <w:rFonts w:ascii="Arial" w:cs="Arial" w:eastAsia="Arial" w:hAnsi="Arial"/>
          <w:sz w:val="18"/>
          <w:szCs w:val="18"/>
          <w:color w:val="auto"/>
        </w:rPr>
        <w:t>In January 2017, we paid Calithera an upfront license fee of $45.0 million and have agreed to pay potential development, regulatory and sales milestone payments of over $430.0 million if the profit share is in effect, or $750.0 million if the profit share terminates. In March 2017, Calithera earned a $12.0 million milestone payment from us for the achievement of pharmacokinetic and pharmacodynamics goals for CB-1158 which was recorded in research and development expense on our consolidated statement of operations.</w:t>
      </w:r>
    </w:p>
    <w:p>
      <w:pPr>
        <w:spacing w:after="0" w:line="188" w:lineRule="exact"/>
        <w:rPr>
          <w:sz w:val="20"/>
          <w:szCs w:val="20"/>
          <w:color w:val="auto"/>
        </w:rPr>
      </w:pPr>
    </w:p>
    <w:p>
      <w:pPr>
        <w:jc w:val="both"/>
        <w:ind w:firstLine="441"/>
        <w:spacing w:after="0" w:line="272" w:lineRule="auto"/>
        <w:rPr>
          <w:sz w:val="20"/>
          <w:szCs w:val="20"/>
          <w:color w:val="auto"/>
        </w:rPr>
      </w:pPr>
      <w:r>
        <w:rPr>
          <w:rFonts w:ascii="Arial" w:cs="Arial" w:eastAsia="Arial" w:hAnsi="Arial"/>
          <w:sz w:val="17"/>
          <w:szCs w:val="17"/>
          <w:color w:val="auto"/>
        </w:rPr>
        <w:t>The Calithera agreement will continue on a product-by-product and country-by-country basis for so long as we are developing or commercializing products in the United States (if the parties are sharing profits in the United States) and until we have no further royalty payment obligations, unless earlier terminated according to the terms of the agreement. The agreement may be terminated in its entirety or on a product-by-product and/or a country-by-country basis by us for convenience. The agreement may also be terminated by us for Calithera’s uncured material breach, by Calithera for our uncured material breach and by either party for bankruptcy or patent challenge. If the agreement is terminated early with respect to one or more products or countries, all rights in the terminated products and countries revert to Calithera.</w:t>
      </w:r>
    </w:p>
    <w:p>
      <w:pPr>
        <w:spacing w:after="0" w:line="17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addition, in January 2017, we entered into a Stock Purchase Agreement with Calithera for the purchase of 1.7 million common shares of Calithera for an aggregate purchase price of $8.0 million in cash, or $4.65 per share. We completed the purchase of the shares on January 30, 2017 when the closing price on The Nasdaq Stock Market was $6.75 per share. The shares we acquired were registered under the Securities Act of 1933 on the purchase date and there were no security specific restrictions for these shares, and therefore the value of the 1.7 million shares acquired by us was $11.6 million. We paid total consideration of $53.0 million to Calithera, composed of the $45.0 million upfront license fee and the $8.0 million stock purchase price. Of the $53.0 million, $11.6 million was allocated to our stock purchase in Calithera and was recorded within long term investments on the consolidated balance sheets and $41.4 million was allocated to research and development expense on the consolidated statement of operations during the six months ended June 30, 2017. The fair market value of our long term investment in Calithera at June 30, 2018 and December 31, 2017 was $8.6 million and $14.4 million, respectively.</w:t>
      </w:r>
    </w:p>
    <w:p>
      <w:pPr>
        <w:spacing w:after="0" w:line="183"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We have concluded Calithera is not a VIE because it has sufficient equity to finance its activities without additional subordinated financial support and its at-risk equity holders have the characteristics of a controlling financial interest. As of June 30, 2018, we owned approximately 5% of the outstanding shares of Calithera common stock and there are several other stockholders who hold larger positions of Calithera. We intend to hold the investment in Calithera for the foreseeable future, and thereby have classified the investment within long term investments on the accompanying condensed consolidated balance sheets. Under guidance implemented by ASU No. 2016-01, the investment is marked to market through earnings in each reporting period. Prior to implementation, the unrealized gains and losses on our investment in Calithera were recorded in accumulated other comprehensive income (loss). To adopt ASU No. 2016-01, the January 1, 2018 accumulated deficit balance decreased by $2.8 million to reflect these prior period unrealized gains. For the three and six months ended June 30, 2018 we recorded an unrealized loss of $2.2 million and $5.8 million, respectively, based on the changes in market price of Calithera’s common stock during these periods. For the three and six months ended June 30, 2017 we recorded unrealized gains of $5.7 million and $13.9 million, respectively, based on the changes in market price of Calithera’s common stock during these periods.</w:t>
      </w:r>
    </w:p>
    <w:p>
      <w:pPr>
        <w:spacing w:after="0" w:line="18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March 2017, Calithera earned a $12.0 million milestone payment from us for the achievement of pharmacokinetic and pharmacodynamics goals for CB-1158 which was recorded in research and development expense on our condensed consolidated statement of operations during the six months ended June 30, 2017. Research and development expenses for the three and six months ended June 30, 2018 also included $3.2 million and $5.8 million, respectively, of additional development costs incurred pursuant to the Calithera agreement. Research and development expenses for the three and six months ended June 30, 2017 also included $2.0 million and $3.6 million, respectively, of additional development costs incurred pursuant to the Calithera agreement. At June 30, 2018 and December 31, 2017, a total of $2.8 million and $0.9 million, respectively, of such costs were included in accrued and other liabilities on the condensed consolidated balance sheets.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MacroGenics</w:t>
      </w:r>
    </w:p>
    <w:p>
      <w:pPr>
        <w:spacing w:after="0" w:line="104"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In October 2017, we entered into a Global Collaboration and License Agreement with MacroGenics, Inc. Under this agreement, we received exclusive development and commercialization rights worldwide to MacroGenics’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8" w:name="page29"/>
    <w:bookmarkEnd w:id="2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INCMGA0012 (formerly MGA012), an investigational monoclonal antibody that inhibits PD-1. Except as set forth in the succeeding sentence, we will have sole authority over and bear all costs and expenses in connection with the development and commercialization of INCMGA0012 in all indications, whether as a monotherapy or as part of a combination regimen. MacroGenics has retained the right to develop and commercialize, at its cost and expense, its pipeline assets in combination with INCMGA0012. In addition, MacroGenics has the right to manufacture a portion of both companies’ global clinical and commercial supply needs of INCMGA0012. In December 2017, we paid MacroGenics an upfront payment of $150.0 million which was recorded in research and development expense on our consolidated statement of operations. MacroGenics will be eligible to receive up to $420.0 million in future contingent development and regulatory milestones and up to $330.0 million in commercial milestones as well as tiered royalties ranging from 15% to 24% of global net sales.</w:t>
      </w:r>
    </w:p>
    <w:p>
      <w:pPr>
        <w:spacing w:after="0" w:line="16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MacroGenics agreement will continue until we are no longer commercializing, developing or manufacturing INCMGA0012 or, if earlier, the termination of the agreement in accordance with its terms. The agreement may be terminated in its entirety or on a licensed product by licensed product basis by us for convenience. The agreement may also be terminated by either party under certain other circumstances, including material breach, as set forth in the agreement.</w:t>
      </w:r>
    </w:p>
    <w:p>
      <w:pPr>
        <w:spacing w:after="0" w:line="15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Research and development expenses for the three and six months ended June 30, 2018 also included $10.9 million and $17.4 million, respectively, of additional development costs incurred pursuant to the MacroGenics agreement. At June 30, 2018 and December 31, 2017, a total of $17.5 million and $1.1 million of such costs were included in accrued and other liabilities on the condensed consolidated balance sheets.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Syros</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January 2018, we entered into a target discovery, research collaboration and option agreement with Syros Pharmaceuticals, Inc. Under this agreement, Syros will use its proprietary gene control platform to identify novel therapeutic targets with a focus in myeloproliferative neoplasms and we have received options to obtain exclusive worldwide rights to intellectual property resulting from the collaboration for up to seven validated targets. We will have exclusive worldwide rights to develop and commercialize any therapies under the collaboration that modulate those validated targets. We have agreed to pay Syros up to $54.0 million in target selection and option exercise fees should we decide to exercise all of our options under the agreement. For products resulting from the collaboration against each of the seven selected and validated targets, we have agreed to pay up to $50.0 million in potential development and regulatory milestones and up to $65.0 million in potential commercial milestones. Syros is also eligible to receive low single-digit royalties on net sales of products resulting from the collaboration. In January 2018, we paid Syros an upfront non-refundable (except in the event of a material breach of the agreement by Syros) payment of $10.0 million, which was recorded in research and development expense during the six months ended June 30, 2018.</w:t>
      </w:r>
    </w:p>
    <w:p>
      <w:pPr>
        <w:spacing w:after="0" w:line="18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In addition, in January 2018, we entered into a Stock Purchase Agreement with Syros for the purchase of 0.8 million common shares of Syros for an aggregate purchase price of $10.0 million in cash, or $12.61 per share. We agreed to not sell or otherwise transfer any of our Syros shares for a period, referred to as the Lock-Up Period, of 12 months after the closing date of the sale. We completed the purchase of the shares on January 8, 2018 when the closing price on The Nasdaq Stock Market was $9.77 per share. The shares we acquired were not registered on the purchase date, and accordingly, we estimated a discount for lack of marketability on the shares of $0.1 million, which resulted in a net fair value of the shares on the issuance date of $7.6 million. Of the $10.0 million aggregate purchase price paid, $7.6 million was allocated to our stock purchase in Syros and was recorded within long term investments on the condensed consolidated balance sheet and $2.4 million, representing premium paid on the purchase, was allocated to research and development expense on the condensed consolidated statement of operations for the six months ended June 30, 2018. Also in January 2018, we entered into an Amended Stock Purchase Agreement with Syros for the purchase of an additional 0.1 million common shares of Syros for an aggregate purchase price of $1.4 million in cash, or $9.55 per share. The shares were acquired in February 2018 and the $1.4 million aggregate purchase price was recorded within long term investments on the condensed consolidated balance sheet. All acquired shares were subsequently registered under the Securities Act of 1933 in February 2018. The fair market value of our long term investment in Syros as of June 30, 2018 was $9.6 million.</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9" w:name="page30"/>
    <w:bookmarkEnd w:id="2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have concluded Syros is not a VIE because it has sufficient equity to finance its activities without additional subordinated financial support and its at-risk equity holders have the characteristics of a controlling financial interest. As of June 30, 2018, we owned approximately 3% of the outstanding shares of Syros common stock and there are several other stockholders who hold larger positions of Syros. As we do not hold a significant position of the voting shares of Syros and lack the qualitative characteristics associated with the ability to exercise significant influence, our ownership interest does not meet the criteria to be accounted for as an equity method investment. We intend to hold the investment in Syros for the foreseeable future and therefore, are accounting for our shares held in Syros at fair value under ASU No. 2016-01, and the investment is marked to market through earnings in each reporting period. Given our intent to hold the investment for the foreseeable future, we have classified the investment within long term investments on the accompanying condensed consolidated balance sheet. For the three and six months ended June 30, 2018, we recorded an unrealized loss of $2.6 million and an unrealized gain of $0.6 million, respectively, based on the changes in market price of Syros’ common stock from the date of purchase.</w:t>
      </w:r>
    </w:p>
    <w:p>
      <w:pPr>
        <w:spacing w:after="0" w:line="176" w:lineRule="exact"/>
        <w:rPr>
          <w:sz w:val="20"/>
          <w:szCs w:val="20"/>
          <w:color w:val="auto"/>
        </w:rPr>
      </w:pPr>
    </w:p>
    <w:p>
      <w:pPr>
        <w:ind w:left="460" w:hanging="457"/>
        <w:spacing w:after="0"/>
        <w:tabs>
          <w:tab w:leader="none" w:pos="4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Stock compensation</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recorded $36.6 million and $72.8 million of stock compensation expense on our condensed consolidated statements of operations for the three and six months ended June 30, 2018, respectively. We recorded $33.8 million and $64.4 million of stock compensation expense on our condensed consolidated statements of operations for the three and six months ended June 30, 2017, respectively. Stock compensation expense included within our condensed consolidated statements of operations included research and development expense of $24.8 million, $49.0 million, $22.9 million and $44.4 million for the three and six months ended June 30, 2018 and 2017, respectively. Stock compensation expense included within our condensed consolidated statements of operations also included selling, general and administrative expense of $11.8 million, $23.8 million, $10.9 million and $20.0 million for the three and six months ended June 30, 2018 and 2017, respectively.</w:t>
      </w:r>
    </w:p>
    <w:p>
      <w:pPr>
        <w:spacing w:after="0" w:line="18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utilized the Black-Scholes valuation model for estimating the fair value of the stock compensation granted, with the following weighted-average assumptions:</w:t>
      </w:r>
    </w:p>
    <w:p>
      <w:pPr>
        <w:sectPr>
          <w:pgSz w:w="11900" w:h="16838" w:orient="portrait"/>
          <w:cols w:equalWidth="0" w:num="1">
            <w:col w:w="9060"/>
          </w:cols>
          <w:pgMar w:left="1420" w:top="125" w:right="1419" w:bottom="1440" w:gutter="0" w:footer="0" w:header="0"/>
        </w:sectPr>
      </w:pPr>
    </w:p>
    <w:p>
      <w:pPr>
        <w:spacing w:after="0" w:line="176" w:lineRule="exact"/>
        <w:rPr>
          <w:sz w:val="20"/>
          <w:szCs w:val="20"/>
          <w:color w:val="auto"/>
        </w:rPr>
      </w:pPr>
    </w:p>
    <w:p>
      <w:pPr>
        <w:ind w:left="3280"/>
        <w:spacing w:after="0"/>
        <w:rPr>
          <w:sz w:val="20"/>
          <w:szCs w:val="20"/>
          <w:color w:val="auto"/>
        </w:rPr>
      </w:pPr>
      <w:r>
        <w:rPr>
          <w:rFonts w:ascii="Arial" w:cs="Arial" w:eastAsia="Arial" w:hAnsi="Arial"/>
          <w:sz w:val="14"/>
          <w:szCs w:val="14"/>
          <w:b w:val="1"/>
          <w:bCs w:val="1"/>
          <w:color w:val="auto"/>
        </w:rPr>
        <w:t>Employee Stock Options</w:t>
      </w:r>
    </w:p>
    <w:p>
      <w:pPr>
        <w:spacing w:after="0" w:line="10" w:lineRule="exact"/>
        <w:rPr>
          <w:sz w:val="20"/>
          <w:szCs w:val="20"/>
          <w:color w:val="auto"/>
        </w:rPr>
      </w:pPr>
    </w:p>
    <w:tbl>
      <w:tblPr>
        <w:tblLayout w:type="fixed"/>
        <w:tblInd w:w="2400" w:type="dxa"/>
        <w:tblCellMar>
          <w:top w:w="0" w:type="dxa"/>
          <w:left w:w="0" w:type="dxa"/>
          <w:bottom w:w="0" w:type="dxa"/>
          <w:right w:w="0" w:type="dxa"/>
        </w:tblCellMar>
      </w:tblPr>
      <w:tr>
        <w:trPr>
          <w:trHeight w:val="119"/>
        </w:trPr>
        <w:tc>
          <w:tcPr>
            <w:tcW w:w="540" w:type="dxa"/>
            <w:vAlign w:val="bottom"/>
            <w:tcBorders>
              <w:top w:val="single" w:sz="8" w:color="auto"/>
            </w:tcBorders>
            <w:vMerge w:val="restart"/>
          </w:tcPr>
          <w:p>
            <w:pPr>
              <w:jc w:val="right"/>
              <w:ind w:right="168"/>
              <w:spacing w:after="0"/>
              <w:rPr>
                <w:sz w:val="20"/>
                <w:szCs w:val="20"/>
                <w:color w:val="auto"/>
              </w:rPr>
            </w:pPr>
            <w:r>
              <w:rPr>
                <w:rFonts w:ascii="Arial" w:cs="Arial" w:eastAsia="Arial" w:hAnsi="Arial"/>
                <w:sz w:val="14"/>
                <w:szCs w:val="14"/>
                <w:b w:val="1"/>
                <w:bCs w:val="1"/>
                <w:color w:val="auto"/>
              </w:rPr>
              <w:t>the</w:t>
            </w:r>
          </w:p>
        </w:tc>
        <w:tc>
          <w:tcPr>
            <w:tcW w:w="1080" w:type="dxa"/>
            <w:vAlign w:val="bottom"/>
            <w:tcBorders>
              <w:top w:val="single" w:sz="8" w:color="auto"/>
            </w:tcBorders>
          </w:tcPr>
          <w:p>
            <w:pPr>
              <w:jc w:val="center"/>
              <w:ind w:right="469"/>
              <w:spacing w:after="0" w:line="119" w:lineRule="exact"/>
              <w:rPr>
                <w:sz w:val="20"/>
                <w:szCs w:val="20"/>
                <w:color w:val="auto"/>
              </w:rPr>
            </w:pPr>
            <w:r>
              <w:rPr>
                <w:rFonts w:ascii="Arial" w:cs="Arial" w:eastAsia="Arial" w:hAnsi="Arial"/>
                <w:sz w:val="13"/>
                <w:szCs w:val="13"/>
                <w:b w:val="1"/>
                <w:bCs w:val="1"/>
                <w:color w:val="auto"/>
              </w:rPr>
              <w:t>For</w:t>
            </w:r>
          </w:p>
        </w:tc>
        <w:tc>
          <w:tcPr>
            <w:tcW w:w="50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vMerge w:val="restart"/>
          </w:tcPr>
          <w:p>
            <w:pPr>
              <w:jc w:val="center"/>
              <w:ind w:right="408"/>
              <w:spacing w:after="0"/>
              <w:rPr>
                <w:sz w:val="20"/>
                <w:szCs w:val="20"/>
                <w:color w:val="auto"/>
              </w:rPr>
            </w:pPr>
            <w:r>
              <w:rPr>
                <w:rFonts w:ascii="Arial" w:cs="Arial" w:eastAsia="Arial" w:hAnsi="Arial"/>
                <w:sz w:val="14"/>
                <w:szCs w:val="14"/>
                <w:b w:val="1"/>
                <w:bCs w:val="1"/>
                <w:color w:val="auto"/>
                <w:w w:val="96"/>
              </w:rPr>
              <w:t>For the</w:t>
            </w:r>
          </w:p>
        </w:tc>
        <w:tc>
          <w:tcPr>
            <w:tcW w:w="0" w:type="dxa"/>
            <w:vAlign w:val="bottom"/>
          </w:tcPr>
          <w:p>
            <w:pPr>
              <w:spacing w:after="0"/>
              <w:rPr>
                <w:sz w:val="1"/>
                <w:szCs w:val="1"/>
                <w:color w:val="auto"/>
              </w:rPr>
            </w:pPr>
          </w:p>
        </w:tc>
      </w:tr>
      <w:tr>
        <w:trPr>
          <w:trHeight w:val="149"/>
        </w:trPr>
        <w:tc>
          <w:tcPr>
            <w:tcW w:w="540" w:type="dxa"/>
            <w:vAlign w:val="bottom"/>
            <w:vMerge w:val="continue"/>
          </w:tcPr>
          <w:p>
            <w:pPr>
              <w:spacing w:after="0"/>
              <w:rPr>
                <w:sz w:val="12"/>
                <w:szCs w:val="12"/>
                <w:color w:val="auto"/>
              </w:rPr>
            </w:pPr>
          </w:p>
        </w:tc>
        <w:tc>
          <w:tcPr>
            <w:tcW w:w="1080" w:type="dxa"/>
            <w:vAlign w:val="bottom"/>
          </w:tcPr>
          <w:p>
            <w:pPr>
              <w:jc w:val="right"/>
              <w:ind w:right="29"/>
              <w:spacing w:after="0" w:line="149" w:lineRule="exact"/>
              <w:rPr>
                <w:sz w:val="20"/>
                <w:szCs w:val="20"/>
                <w:color w:val="auto"/>
              </w:rPr>
            </w:pPr>
            <w:r>
              <w:rPr>
                <w:rFonts w:ascii="Arial" w:cs="Arial" w:eastAsia="Arial" w:hAnsi="Arial"/>
                <w:sz w:val="14"/>
                <w:szCs w:val="14"/>
                <w:b w:val="1"/>
                <w:bCs w:val="1"/>
                <w:color w:val="auto"/>
              </w:rPr>
              <w:t>Three</w:t>
            </w:r>
          </w:p>
        </w:tc>
        <w:tc>
          <w:tcPr>
            <w:tcW w:w="50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6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5"/>
              </w:rPr>
              <w:t>Months Ended</w:t>
            </w:r>
          </w:p>
        </w:tc>
        <w:tc>
          <w:tcPr>
            <w:tcW w:w="16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42"/>
        </w:trPr>
        <w:tc>
          <w:tcPr>
            <w:tcW w:w="54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gridSpan w:val="2"/>
          </w:tcPr>
          <w:p>
            <w:pPr>
              <w:jc w:val="right"/>
              <w:ind w:right="168"/>
              <w:spacing w:after="0" w:line="142" w:lineRule="exact"/>
              <w:rPr>
                <w:sz w:val="20"/>
                <w:szCs w:val="20"/>
                <w:color w:val="auto"/>
              </w:rPr>
            </w:pPr>
            <w:r>
              <w:rPr>
                <w:rFonts w:ascii="Arial" w:cs="Arial" w:eastAsia="Arial" w:hAnsi="Arial"/>
                <w:sz w:val="14"/>
                <w:szCs w:val="14"/>
                <w:b w:val="1"/>
                <w:bCs w:val="1"/>
                <w:color w:val="auto"/>
              </w:rPr>
              <w:t>June 30,</w:t>
            </w:r>
          </w:p>
        </w:tc>
        <w:tc>
          <w:tcPr>
            <w:tcW w:w="11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40" w:type="dxa"/>
            <w:vAlign w:val="bottom"/>
          </w:tcPr>
          <w:p>
            <w:pPr>
              <w:jc w:val="right"/>
              <w:ind w:right="88"/>
              <w:spacing w:after="0" w:line="142" w:lineRule="exact"/>
              <w:rPr>
                <w:sz w:val="20"/>
                <w:szCs w:val="20"/>
                <w:color w:val="auto"/>
              </w:rPr>
            </w:pPr>
            <w:r>
              <w:rPr>
                <w:rFonts w:ascii="Arial" w:cs="Arial" w:eastAsia="Arial" w:hAnsi="Arial"/>
                <w:sz w:val="14"/>
                <w:szCs w:val="14"/>
                <w:b w:val="1"/>
                <w:bCs w:val="1"/>
                <w:color w:val="auto"/>
              </w:rPr>
              <w:t>2018</w:t>
            </w:r>
          </w:p>
        </w:tc>
        <w:tc>
          <w:tcPr>
            <w:tcW w:w="1080" w:type="dxa"/>
            <w:vAlign w:val="bottom"/>
          </w:tcPr>
          <w:p>
            <w:pPr>
              <w:jc w:val="right"/>
              <w:ind w:right="329"/>
              <w:spacing w:after="0" w:line="142" w:lineRule="exact"/>
              <w:rPr>
                <w:sz w:val="20"/>
                <w:szCs w:val="20"/>
                <w:color w:val="auto"/>
              </w:rPr>
            </w:pPr>
            <w:r>
              <w:rPr>
                <w:rFonts w:ascii="Arial" w:cs="Arial" w:eastAsia="Arial" w:hAnsi="Arial"/>
                <w:sz w:val="14"/>
                <w:szCs w:val="14"/>
                <w:b w:val="1"/>
                <w:bCs w:val="1"/>
                <w:color w:val="auto"/>
              </w:rPr>
              <w:t>2017</w:t>
            </w:r>
          </w:p>
        </w:tc>
        <w:tc>
          <w:tcPr>
            <w:tcW w:w="500" w:type="dxa"/>
            <w:vAlign w:val="bottom"/>
          </w:tcPr>
          <w:p>
            <w:pPr>
              <w:jc w:val="right"/>
              <w:ind w:right="28"/>
              <w:spacing w:after="0" w:line="142" w:lineRule="exact"/>
              <w:rPr>
                <w:sz w:val="20"/>
                <w:szCs w:val="20"/>
                <w:color w:val="auto"/>
              </w:rPr>
            </w:pPr>
            <w:r>
              <w:rPr>
                <w:rFonts w:ascii="Arial" w:cs="Arial" w:eastAsia="Arial" w:hAnsi="Arial"/>
                <w:sz w:val="14"/>
                <w:szCs w:val="14"/>
                <w:b w:val="1"/>
                <w:bCs w:val="1"/>
                <w:color w:val="auto"/>
              </w:rPr>
              <w:t>2018</w:t>
            </w:r>
          </w:p>
        </w:tc>
        <w:tc>
          <w:tcPr>
            <w:tcW w:w="1140" w:type="dxa"/>
            <w:vAlign w:val="bottom"/>
          </w:tcPr>
          <w:p>
            <w:pPr>
              <w:jc w:val="right"/>
              <w:ind w:right="348"/>
              <w:spacing w:after="0" w:line="142" w:lineRule="exact"/>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-102235</wp:posOffset>
            </wp:positionV>
            <wp:extent cx="5720080" cy="1028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20080" cy="1028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jc w:val="center"/>
        <w:ind w:right="100"/>
        <w:spacing w:after="0"/>
        <w:rPr>
          <w:sz w:val="20"/>
          <w:szCs w:val="20"/>
          <w:color w:val="auto"/>
        </w:rPr>
      </w:pPr>
      <w:r>
        <w:rPr>
          <w:rFonts w:ascii="Arial" w:cs="Arial" w:eastAsia="Arial" w:hAnsi="Arial"/>
          <w:sz w:val="14"/>
          <w:szCs w:val="14"/>
          <w:b w:val="1"/>
          <w:bCs w:val="1"/>
          <w:color w:val="auto"/>
        </w:rPr>
        <w:t>Employee Stock Purchase Plan</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320" w:type="dxa"/>
            <w:vAlign w:val="bottom"/>
            <w:tcBorders>
              <w:top w:val="single" w:sz="8" w:color="auto"/>
            </w:tcBorders>
            <w:vMerge w:val="restart"/>
          </w:tcPr>
          <w:p>
            <w:pPr>
              <w:ind w:left="100"/>
              <w:spacing w:after="0"/>
              <w:rPr>
                <w:sz w:val="20"/>
                <w:szCs w:val="20"/>
                <w:color w:val="auto"/>
              </w:rPr>
            </w:pPr>
            <w:r>
              <w:rPr>
                <w:rFonts w:ascii="Arial" w:cs="Arial" w:eastAsia="Arial" w:hAnsi="Arial"/>
                <w:sz w:val="14"/>
                <w:szCs w:val="14"/>
                <w:b w:val="1"/>
                <w:bCs w:val="1"/>
                <w:color w:val="auto"/>
                <w:w w:val="95"/>
              </w:rPr>
              <w:t>the</w:t>
            </w:r>
          </w:p>
        </w:tc>
        <w:tc>
          <w:tcPr>
            <w:tcW w:w="1360" w:type="dxa"/>
            <w:vAlign w:val="bottom"/>
            <w:tcBorders>
              <w:top w:val="single" w:sz="8" w:color="auto"/>
            </w:tcBorders>
          </w:tcPr>
          <w:p>
            <w:pPr>
              <w:jc w:val="center"/>
              <w:ind w:right="310"/>
              <w:spacing w:after="0" w:line="119" w:lineRule="exact"/>
              <w:rPr>
                <w:sz w:val="20"/>
                <w:szCs w:val="20"/>
                <w:color w:val="auto"/>
              </w:rPr>
            </w:pPr>
            <w:r>
              <w:rPr>
                <w:rFonts w:ascii="Arial" w:cs="Arial" w:eastAsia="Arial" w:hAnsi="Arial"/>
                <w:sz w:val="13"/>
                <w:szCs w:val="13"/>
                <w:b w:val="1"/>
                <w:bCs w:val="1"/>
                <w:color w:val="auto"/>
              </w:rPr>
              <w:t>For</w:t>
            </w:r>
          </w:p>
        </w:tc>
        <w:tc>
          <w:tcPr>
            <w:tcW w:w="156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6"/>
              </w:rPr>
              <w:t>For the</w:t>
            </w:r>
          </w:p>
        </w:tc>
        <w:tc>
          <w:tcPr>
            <w:tcW w:w="0" w:type="dxa"/>
            <w:vAlign w:val="bottom"/>
          </w:tcPr>
          <w:p>
            <w:pPr>
              <w:spacing w:after="0"/>
              <w:rPr>
                <w:sz w:val="1"/>
                <w:szCs w:val="1"/>
                <w:color w:val="auto"/>
              </w:rPr>
            </w:pPr>
          </w:p>
        </w:tc>
      </w:tr>
      <w:tr>
        <w:trPr>
          <w:trHeight w:val="149"/>
        </w:trPr>
        <w:tc>
          <w:tcPr>
            <w:tcW w:w="320" w:type="dxa"/>
            <w:vAlign w:val="bottom"/>
            <w:vMerge w:val="continue"/>
          </w:tcPr>
          <w:p>
            <w:pPr>
              <w:spacing w:after="0"/>
              <w:rPr>
                <w:sz w:val="12"/>
                <w:szCs w:val="12"/>
                <w:color w:val="auto"/>
              </w:rPr>
            </w:pPr>
          </w:p>
        </w:tc>
        <w:tc>
          <w:tcPr>
            <w:tcW w:w="1360" w:type="dxa"/>
            <w:vAlign w:val="bottom"/>
          </w:tcPr>
          <w:p>
            <w:pPr>
              <w:ind w:left="820"/>
              <w:spacing w:after="0" w:line="149" w:lineRule="exact"/>
              <w:rPr>
                <w:sz w:val="20"/>
                <w:szCs w:val="20"/>
                <w:color w:val="auto"/>
              </w:rPr>
            </w:pPr>
            <w:r>
              <w:rPr>
                <w:rFonts w:ascii="Arial" w:cs="Arial" w:eastAsia="Arial" w:hAnsi="Arial"/>
                <w:sz w:val="14"/>
                <w:szCs w:val="14"/>
                <w:b w:val="1"/>
                <w:bCs w:val="1"/>
                <w:color w:val="auto"/>
              </w:rPr>
              <w:t>Three</w:t>
            </w:r>
          </w:p>
        </w:tc>
        <w:tc>
          <w:tcPr>
            <w:tcW w:w="1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20" w:type="dxa"/>
            <w:vAlign w:val="bottom"/>
          </w:tcPr>
          <w:p>
            <w:pPr>
              <w:spacing w:after="0"/>
              <w:rPr>
                <w:sz w:val="15"/>
                <w:szCs w:val="15"/>
                <w:color w:val="auto"/>
              </w:rPr>
            </w:pPr>
          </w:p>
        </w:tc>
        <w:tc>
          <w:tcPr>
            <w:tcW w:w="1360" w:type="dxa"/>
            <w:vAlign w:val="bottom"/>
          </w:tcPr>
          <w:p>
            <w:pPr>
              <w:jc w:val="center"/>
              <w:ind w:right="310"/>
              <w:spacing w:after="0"/>
              <w:rPr>
                <w:sz w:val="20"/>
                <w:szCs w:val="20"/>
                <w:color w:val="auto"/>
              </w:rPr>
            </w:pPr>
            <w:r>
              <w:rPr>
                <w:rFonts w:ascii="Arial" w:cs="Arial" w:eastAsia="Arial" w:hAnsi="Arial"/>
                <w:sz w:val="14"/>
                <w:szCs w:val="14"/>
                <w:b w:val="1"/>
                <w:bCs w:val="1"/>
                <w:color w:val="auto"/>
                <w:w w:val="93"/>
              </w:rPr>
              <w:t>Months Ended</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wp:posOffset>
            </wp:positionV>
            <wp:extent cx="205803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058035" cy="8890"/>
                    </a:xfrm>
                    <a:prstGeom prst="rect">
                      <a:avLst/>
                    </a:prstGeom>
                    <a:noFill/>
                  </pic:spPr>
                </pic:pic>
              </a:graphicData>
            </a:graphic>
          </wp:anchor>
        </w:drawing>
      </w:r>
    </w:p>
    <w:p>
      <w:pPr>
        <w:jc w:val="center"/>
        <w:ind w:right="100"/>
        <w:spacing w:after="0"/>
        <w:rPr>
          <w:sz w:val="20"/>
          <w:szCs w:val="20"/>
          <w:color w:val="auto"/>
        </w:rPr>
      </w:pPr>
      <w:r>
        <w:rPr>
          <w:rFonts w:ascii="Arial" w:cs="Arial" w:eastAsia="Arial" w:hAnsi="Arial"/>
          <w:sz w:val="14"/>
          <w:szCs w:val="14"/>
          <w:b w:val="1"/>
          <w:bCs w:val="1"/>
          <w:color w:val="auto"/>
        </w:rPr>
        <w:t>June 30,</w:t>
      </w:r>
    </w:p>
    <w:p>
      <w:pPr>
        <w:ind w:left="80"/>
        <w:spacing w:after="0"/>
        <w:tabs>
          <w:tab w:leader="none" w:pos="880" w:val="left"/>
          <w:tab w:leader="none" w:pos="1680" w:val="left"/>
          <w:tab w:leader="none" w:pos="250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2018</w:t>
      </w:r>
      <w:r>
        <w:rPr>
          <w:sz w:val="20"/>
          <w:szCs w:val="20"/>
          <w:color w:val="auto"/>
        </w:rPr>
        <w:tab/>
      </w:r>
      <w:r>
        <w:rPr>
          <w:rFonts w:ascii="Arial" w:cs="Arial" w:eastAsia="Arial" w:hAnsi="Arial"/>
          <w:sz w:val="12"/>
          <w:szCs w:val="12"/>
          <w:b w:val="1"/>
          <w:bCs w:val="1"/>
          <w:color w:val="auto"/>
        </w:rPr>
        <w:t>2017</w:t>
      </w:r>
    </w:p>
    <w:p>
      <w:pPr>
        <w:spacing w:after="0" w:line="20" w:lineRule="exact"/>
        <w:rPr>
          <w:sz w:val="20"/>
          <w:szCs w:val="20"/>
          <w:color w:val="auto"/>
        </w:rPr>
      </w:pPr>
    </w:p>
    <w:p>
      <w:pPr>
        <w:sectPr>
          <w:pgSz w:w="11900" w:h="16838" w:orient="portrait"/>
          <w:cols w:equalWidth="0" w:num="2">
            <w:col w:w="5660" w:space="60"/>
            <w:col w:w="3340"/>
          </w:cols>
          <w:pgMar w:left="1420" w:top="125" w:right="141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24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0"/>
        </w:trPr>
        <w:tc>
          <w:tcPr>
            <w:tcW w:w="2400" w:type="dxa"/>
            <w:vAlign w:val="bottom"/>
          </w:tcPr>
          <w:p>
            <w:pPr>
              <w:spacing w:after="0" w:line="189" w:lineRule="exact"/>
              <w:rPr>
                <w:sz w:val="20"/>
                <w:szCs w:val="20"/>
                <w:color w:val="auto"/>
              </w:rPr>
            </w:pPr>
            <w:r>
              <w:rPr>
                <w:rFonts w:ascii="Arial" w:cs="Arial" w:eastAsia="Arial" w:hAnsi="Arial"/>
                <w:sz w:val="18"/>
                <w:szCs w:val="18"/>
                <w:color w:val="auto"/>
                <w:w w:val="96"/>
              </w:rPr>
              <w:t>Average risk-free interest rates</w:t>
            </w:r>
          </w:p>
        </w:tc>
        <w:tc>
          <w:tcPr>
            <w:tcW w:w="84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2.71 %</w:t>
            </w:r>
          </w:p>
        </w:tc>
        <w:tc>
          <w:tcPr>
            <w:tcW w:w="800" w:type="dxa"/>
            <w:vAlign w:val="bottom"/>
            <w:gridSpan w:val="2"/>
          </w:tcPr>
          <w:p>
            <w:pPr>
              <w:jc w:val="right"/>
              <w:ind w:right="180"/>
              <w:spacing w:after="0" w:line="189" w:lineRule="exact"/>
              <w:rPr>
                <w:sz w:val="20"/>
                <w:szCs w:val="20"/>
                <w:color w:val="auto"/>
              </w:rPr>
            </w:pPr>
            <w:r>
              <w:rPr>
                <w:rFonts w:ascii="Arial" w:cs="Arial" w:eastAsia="Arial" w:hAnsi="Arial"/>
                <w:sz w:val="18"/>
                <w:szCs w:val="18"/>
                <w:color w:val="auto"/>
              </w:rPr>
              <w:t>1.56 %</w:t>
            </w:r>
          </w:p>
        </w:tc>
        <w:tc>
          <w:tcPr>
            <w:tcW w:w="820" w:type="dxa"/>
            <w:vAlign w:val="bottom"/>
            <w:gridSpan w:val="2"/>
          </w:tcPr>
          <w:p>
            <w:pPr>
              <w:jc w:val="right"/>
              <w:ind w:right="200"/>
              <w:spacing w:after="0" w:line="189" w:lineRule="exact"/>
              <w:rPr>
                <w:sz w:val="20"/>
                <w:szCs w:val="20"/>
                <w:color w:val="auto"/>
              </w:rPr>
            </w:pPr>
            <w:r>
              <w:rPr>
                <w:rFonts w:ascii="Arial" w:cs="Arial" w:eastAsia="Arial" w:hAnsi="Arial"/>
                <w:sz w:val="18"/>
                <w:szCs w:val="18"/>
                <w:color w:val="auto"/>
              </w:rPr>
              <w:t>2.47 %</w:t>
            </w:r>
          </w:p>
        </w:tc>
        <w:tc>
          <w:tcPr>
            <w:tcW w:w="860" w:type="dxa"/>
            <w:vAlign w:val="bottom"/>
            <w:gridSpan w:val="2"/>
          </w:tcPr>
          <w:p>
            <w:pPr>
              <w:jc w:val="right"/>
              <w:ind w:right="240"/>
              <w:spacing w:after="0" w:line="189" w:lineRule="exact"/>
              <w:rPr>
                <w:sz w:val="20"/>
                <w:szCs w:val="20"/>
                <w:color w:val="auto"/>
              </w:rPr>
            </w:pPr>
            <w:r>
              <w:rPr>
                <w:rFonts w:ascii="Arial" w:cs="Arial" w:eastAsia="Arial" w:hAnsi="Arial"/>
                <w:sz w:val="18"/>
                <w:szCs w:val="18"/>
                <w:color w:val="auto"/>
              </w:rPr>
              <w:t>1.79 %</w:t>
            </w:r>
          </w:p>
        </w:tc>
        <w:tc>
          <w:tcPr>
            <w:tcW w:w="800" w:type="dxa"/>
            <w:vAlign w:val="bottom"/>
            <w:gridSpan w:val="2"/>
          </w:tcPr>
          <w:p>
            <w:pPr>
              <w:jc w:val="right"/>
              <w:ind w:right="180"/>
              <w:spacing w:after="0" w:line="189" w:lineRule="exact"/>
              <w:rPr>
                <w:sz w:val="20"/>
                <w:szCs w:val="20"/>
                <w:color w:val="auto"/>
              </w:rPr>
            </w:pPr>
            <w:r>
              <w:rPr>
                <w:rFonts w:ascii="Arial" w:cs="Arial" w:eastAsia="Arial" w:hAnsi="Arial"/>
                <w:sz w:val="18"/>
                <w:szCs w:val="18"/>
                <w:color w:val="auto"/>
              </w:rPr>
              <w:t>2.52 %</w:t>
            </w:r>
          </w:p>
        </w:tc>
        <w:tc>
          <w:tcPr>
            <w:tcW w:w="820" w:type="dxa"/>
            <w:vAlign w:val="bottom"/>
            <w:gridSpan w:val="2"/>
          </w:tcPr>
          <w:p>
            <w:pPr>
              <w:jc w:val="right"/>
              <w:ind w:right="200"/>
              <w:spacing w:after="0" w:line="189" w:lineRule="exact"/>
              <w:rPr>
                <w:sz w:val="20"/>
                <w:szCs w:val="20"/>
                <w:color w:val="auto"/>
              </w:rPr>
            </w:pPr>
            <w:r>
              <w:rPr>
                <w:rFonts w:ascii="Arial" w:cs="Arial" w:eastAsia="Arial" w:hAnsi="Arial"/>
                <w:sz w:val="18"/>
                <w:szCs w:val="18"/>
                <w:color w:val="auto"/>
              </w:rPr>
              <w:t>1.38 %</w:t>
            </w:r>
          </w:p>
        </w:tc>
        <w:tc>
          <w:tcPr>
            <w:tcW w:w="800" w:type="dxa"/>
            <w:vAlign w:val="bottom"/>
            <w:gridSpan w:val="2"/>
          </w:tcPr>
          <w:p>
            <w:pPr>
              <w:jc w:val="right"/>
              <w:ind w:right="180"/>
              <w:spacing w:after="0" w:line="189" w:lineRule="exact"/>
              <w:rPr>
                <w:sz w:val="20"/>
                <w:szCs w:val="20"/>
                <w:color w:val="auto"/>
              </w:rPr>
            </w:pPr>
            <w:r>
              <w:rPr>
                <w:rFonts w:ascii="Arial" w:cs="Arial" w:eastAsia="Arial" w:hAnsi="Arial"/>
                <w:sz w:val="18"/>
                <w:szCs w:val="18"/>
                <w:color w:val="auto"/>
              </w:rPr>
              <w:t>2.50 %</w:t>
            </w:r>
          </w:p>
        </w:tc>
        <w:tc>
          <w:tcPr>
            <w:tcW w:w="880" w:type="dxa"/>
            <w:vAlign w:val="bottom"/>
            <w:gridSpan w:val="2"/>
          </w:tcPr>
          <w:p>
            <w:pPr>
              <w:jc w:val="right"/>
              <w:ind w:right="260"/>
              <w:spacing w:after="0" w:line="189" w:lineRule="exact"/>
              <w:rPr>
                <w:sz w:val="20"/>
                <w:szCs w:val="20"/>
                <w:color w:val="auto"/>
              </w:rPr>
            </w:pPr>
            <w:r>
              <w:rPr>
                <w:rFonts w:ascii="Arial" w:cs="Arial" w:eastAsia="Arial" w:hAnsi="Arial"/>
                <w:sz w:val="18"/>
                <w:szCs w:val="18"/>
                <w:color w:val="auto"/>
              </w:rPr>
              <w:t>1.31 %</w:t>
            </w:r>
          </w:p>
        </w:tc>
      </w:tr>
      <w:tr>
        <w:trPr>
          <w:trHeight w:val="216"/>
        </w:trPr>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w w:val="94"/>
              </w:rPr>
              <w:t>Average expected life (in years)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400" w:type="dxa"/>
            <w:vAlign w:val="bottom"/>
            <w:shd w:val="clear" w:color="auto" w:fill="CCEEFF"/>
          </w:tcPr>
          <w:p>
            <w:pPr>
              <w:spacing w:after="0"/>
              <w:rPr>
                <w:sz w:val="18"/>
                <w:szCs w:val="18"/>
                <w:color w:val="auto"/>
              </w:rPr>
            </w:pPr>
          </w:p>
        </w:tc>
      </w:tr>
      <w:tr>
        <w:trPr>
          <w:trHeight w:val="216"/>
        </w:trPr>
        <w:tc>
          <w:tcPr>
            <w:tcW w:w="2400" w:type="dxa"/>
            <w:vAlign w:val="bottom"/>
          </w:tcPr>
          <w:p>
            <w:pPr>
              <w:spacing w:after="0"/>
              <w:rPr>
                <w:sz w:val="20"/>
                <w:szCs w:val="20"/>
                <w:color w:val="auto"/>
              </w:rPr>
            </w:pPr>
            <w:r>
              <w:rPr>
                <w:rFonts w:ascii="Arial" w:cs="Arial" w:eastAsia="Arial" w:hAnsi="Arial"/>
                <w:sz w:val="18"/>
                <w:szCs w:val="18"/>
                <w:color w:val="auto"/>
              </w:rPr>
              <w:t>Volatility</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46 %</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50 %</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45 %</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49 %</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30 %</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42 %</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51 %</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42 %</w:t>
            </w:r>
          </w:p>
        </w:tc>
      </w:tr>
      <w:tr>
        <w:trPr>
          <w:trHeight w:val="202"/>
        </w:trPr>
        <w:tc>
          <w:tcPr>
            <w:tcW w:w="2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Weighted-average fair value (in</w:t>
            </w:r>
          </w:p>
        </w:tc>
        <w:tc>
          <w:tcPr>
            <w:tcW w:w="4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r>
      <w:tr>
        <w:trPr>
          <w:trHeight w:val="230"/>
        </w:trPr>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dollars)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28.65</w:t>
            </w:r>
          </w:p>
        </w:tc>
        <w:tc>
          <w:tcPr>
            <w:tcW w:w="38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60.44</w:t>
            </w:r>
          </w:p>
        </w:tc>
        <w:tc>
          <w:tcPr>
            <w:tcW w:w="34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39.47</w:t>
            </w:r>
          </w:p>
        </w:tc>
        <w:tc>
          <w:tcPr>
            <w:tcW w:w="34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52.87</w:t>
            </w:r>
          </w:p>
        </w:tc>
        <w:tc>
          <w:tcPr>
            <w:tcW w:w="40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12.11</w:t>
            </w:r>
          </w:p>
        </w:tc>
        <w:tc>
          <w:tcPr>
            <w:tcW w:w="34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17.55</w:t>
            </w:r>
          </w:p>
        </w:tc>
        <w:tc>
          <w:tcPr>
            <w:tcW w:w="34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16.25</w:t>
            </w:r>
          </w:p>
        </w:tc>
        <w:tc>
          <w:tcPr>
            <w:tcW w:w="34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18.80</w:t>
            </w:r>
          </w:p>
        </w:tc>
        <w:tc>
          <w:tcPr>
            <w:tcW w:w="400" w:type="dxa"/>
            <w:vAlign w:val="bottom"/>
            <w:shd w:val="clear" w:color="auto" w:fill="CCEEFF"/>
          </w:tcPr>
          <w:p>
            <w:pPr>
              <w:spacing w:after="0"/>
              <w:rPr>
                <w:sz w:val="20"/>
                <w:szCs w:val="20"/>
                <w:color w:val="auto"/>
              </w:rPr>
            </w:pPr>
          </w:p>
        </w:tc>
      </w:tr>
    </w:tbl>
    <w:p>
      <w:pPr>
        <w:spacing w:after="0" w:line="16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risk-free interest rate is derived from the U.S. Federal Reserve rate in effect at the time of grant. The expected life calculation is based on the observed and expected time to the exercise of options by our employees based on historical exercise patterns for similar type options. Expected volatility is based on the historical volatility of our common stock over the period commensurate with the expected life of the options. A dividend yield of zero is assumed based on the fact that we have never paid cash dividends and have no present intention to pay cash dividends.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type w:val="continuous"/>
        </w:sectPr>
      </w:pPr>
    </w:p>
    <w:bookmarkStart w:id="30" w:name="page31"/>
    <w:bookmarkEnd w:id="3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Option activity under the 2010 Stock Plan was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2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89"/>
              </w:rPr>
              <w:t>Shares Subject to</w:t>
            </w:r>
          </w:p>
        </w:tc>
        <w:tc>
          <w:tcPr>
            <w:tcW w:w="0" w:type="dxa"/>
            <w:vAlign w:val="bottom"/>
          </w:tcPr>
          <w:p>
            <w:pPr>
              <w:spacing w:after="0"/>
              <w:rPr>
                <w:sz w:val="1"/>
                <w:szCs w:val="1"/>
                <w:color w:val="auto"/>
              </w:rPr>
            </w:pPr>
          </w:p>
        </w:tc>
      </w:tr>
      <w:tr>
        <w:trPr>
          <w:trHeight w:val="171"/>
        </w:trPr>
        <w:tc>
          <w:tcPr>
            <w:tcW w:w="5520" w:type="dxa"/>
            <w:vAlign w:val="bottom"/>
          </w:tcPr>
          <w:p>
            <w:pPr>
              <w:spacing w:after="0"/>
              <w:rPr>
                <w:sz w:val="14"/>
                <w:szCs w:val="14"/>
                <w:color w:val="auto"/>
              </w:rPr>
            </w:pPr>
          </w:p>
        </w:tc>
        <w:tc>
          <w:tcPr>
            <w:tcW w:w="12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Shares Available</w:t>
            </w:r>
          </w:p>
        </w:tc>
        <w:tc>
          <w:tcPr>
            <w:tcW w:w="232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93"/>
              </w:rPr>
              <w:t>Outstanding Options</w:t>
            </w:r>
          </w:p>
        </w:tc>
        <w:tc>
          <w:tcPr>
            <w:tcW w:w="0" w:type="dxa"/>
            <w:vAlign w:val="bottom"/>
          </w:tcPr>
          <w:p>
            <w:pPr>
              <w:spacing w:after="0"/>
              <w:rPr>
                <w:sz w:val="1"/>
                <w:szCs w:val="1"/>
                <w:color w:val="auto"/>
              </w:rPr>
            </w:pPr>
          </w:p>
        </w:tc>
      </w:tr>
      <w:tr>
        <w:trPr>
          <w:trHeight w:val="119"/>
        </w:trPr>
        <w:tc>
          <w:tcPr>
            <w:tcW w:w="5520" w:type="dxa"/>
            <w:vAlign w:val="bottom"/>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1080" w:type="dxa"/>
            <w:vAlign w:val="bottom"/>
            <w:tcBorders>
              <w:top w:val="single" w:sz="8" w:color="auto"/>
            </w:tcBorders>
            <w:gridSpan w:val="2"/>
            <w:vMerge w:val="restart"/>
          </w:tcPr>
          <w:p>
            <w:pPr>
              <w:ind w:left="260"/>
              <w:spacing w:after="0"/>
              <w:rPr>
                <w:sz w:val="20"/>
                <w:szCs w:val="20"/>
                <w:color w:val="auto"/>
              </w:rPr>
            </w:pPr>
            <w:r>
              <w:rPr>
                <w:rFonts w:ascii="Arial" w:cs="Arial" w:eastAsia="Arial" w:hAnsi="Arial"/>
                <w:sz w:val="14"/>
                <w:szCs w:val="14"/>
                <w:b w:val="1"/>
                <w:bCs w:val="1"/>
                <w:color w:val="auto"/>
              </w:rPr>
              <w:t>Shares</w:t>
            </w:r>
          </w:p>
        </w:tc>
        <w:tc>
          <w:tcPr>
            <w:tcW w:w="118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w w:val="96"/>
              </w:rPr>
              <w:t>Weighted Average</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520" w:type="dxa"/>
            <w:vAlign w:val="bottom"/>
          </w:tcPr>
          <w:p>
            <w:pPr>
              <w:spacing w:after="0"/>
              <w:rPr>
                <w:sz w:val="14"/>
                <w:szCs w:val="14"/>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for Grant</w:t>
            </w:r>
          </w:p>
        </w:tc>
        <w:tc>
          <w:tcPr>
            <w:tcW w:w="10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Exercise Price</w:t>
            </w:r>
          </w:p>
        </w:tc>
        <w:tc>
          <w:tcPr>
            <w:tcW w:w="0" w:type="dxa"/>
            <w:vAlign w:val="bottom"/>
          </w:tcPr>
          <w:p>
            <w:pPr>
              <w:spacing w:after="0"/>
              <w:rPr>
                <w:sz w:val="1"/>
                <w:szCs w:val="1"/>
                <w:color w:val="auto"/>
              </w:rPr>
            </w:pPr>
          </w:p>
        </w:tc>
      </w:tr>
      <w:tr>
        <w:trPr>
          <w:trHeight w:val="210"/>
        </w:trPr>
        <w:tc>
          <w:tcPr>
            <w:tcW w:w="5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2017</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3,909,701</w:t>
            </w:r>
          </w:p>
        </w:tc>
        <w:tc>
          <w:tcPr>
            <w:tcW w:w="1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11,206,553</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68.36</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Additional authorization</w:t>
            </w:r>
          </w:p>
        </w:tc>
        <w:tc>
          <w:tcPr>
            <w:tcW w:w="1080" w:type="dxa"/>
            <w:vAlign w:val="bottom"/>
          </w:tcPr>
          <w:p>
            <w:pPr>
              <w:jc w:val="right"/>
              <w:spacing w:after="0"/>
              <w:rPr>
                <w:sz w:val="20"/>
                <w:szCs w:val="20"/>
                <w:color w:val="auto"/>
              </w:rPr>
            </w:pPr>
            <w:r>
              <w:rPr>
                <w:rFonts w:ascii="Arial" w:cs="Arial" w:eastAsia="Arial" w:hAnsi="Arial"/>
                <w:sz w:val="18"/>
                <w:szCs w:val="18"/>
                <w:color w:val="auto"/>
              </w:rPr>
              <w:t>5,000,000</w:t>
            </w:r>
          </w:p>
        </w:tc>
        <w:tc>
          <w:tcPr>
            <w:tcW w:w="1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Options granted</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(1,565,286)</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1,565,286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Options exercised</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(844,619)</w:t>
            </w:r>
          </w:p>
        </w:tc>
        <w:tc>
          <w:tcPr>
            <w:tcW w:w="1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22.03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Options cancelled</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244,146</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(244,146)</w:t>
            </w:r>
          </w:p>
        </w:tc>
        <w:tc>
          <w:tcPr>
            <w:tcW w:w="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520" w:type="dxa"/>
            <w:vAlign w:val="bottom"/>
          </w:tcPr>
          <w:p>
            <w:pPr>
              <w:spacing w:after="0"/>
              <w:rPr>
                <w:sz w:val="20"/>
                <w:szCs w:val="20"/>
                <w:color w:val="auto"/>
              </w:rPr>
            </w:pPr>
            <w:r>
              <w:rPr>
                <w:rFonts w:ascii="Arial" w:cs="Arial" w:eastAsia="Arial" w:hAnsi="Arial"/>
                <w:sz w:val="18"/>
                <w:szCs w:val="18"/>
                <w:color w:val="auto"/>
              </w:rPr>
              <w:t>Balance at June 30, 2018</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7,588,561</w:t>
            </w:r>
          </w:p>
        </w:tc>
        <w:tc>
          <w:tcPr>
            <w:tcW w:w="14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11,683,074</w:t>
            </w:r>
          </w:p>
        </w:tc>
        <w:tc>
          <w:tcPr>
            <w:tcW w:w="140" w:type="dxa"/>
            <w:vAlign w:val="bottom"/>
          </w:tcPr>
          <w:p>
            <w:pPr>
              <w:spacing w:after="0"/>
              <w:rPr>
                <w:sz w:val="18"/>
                <w:szCs w:val="18"/>
                <w:color w:val="auto"/>
              </w:rPr>
            </w:pPr>
          </w:p>
        </w:tc>
        <w:tc>
          <w:tcPr>
            <w:tcW w:w="1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73.89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July 2016, we revised the terms of our annual stock option grants to provide that new option grants would generally have a 10-year term and vest over four years, with 25% vesting after one year and the remainder vesting in 36 equal monthly installments. Previously, our option grants generally had 7-year terms and vested over three years, with 33% vesting after one year and the remainder vesting in 24 equal monthly installments.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RSU award and PSU activity under the 2010 Stock Plan was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40" w:type="dxa"/>
            <w:vAlign w:val="bottom"/>
          </w:tcPr>
          <w:p>
            <w:pPr>
              <w:spacing w:after="0"/>
              <w:rPr>
                <w:sz w:val="14"/>
                <w:szCs w:val="14"/>
                <w:color w:val="auto"/>
              </w:rPr>
            </w:pPr>
          </w:p>
        </w:tc>
        <w:tc>
          <w:tcPr>
            <w:tcW w:w="126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9"/>
              </w:rPr>
              <w:t>Shares Available</w:t>
            </w:r>
          </w:p>
        </w:tc>
        <w:tc>
          <w:tcPr>
            <w:tcW w:w="2160" w:type="dxa"/>
            <w:vAlign w:val="bottom"/>
            <w:gridSpan w:val="6"/>
          </w:tcPr>
          <w:p>
            <w:pPr>
              <w:jc w:val="center"/>
              <w:ind w:right="40"/>
              <w:spacing w:after="0"/>
              <w:rPr>
                <w:sz w:val="20"/>
                <w:szCs w:val="20"/>
                <w:color w:val="auto"/>
              </w:rPr>
            </w:pPr>
            <w:r>
              <w:rPr>
                <w:rFonts w:ascii="Arial" w:cs="Arial" w:eastAsia="Arial" w:hAnsi="Arial"/>
                <w:sz w:val="14"/>
                <w:szCs w:val="14"/>
                <w:b w:val="1"/>
                <w:bCs w:val="1"/>
                <w:color w:val="auto"/>
                <w:w w:val="91"/>
              </w:rPr>
              <w:t>Shares Subject to</w:t>
            </w:r>
          </w:p>
        </w:tc>
        <w:tc>
          <w:tcPr>
            <w:tcW w:w="0" w:type="dxa"/>
            <w:vAlign w:val="bottom"/>
          </w:tcPr>
          <w:p>
            <w:pPr>
              <w:spacing w:after="0"/>
              <w:rPr>
                <w:sz w:val="1"/>
                <w:szCs w:val="1"/>
                <w:color w:val="auto"/>
              </w:rPr>
            </w:pPr>
          </w:p>
        </w:tc>
      </w:tr>
      <w:tr>
        <w:trPr>
          <w:trHeight w:val="171"/>
        </w:trPr>
        <w:tc>
          <w:tcPr>
            <w:tcW w:w="564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2160" w:type="dxa"/>
            <w:vAlign w:val="bottom"/>
            <w:gridSpan w:val="6"/>
          </w:tcPr>
          <w:p>
            <w:pPr>
              <w:jc w:val="center"/>
              <w:ind w:right="40"/>
              <w:spacing w:after="0"/>
              <w:rPr>
                <w:sz w:val="20"/>
                <w:szCs w:val="20"/>
                <w:color w:val="auto"/>
              </w:rPr>
            </w:pPr>
            <w:r>
              <w:rPr>
                <w:rFonts w:ascii="Arial" w:cs="Arial" w:eastAsia="Arial" w:hAnsi="Arial"/>
                <w:sz w:val="14"/>
                <w:szCs w:val="14"/>
                <w:b w:val="1"/>
                <w:bCs w:val="1"/>
                <w:color w:val="auto"/>
                <w:w w:val="93"/>
              </w:rPr>
              <w:t>Outstanding Awards</w:t>
            </w:r>
          </w:p>
        </w:tc>
        <w:tc>
          <w:tcPr>
            <w:tcW w:w="0" w:type="dxa"/>
            <w:vAlign w:val="bottom"/>
          </w:tcPr>
          <w:p>
            <w:pPr>
              <w:spacing w:after="0"/>
              <w:rPr>
                <w:sz w:val="1"/>
                <w:szCs w:val="1"/>
                <w:color w:val="auto"/>
              </w:rPr>
            </w:pPr>
          </w:p>
        </w:tc>
      </w:tr>
      <w:tr>
        <w:trPr>
          <w:trHeight w:val="142"/>
        </w:trPr>
        <w:tc>
          <w:tcPr>
            <w:tcW w:w="5640" w:type="dxa"/>
            <w:vAlign w:val="bottom"/>
          </w:tcPr>
          <w:p>
            <w:pPr>
              <w:spacing w:after="0"/>
              <w:rPr>
                <w:sz w:val="12"/>
                <w:szCs w:val="12"/>
                <w:color w:val="auto"/>
              </w:rPr>
            </w:pPr>
          </w:p>
        </w:tc>
        <w:tc>
          <w:tcPr>
            <w:tcW w:w="1260" w:type="dxa"/>
            <w:vAlign w:val="bottom"/>
            <w:gridSpan w:val="2"/>
          </w:tcPr>
          <w:p>
            <w:pPr>
              <w:jc w:val="center"/>
              <w:ind w:right="180"/>
              <w:spacing w:after="0" w:line="142" w:lineRule="exact"/>
              <w:rPr>
                <w:sz w:val="20"/>
                <w:szCs w:val="20"/>
                <w:color w:val="auto"/>
              </w:rPr>
            </w:pPr>
            <w:r>
              <w:rPr>
                <w:rFonts w:ascii="Arial" w:cs="Arial" w:eastAsia="Arial" w:hAnsi="Arial"/>
                <w:sz w:val="14"/>
                <w:szCs w:val="14"/>
                <w:b w:val="1"/>
                <w:bCs w:val="1"/>
                <w:color w:val="auto"/>
              </w:rPr>
              <w:t>for Grant</w:t>
            </w:r>
          </w:p>
        </w:tc>
        <w:tc>
          <w:tcPr>
            <w:tcW w:w="920" w:type="dxa"/>
            <w:vAlign w:val="bottom"/>
            <w:tcBorders>
              <w:top w:val="single" w:sz="8" w:color="auto"/>
            </w:tcBorders>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rPr>
              <w:t>Shares</w:t>
            </w:r>
          </w:p>
        </w:tc>
        <w:tc>
          <w:tcPr>
            <w:tcW w:w="8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5"/>
              </w:rPr>
              <w:t>Grant Date Value</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2017</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769,202</w:t>
            </w:r>
          </w:p>
        </w:tc>
        <w:tc>
          <w:tcPr>
            <w:tcW w:w="1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1,178,660</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98.88</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Additional authorization</w:t>
            </w:r>
          </w:p>
        </w:tc>
        <w:tc>
          <w:tcPr>
            <w:tcW w:w="1080" w:type="dxa"/>
            <w:vAlign w:val="bottom"/>
          </w:tcPr>
          <w:p>
            <w:pPr>
              <w:jc w:val="right"/>
              <w:spacing w:after="0"/>
              <w:rPr>
                <w:sz w:val="20"/>
                <w:szCs w:val="20"/>
                <w:color w:val="auto"/>
              </w:rPr>
            </w:pPr>
            <w:r>
              <w:rPr>
                <w:rFonts w:ascii="Arial" w:cs="Arial" w:eastAsia="Arial" w:hAnsi="Arial"/>
                <w:sz w:val="18"/>
                <w:szCs w:val="18"/>
                <w:color w:val="auto"/>
              </w:rPr>
              <w:t>1,000,000</w:t>
            </w:r>
          </w:p>
        </w:tc>
        <w:tc>
          <w:tcPr>
            <w:tcW w:w="1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RSUs granted</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(322,593)</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322,593</w:t>
            </w: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67"/>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PSUs granted</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(446,500)</w:t>
            </w:r>
          </w:p>
        </w:tc>
        <w:tc>
          <w:tcPr>
            <w:tcW w:w="840" w:type="dxa"/>
            <w:vAlign w:val="bottom"/>
          </w:tcPr>
          <w:p>
            <w:pPr>
              <w:jc w:val="right"/>
              <w:spacing w:after="0"/>
              <w:rPr>
                <w:sz w:val="20"/>
                <w:szCs w:val="20"/>
                <w:color w:val="auto"/>
              </w:rPr>
            </w:pPr>
            <w:r>
              <w:rPr>
                <w:rFonts w:ascii="Arial" w:cs="Arial" w:eastAsia="Arial" w:hAnsi="Arial"/>
                <w:sz w:val="18"/>
                <w:szCs w:val="18"/>
                <w:color w:val="auto"/>
              </w:rPr>
              <w:t>446,500</w:t>
            </w:r>
          </w:p>
        </w:tc>
        <w:tc>
          <w:tcPr>
            <w:tcW w:w="80" w:type="dxa"/>
            <w:vAlign w:val="bottom"/>
          </w:tcPr>
          <w:p>
            <w:pPr>
              <w:spacing w:after="0"/>
              <w:rPr>
                <w:sz w:val="18"/>
                <w:szCs w:val="18"/>
                <w:color w:val="auto"/>
              </w:rPr>
            </w:pPr>
          </w:p>
        </w:tc>
        <w:tc>
          <w:tcPr>
            <w:tcW w:w="400" w:type="dxa"/>
            <w:vAlign w:val="bottom"/>
            <w:gridSpan w:val="2"/>
          </w:tcPr>
          <w:p>
            <w:pPr>
              <w:jc w:val="right"/>
              <w:ind w:right="167"/>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65.76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RSUs cancelled</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43,588</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(43,588)</w:t>
            </w:r>
          </w:p>
        </w:tc>
        <w:tc>
          <w:tcPr>
            <w:tcW w:w="400" w:type="dxa"/>
            <w:vAlign w:val="bottom"/>
            <w:gridSpan w:val="2"/>
            <w:shd w:val="clear" w:color="auto" w:fill="CCEEFF"/>
          </w:tcPr>
          <w:p>
            <w:pPr>
              <w:jc w:val="right"/>
              <w:ind w:right="167"/>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RSUs released</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(176,590)</w:t>
            </w:r>
          </w:p>
        </w:tc>
        <w:tc>
          <w:tcPr>
            <w:tcW w:w="400" w:type="dxa"/>
            <w:vAlign w:val="bottom"/>
            <w:gridSpan w:val="2"/>
          </w:tcPr>
          <w:p>
            <w:pPr>
              <w:jc w:val="right"/>
              <w:ind w:right="167"/>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81.70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6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June 30, 2018</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1,043,697</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1,727,575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CCEEFF"/>
              <w:bottom w:val="single" w:sz="8" w:color="CCEEFF"/>
            </w:tcBorders>
            <w:gridSpan w:val="2"/>
            <w:shd w:val="clear" w:color="auto" w:fill="CCEEFF"/>
          </w:tcPr>
          <w:p>
            <w:pPr>
              <w:jc w:val="right"/>
              <w:ind w:right="167"/>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87.29</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January 2014, we began granting RSUs and PSUs to our employees at the share price on the date of grant. Each RSU represents the right to acquire one share of our common stock. Each RSU granted prior to July 2016 was subject to cliff vesting after three years. In July 2016, we revised the terms of our RSU grants to provide that the awards will vest 25% annually over four years.</w:t>
      </w:r>
    </w:p>
    <w:p>
      <w:pPr>
        <w:spacing w:after="0" w:line="18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Also, in January 2014, Hervé Hoppenot, our President and Chief Executive Officer, was granted a one-time grant of 400,000 RSUs outside of our 2010 Stock Incentive Plan. Vesting of the RSUs will be subject to Mr. Hoppenot’s continued employment on the applicable vesting dates, with one-sixth of the RSUs vesting at the end of each of the calendar years 2014 through 2019, subject to earlier acceleration of vesting upon the occurrence of certain events in accordance with the terms of his employment agreement. As of June 30, 2018, a cumulative total of 266,667 RSUs granted to Mr. Hoppenot had vested and were released, leaving 133,333 RSUs outstanding.</w:t>
      </w:r>
    </w:p>
    <w:p>
      <w:pPr>
        <w:spacing w:after="0" w:line="17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June 2018, we granted 190,000 RSUs and 446,500 PSUs under long term incentive plans with performance and service-based milestones with graded and cliff vesting over three to four years. For one of the long term incentive plans, under which 106,500 PSUs were granted, the actual number of shares of our common stock into which each PSU may convert are subject to a multiplier of up to 267% based on the level at which the performance conditions are achieved. Compensation expense for the performance-based awards is recorded over the estimated service period for each milestone when the performance conditions are deemed probable of achievement. For the period ended June 30, 2018, the performance conditions were not deemed probable of achievement, therefore the stock compensation expense recorded during the period was for service-based awards.</w:t>
      </w:r>
    </w:p>
    <w:p>
      <w:pPr>
        <w:spacing w:after="0" w:line="17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Based on our historical experience of employee turnover, we have assumed an annualized forfeiture rate of 5% for our options, RSUs and PSUs. Under the true-up provisions of the stock compensation guidance, we will record</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1" w:name="page32"/>
    <w:bookmarkEnd w:id="3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additional expense if the actual forfeiture rate is lower than we estimated, and will record a recovery of prior expense if the actual forfeiture is higher than we estimated.</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Total compensation cost of options granted but not yet vested, as of June 30, 2018, was $100.5 million, which is expected to be recognized over the weighted average period of approximately 1.6 years. Total compensation cost of RSUs granted but not yet vested, as of June 30, 2018, was $53.9 million, which is expected to be recognized over the weighted average period of approximately 1.5 years. Total compensation cost of PSUs granted but not yet vested, as of June 30, 2018, was $26.7 million, which will begin to be recognized should the performance conditions be deemed probable of achievement.</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share activity:</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60" w:type="dxa"/>
            <w:vAlign w:val="bottom"/>
          </w:tcPr>
          <w:p>
            <w:pPr>
              <w:spacing w:after="0"/>
              <w:rPr>
                <w:sz w:val="14"/>
                <w:szCs w:val="14"/>
                <w:color w:val="auto"/>
              </w:rPr>
            </w:pPr>
          </w:p>
        </w:tc>
        <w:tc>
          <w:tcPr>
            <w:tcW w:w="15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8"/>
              </w:rPr>
              <w:t>Shares Issued</w:t>
            </w:r>
          </w:p>
        </w:tc>
      </w:tr>
      <w:tr>
        <w:trPr>
          <w:trHeight w:val="171"/>
        </w:trPr>
        <w:tc>
          <w:tcPr>
            <w:tcW w:w="7560" w:type="dxa"/>
            <w:vAlign w:val="bottom"/>
          </w:tcPr>
          <w:p>
            <w:pPr>
              <w:spacing w:after="0"/>
              <w:rPr>
                <w:sz w:val="14"/>
                <w:szCs w:val="14"/>
                <w:color w:val="auto"/>
              </w:rPr>
            </w:pPr>
          </w:p>
        </w:tc>
        <w:tc>
          <w:tcPr>
            <w:tcW w:w="15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and Outstanding</w:t>
            </w:r>
          </w:p>
        </w:tc>
      </w:tr>
      <w:tr>
        <w:trPr>
          <w:trHeight w:val="210"/>
        </w:trPr>
        <w:tc>
          <w:tcPr>
            <w:tcW w:w="7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2017</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211,262,906</w:t>
            </w:r>
          </w:p>
        </w:tc>
        <w:tc>
          <w:tcPr>
            <w:tcW w:w="140" w:type="dxa"/>
            <w:vAlign w:val="bottom"/>
            <w:tcBorders>
              <w:top w:val="single" w:sz="8" w:color="CCEEFF"/>
            </w:tcBorders>
            <w:shd w:val="clear" w:color="auto" w:fill="CCEEFF"/>
          </w:tcPr>
          <w:p>
            <w:pPr>
              <w:spacing w:after="0"/>
              <w:rPr>
                <w:sz w:val="18"/>
                <w:szCs w:val="18"/>
                <w:color w:val="auto"/>
              </w:rPr>
            </w:pP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Exercise of stock options and issuance under ESPP</w:t>
            </w:r>
          </w:p>
        </w:tc>
        <w:tc>
          <w:tcPr>
            <w:tcW w:w="1360" w:type="dxa"/>
            <w:vAlign w:val="bottom"/>
          </w:tcPr>
          <w:p>
            <w:pPr>
              <w:jc w:val="right"/>
              <w:spacing w:after="0"/>
              <w:rPr>
                <w:sz w:val="20"/>
                <w:szCs w:val="20"/>
                <w:color w:val="auto"/>
              </w:rPr>
            </w:pPr>
            <w:r>
              <w:rPr>
                <w:rFonts w:ascii="Arial" w:cs="Arial" w:eastAsia="Arial" w:hAnsi="Arial"/>
                <w:sz w:val="18"/>
                <w:szCs w:val="18"/>
                <w:color w:val="auto"/>
              </w:rPr>
              <w:t>997,470</w:t>
            </w:r>
          </w:p>
        </w:tc>
        <w:tc>
          <w:tcPr>
            <w:tcW w:w="140" w:type="dxa"/>
            <w:vAlign w:val="bottom"/>
          </w:tcPr>
          <w:p>
            <w:pPr>
              <w:spacing w:after="0"/>
              <w:rPr>
                <w:sz w:val="18"/>
                <w:szCs w:val="18"/>
                <w:color w:val="auto"/>
              </w:rPr>
            </w:pPr>
          </w:p>
        </w:tc>
      </w:tr>
      <w:tr>
        <w:trPr>
          <w:trHeight w:val="216"/>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Settlement of employee restricted stock units</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148,199</w:t>
            </w:r>
          </w:p>
        </w:tc>
        <w:tc>
          <w:tcPr>
            <w:tcW w:w="140" w:type="dxa"/>
            <w:vAlign w:val="bottom"/>
            <w:shd w:val="clear" w:color="auto" w:fill="CCEEFF"/>
          </w:tcPr>
          <w:p>
            <w:pPr>
              <w:spacing w:after="0"/>
              <w:rPr>
                <w:sz w:val="18"/>
                <w:szCs w:val="18"/>
                <w:color w:val="auto"/>
              </w:rPr>
            </w:pPr>
          </w:p>
        </w:tc>
      </w:tr>
      <w:tr>
        <w:trPr>
          <w:trHeight w:val="216"/>
        </w:trPr>
        <w:tc>
          <w:tcPr>
            <w:tcW w:w="75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Conversion of convertible senior notes</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w:t>
            </w:r>
          </w:p>
        </w:tc>
        <w:tc>
          <w:tcPr>
            <w:tcW w:w="140" w:type="dxa"/>
            <w:vAlign w:val="bottom"/>
            <w:tcBorders>
              <w:bottom w:val="single" w:sz="8" w:color="CCEEFF"/>
            </w:tcBorders>
          </w:tcPr>
          <w:p>
            <w:pPr>
              <w:spacing w:after="0"/>
              <w:rPr>
                <w:sz w:val="18"/>
                <w:szCs w:val="18"/>
                <w:color w:val="auto"/>
              </w:rPr>
            </w:pPr>
          </w:p>
        </w:tc>
      </w:tr>
      <w:tr>
        <w:trPr>
          <w:trHeight w:val="217"/>
        </w:trPr>
        <w:tc>
          <w:tcPr>
            <w:tcW w:w="7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June 30, 2018</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212,409,152</w:t>
            </w:r>
          </w:p>
        </w:tc>
        <w:tc>
          <w:tcPr>
            <w:tcW w:w="140" w:type="dxa"/>
            <w:vAlign w:val="bottom"/>
            <w:tcBorders>
              <w:bottom w:val="single" w:sz="8" w:color="CCEEFF"/>
            </w:tcBorders>
            <w:shd w:val="clear" w:color="auto" w:fill="CCEEFF"/>
          </w:tcPr>
          <w:p>
            <w:pPr>
              <w:spacing w:after="0"/>
              <w:rPr>
                <w:sz w:val="18"/>
                <w:szCs w:val="18"/>
                <w:color w:val="auto"/>
              </w:rPr>
            </w:pPr>
          </w:p>
        </w:tc>
      </w:tr>
    </w:tbl>
    <w:p>
      <w:pPr>
        <w:spacing w:after="0" w:line="225" w:lineRule="exact"/>
        <w:rPr>
          <w:sz w:val="20"/>
          <w:szCs w:val="20"/>
          <w:color w:val="auto"/>
        </w:rPr>
      </w:pPr>
    </w:p>
    <w:p>
      <w:pPr>
        <w:ind w:left="440" w:hanging="437"/>
        <w:spacing w:after="0"/>
        <w:tabs>
          <w:tab w:leader="none" w:pos="4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the convertible notes are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vMerge w:val="restart"/>
          </w:tcPr>
          <w:p>
            <w:pPr>
              <w:jc w:val="right"/>
              <w:ind w:right="210"/>
              <w:spacing w:after="0"/>
              <w:rPr>
                <w:sz w:val="20"/>
                <w:szCs w:val="20"/>
                <w:color w:val="auto"/>
              </w:rPr>
            </w:pPr>
            <w:r>
              <w:rPr>
                <w:rFonts w:ascii="Arial" w:cs="Arial" w:eastAsia="Arial" w:hAnsi="Arial"/>
                <w:sz w:val="14"/>
                <w:szCs w:val="14"/>
                <w:b w:val="1"/>
                <w:bCs w:val="1"/>
                <w:color w:val="auto"/>
                <w:w w:val="97"/>
              </w:rPr>
              <w:t>Interest Rates</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rPr>
              <w:t>Carrying Amount,</w:t>
            </w:r>
          </w:p>
        </w:tc>
        <w:tc>
          <w:tcPr>
            <w:tcW w:w="0" w:type="dxa"/>
            <w:vAlign w:val="bottom"/>
          </w:tcPr>
          <w:p>
            <w:pPr>
              <w:spacing w:after="0"/>
              <w:rPr>
                <w:sz w:val="1"/>
                <w:szCs w:val="1"/>
                <w:color w:val="auto"/>
              </w:rPr>
            </w:pPr>
          </w:p>
        </w:tc>
      </w:tr>
      <w:tr>
        <w:trPr>
          <w:trHeight w:val="119"/>
        </w:trPr>
        <w:tc>
          <w:tcPr>
            <w:tcW w:w="52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Debt</w:t>
            </w:r>
          </w:p>
        </w:tc>
        <w:tc>
          <w:tcPr>
            <w:tcW w:w="1220" w:type="dxa"/>
            <w:vAlign w:val="bottom"/>
            <w:gridSpan w:val="2"/>
            <w:vMerge w:val="continue"/>
          </w:tcPr>
          <w:p>
            <w:pPr>
              <w:spacing w:after="0"/>
              <w:rPr>
                <w:sz w:val="10"/>
                <w:szCs w:val="10"/>
                <w:color w:val="auto"/>
              </w:rPr>
            </w:pPr>
          </w:p>
        </w:tc>
        <w:tc>
          <w:tcPr>
            <w:tcW w:w="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Maturities</w:t>
            </w:r>
          </w:p>
        </w:tc>
        <w:tc>
          <w:tcPr>
            <w:tcW w:w="1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June 30,</w:t>
            </w:r>
          </w:p>
        </w:tc>
        <w:tc>
          <w:tcPr>
            <w:tcW w:w="86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9"/>
              </w:rPr>
              <w:t>December 31,</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260" w:type="dxa"/>
            <w:vAlign w:val="bottom"/>
            <w:gridSpan w:val="2"/>
            <w:vMerge w:val="continue"/>
          </w:tcPr>
          <w:p>
            <w:pPr>
              <w:spacing w:after="0"/>
              <w:rPr>
                <w:sz w:val="14"/>
                <w:szCs w:val="14"/>
                <w:color w:val="auto"/>
              </w:rPr>
            </w:pPr>
          </w:p>
        </w:tc>
        <w:tc>
          <w:tcPr>
            <w:tcW w:w="1220" w:type="dxa"/>
            <w:vAlign w:val="bottom"/>
            <w:gridSpan w:val="2"/>
          </w:tcPr>
          <w:p>
            <w:pPr>
              <w:jc w:val="right"/>
              <w:ind w:right="230"/>
              <w:spacing w:after="0"/>
              <w:rPr>
                <w:sz w:val="20"/>
                <w:szCs w:val="20"/>
                <w:color w:val="auto"/>
              </w:rPr>
            </w:pPr>
            <w:r>
              <w:rPr>
                <w:rFonts w:ascii="Arial" w:cs="Arial" w:eastAsia="Arial" w:hAnsi="Arial"/>
                <w:sz w:val="14"/>
                <w:szCs w:val="14"/>
                <w:b w:val="1"/>
                <w:bCs w:val="1"/>
                <w:color w:val="auto"/>
                <w:w w:val="96"/>
              </w:rPr>
              <w:t>June 30, 2018</w:t>
            </w:r>
          </w:p>
        </w:tc>
        <w:tc>
          <w:tcPr>
            <w:tcW w:w="8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117"/>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213"/>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0.375% Convertible Senior Notes due 2018</w:t>
            </w:r>
          </w:p>
        </w:tc>
        <w:tc>
          <w:tcPr>
            <w:tcW w:w="1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0.375</w:t>
            </w:r>
          </w:p>
        </w:tc>
        <w:tc>
          <w:tcPr>
            <w:tcW w:w="26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2018</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7,554</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7,393</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1.25% Convertible Senior Notes due 2020</w:t>
            </w:r>
          </w:p>
        </w:tc>
        <w:tc>
          <w:tcPr>
            <w:tcW w:w="1220" w:type="dxa"/>
            <w:vAlign w:val="bottom"/>
            <w:tcBorders>
              <w:bottom w:val="single" w:sz="8" w:color="CCEEFF"/>
            </w:tcBorders>
            <w:gridSpan w:val="2"/>
          </w:tcPr>
          <w:p>
            <w:pPr>
              <w:jc w:val="right"/>
              <w:ind w:right="10"/>
              <w:spacing w:after="0"/>
              <w:rPr>
                <w:sz w:val="20"/>
                <w:szCs w:val="20"/>
                <w:color w:val="auto"/>
              </w:rPr>
            </w:pPr>
            <w:r>
              <w:rPr>
                <w:rFonts w:ascii="Arial" w:cs="Arial" w:eastAsia="Arial" w:hAnsi="Arial"/>
                <w:sz w:val="18"/>
                <w:szCs w:val="18"/>
                <w:color w:val="auto"/>
              </w:rPr>
              <w:t>1.25 %</w:t>
            </w:r>
          </w:p>
        </w:tc>
        <w:tc>
          <w:tcPr>
            <w:tcW w:w="6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2020</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17,016</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16,608</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24,570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Less current portion</w:t>
            </w:r>
          </w:p>
        </w:tc>
        <w:tc>
          <w:tcPr>
            <w:tcW w:w="96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7,554</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7,393</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17,016</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16,608</w:t>
            </w:r>
          </w:p>
        </w:tc>
        <w:tc>
          <w:tcPr>
            <w:tcW w:w="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carrying amount and fair value of our convertible notes are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jc w:val="right"/>
              <w:ind w:right="310"/>
              <w:spacing w:after="0"/>
              <w:rPr>
                <w:sz w:val="20"/>
                <w:szCs w:val="20"/>
                <w:color w:val="auto"/>
              </w:rPr>
            </w:pPr>
            <w:r>
              <w:rPr>
                <w:rFonts w:ascii="Arial" w:cs="Arial" w:eastAsia="Arial" w:hAnsi="Arial"/>
                <w:sz w:val="14"/>
                <w:szCs w:val="14"/>
                <w:b w:val="1"/>
                <w:bCs w:val="1"/>
                <w:color w:val="auto"/>
              </w:rPr>
              <w:t>June 30, 2018</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5"/>
          </w:tcPr>
          <w:p>
            <w:pPr>
              <w:jc w:val="right"/>
              <w:ind w:right="170"/>
              <w:spacing w:after="0"/>
              <w:rPr>
                <w:sz w:val="20"/>
                <w:szCs w:val="20"/>
                <w:color w:val="auto"/>
              </w:rPr>
            </w:pPr>
            <w:r>
              <w:rPr>
                <w:rFonts w:ascii="Arial" w:cs="Arial" w:eastAsia="Arial" w:hAnsi="Arial"/>
                <w:sz w:val="14"/>
                <w:szCs w:val="14"/>
                <w:b w:val="1"/>
                <w:bCs w:val="1"/>
                <w:color w:val="auto"/>
              </w:rPr>
              <w:t>December 31, 2017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3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880" w:type="dxa"/>
            <w:vAlign w:val="bottom"/>
            <w:gridSpan w:val="3"/>
          </w:tcPr>
          <w:p>
            <w:pPr>
              <w:jc w:val="center"/>
              <w:ind w:right="160"/>
              <w:spacing w:after="0" w:line="119" w:lineRule="exact"/>
              <w:rPr>
                <w:sz w:val="20"/>
                <w:szCs w:val="20"/>
                <w:color w:val="auto"/>
              </w:rPr>
            </w:pPr>
            <w:r>
              <w:rPr>
                <w:rFonts w:ascii="Arial" w:cs="Arial" w:eastAsia="Arial" w:hAnsi="Arial"/>
                <w:sz w:val="13"/>
                <w:szCs w:val="13"/>
                <w:b w:val="1"/>
                <w:bCs w:val="1"/>
                <w:color w:val="auto"/>
              </w:rPr>
              <w:t>Carrying</w:t>
            </w:r>
          </w:p>
        </w:tc>
        <w:tc>
          <w:tcPr>
            <w:tcW w:w="900" w:type="dxa"/>
            <w:vAlign w:val="bottom"/>
            <w:gridSpan w:val="3"/>
            <w:vMerge w:val="restart"/>
          </w:tcPr>
          <w:p>
            <w:pPr>
              <w:jc w:val="right"/>
              <w:ind w:right="200"/>
              <w:spacing w:after="0"/>
              <w:rPr>
                <w:sz w:val="20"/>
                <w:szCs w:val="20"/>
                <w:color w:val="auto"/>
              </w:rPr>
            </w:pPr>
            <w:r>
              <w:rPr>
                <w:rFonts w:ascii="Arial" w:cs="Arial" w:eastAsia="Arial" w:hAnsi="Arial"/>
                <w:sz w:val="14"/>
                <w:szCs w:val="14"/>
                <w:b w:val="1"/>
                <w:bCs w:val="1"/>
                <w:color w:val="auto"/>
              </w:rPr>
              <w:t>Fair Value</w:t>
            </w:r>
          </w:p>
        </w:tc>
        <w:tc>
          <w:tcPr>
            <w:tcW w:w="880" w:type="dxa"/>
            <w:vAlign w:val="bottom"/>
            <w:gridSpan w:val="3"/>
          </w:tcPr>
          <w:p>
            <w:pPr>
              <w:jc w:val="center"/>
              <w:ind w:right="140"/>
              <w:spacing w:after="0" w:line="119" w:lineRule="exact"/>
              <w:rPr>
                <w:sz w:val="20"/>
                <w:szCs w:val="20"/>
                <w:color w:val="auto"/>
              </w:rPr>
            </w:pPr>
            <w:r>
              <w:rPr>
                <w:rFonts w:ascii="Arial" w:cs="Arial" w:eastAsia="Arial" w:hAnsi="Arial"/>
                <w:sz w:val="13"/>
                <w:szCs w:val="13"/>
                <w:b w:val="1"/>
                <w:bCs w:val="1"/>
                <w:color w:val="auto"/>
              </w:rPr>
              <w:t>Carrying</w:t>
            </w:r>
          </w:p>
        </w:tc>
        <w:tc>
          <w:tcPr>
            <w:tcW w:w="20" w:type="dxa"/>
            <w:vAlign w:val="bottom"/>
          </w:tcPr>
          <w:p>
            <w:pPr>
              <w:spacing w:after="0"/>
              <w:rPr>
                <w:sz w:val="10"/>
                <w:szCs w:val="10"/>
                <w:color w:val="auto"/>
              </w:rPr>
            </w:pPr>
          </w:p>
        </w:tc>
        <w:tc>
          <w:tcPr>
            <w:tcW w:w="8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4340" w:type="dxa"/>
            <w:vAlign w:val="bottom"/>
            <w:vMerge w:val="restart"/>
          </w:tcPr>
          <w:p>
            <w:pPr>
              <w:spacing w:after="0"/>
              <w:rPr>
                <w:sz w:val="20"/>
                <w:szCs w:val="20"/>
                <w:color w:val="auto"/>
              </w:rPr>
            </w:pPr>
            <w:r>
              <w:rPr>
                <w:rFonts w:ascii="Arial" w:cs="Arial" w:eastAsia="Arial" w:hAnsi="Arial"/>
                <w:sz w:val="18"/>
                <w:szCs w:val="18"/>
                <w:color w:val="auto"/>
              </w:rPr>
              <w:t>0.375% Convertible Senior Notes due 2018</w:t>
            </w: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Amount</w:t>
            </w:r>
          </w:p>
        </w:tc>
        <w:tc>
          <w:tcPr>
            <w:tcW w:w="90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Amount</w:t>
            </w:r>
          </w:p>
        </w:tc>
        <w:tc>
          <w:tcPr>
            <w:tcW w:w="20" w:type="dxa"/>
            <w:vAlign w:val="bottom"/>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340" w:type="dxa"/>
            <w:vAlign w:val="bottom"/>
            <w:vMerge w:val="continue"/>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7,554</w:t>
            </w:r>
          </w:p>
        </w:tc>
        <w:tc>
          <w:tcPr>
            <w:tcW w:w="14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10,137</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7,393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14,129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1.25% Convertible Senior Notes due 2020</w:t>
            </w:r>
          </w:p>
        </w:tc>
        <w:tc>
          <w:tcPr>
            <w:tcW w:w="1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17,016</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26,138</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16,608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35,431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24,570</w:t>
            </w:r>
          </w:p>
        </w:tc>
        <w:tc>
          <w:tcPr>
            <w:tcW w:w="1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36,275</w:t>
            </w: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24,001</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49,560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fair values of the 0.375% Convertible Senior Notes due 2018 (the “2018 Notes”) and the 1.25% Convertible Senior Notes due 2020 (the “2020 Notes”) are based on data from readily available pricing sources which utilize market observable inputs and other characteristics for similar types of instruments, and, therefore, these convertible senior notes are classified within Level 2 in the fair value hierarchy.</w:t>
      </w:r>
    </w:p>
    <w:p>
      <w:pPr>
        <w:spacing w:after="0" w:line="18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Prior to May 14, 2014, the 2018 Notes and 2020 Notes were not convertible except in connection with a make-whole fundamental change, as defined in the respective indentures. Beginning on, and including, May 15, 2014, the 2018 and 2020 Notes are convertible prior to the close of business on the business day immediately preceding May 15, 2018, in the case of the 2018 Notes, and May 15, 2020, in the case of the 2020 Notes, only under the following circumstances: (i) during any calendar quarter commencing after the calendar quarter ending on March 31, 2014 (and only during such calendar quarter), if the last reported sale price of our common stock for at least 20 trading days (whether or not consecutive) during a period of 30 consecutive trading days ending on the last trading day of the immediately preceding calendar quarter is greater than or equal to 130% of the conversion price for the 2018 Notes or 2020 Notes, as applicable,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2" w:name="page33"/>
    <w:bookmarkEnd w:id="3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each applicable trading day; (ii) during the five business day period after any five consecutive trading day period (the “measurement period”) in which the trading price per $1,000 principal amount of 2018 Notes or 2020 Notes, as applicable, for each trading day of the measurement period was less than 98% of the product of the last reported sale price of our common stock and the conversion rate for the 2018 Notes or 2020 Notes, as applicable, on each such trading day; or (iii) upon the occurrence of specified corporate events. On or after May 15, 2018, in the case of the 2018 Notes, and May 15, 2020, in the case of the 2020 Notes, until the close of business on the second scheduled trading day immediately preceding the relevant maturity date, the Notes are convertible at any time, regardless of the foregoing circumstances. Upon conversion we will pay or deliver, as the case may be, cash, shares of common stock or a combination of cash and shares of common stock, at our election.</w:t>
      </w:r>
    </w:p>
    <w:p>
      <w:pPr>
        <w:spacing w:after="0" w:line="19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On July 1, 2018, the 2020 Notes became convertible through at least September 30, 2018, based on meeting the conversion criteria related to the sale price of our common stock during the calendar quarter ended June 30, 2018 as described in (i) above. The 2018 Notes will mature in November 2018, and accordingly, are classified in short term liabilities on the condensed consolidated balance sheet as of June 30, 2018. The 2020 Notes are reflected in long term liabilities on the condensed consolidated balance sheet as of June 30, 2018 as management’s intent is to settle any conversions of the 2020 Notes during this period in shares of our common stock.</w:t>
      </w:r>
    </w:p>
    <w:p>
      <w:pPr>
        <w:spacing w:after="0" w:line="17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During the six months ended June 30, 2017, we entered into separately negotiated agreements with certain holders of the 2018 Notes pursuant to which such holders agreed to exchange a total of $367.2 million in aggregate principal amount of the 2018 Notes for the shares of our common stock into which the 2018 Notes were originally convertible, aggregating 7.1 million shares, an additional 0.1 million of premium shares (equivalent to $12.6 million in value) and $2.0 million in cash. Similarly we entered into separately negotiated agreements with certain holders of the 2020 Notes pursuant to which such holders agreed to exchange a total of $355.6 million in aggregate principal amount of the 2020 Notes for the shares of our common stock into which the 2020 Notes were originally convertible, aggregating 6.9 million shares, an additional 0.2 million of premium shares (equivalent to $26.8 million in value) and $7.0 million in cash. Included in the agreements were those with entities affiliated with Julian C. Baker, one of our directors, which agreed to exchange $259.0 million in aggregate principal amount of the 2018 Notes and $274.5 million in aggregate principal amount of the 2020 Notes for an aggregate of 10.6 million shares.</w:t>
      </w:r>
    </w:p>
    <w:p>
      <w:pPr>
        <w:spacing w:after="0" w:line="18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Pursuant to the guidance within ASC 470-20-40-20, we measured the difference between the fair value and carrying value of the liability portions of the 2018 Notes and 2020 Notes, which resulted in recording expense related to senior note conversions of $1.4 million related to the 2018 Notes and $5.1 million related to the 2020 Notes. The estimated fair value of the debt component was determined using a valuation model which is subject to judgement. Assumptions used within the valuation model include an estimated credit rating and an estimated market-based cost of debt. These assumptions were used to perform a discounted cash flow analysis on the future interest and principal payments to determine the estimated fair value of the debt at inducement.</w:t>
      </w:r>
    </w:p>
    <w:p>
      <w:pPr>
        <w:spacing w:after="0" w:line="18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addition, the fair value of the premium shares issued pursuant to these agreements as well as the cash paid in connection with the agreements totaled $48.4 million and is also included within expense related to senior note conversions on the condensed consolidated statement of operations during the six months ended June 30, 2017.</w:t>
      </w:r>
    </w:p>
    <w:p>
      <w:pPr>
        <w:spacing w:after="0" w:line="162" w:lineRule="exact"/>
        <w:rPr>
          <w:sz w:val="20"/>
          <w:szCs w:val="20"/>
          <w:color w:val="auto"/>
        </w:rPr>
      </w:pPr>
    </w:p>
    <w:p>
      <w:pPr>
        <w:ind w:left="460" w:hanging="457"/>
        <w:spacing w:after="0"/>
        <w:tabs>
          <w:tab w:leader="none" w:pos="4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Defined Contribution Plans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have a defined contribution plan qualified under Section 401(k) of the Internal Revenue Code covering all U.S. employees. Employees may contribute a portion of their compensation, which is then matched by us, subject to certain limitations. Defined contribution expense for the three and six months ended June 30, 2018 was $2.8 million and $5.5 million, respectively. Defined contribution expense for the three and six months ended June 30, 2017 was $2.3 million and $4.5 million, respectively.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3" w:name="page34"/>
    <w:bookmarkEnd w:id="3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Defined Benefit Pension Plans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have defined benefit pension plans for our employees in Europe which provide benefits to employees upon retirement, death or disability.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net periodic benefit cost was as follows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60" w:type="dxa"/>
            <w:vAlign w:val="bottom"/>
            <w:gridSpan w:val="3"/>
          </w:tcPr>
          <w:p>
            <w:pPr>
              <w:jc w:val="right"/>
              <w:ind w:right="85"/>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60" w:type="dxa"/>
            <w:vAlign w:val="bottom"/>
            <w:gridSpan w:val="6"/>
          </w:tcPr>
          <w:p>
            <w:pPr>
              <w:ind w:left="32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4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jc w:val="right"/>
              <w:ind w:right="485"/>
              <w:spacing w:after="0"/>
              <w:rPr>
                <w:sz w:val="20"/>
                <w:szCs w:val="20"/>
                <w:color w:val="auto"/>
              </w:rPr>
            </w:pPr>
            <w:r>
              <w:rPr>
                <w:rFonts w:ascii="Arial" w:cs="Arial" w:eastAsia="Arial" w:hAnsi="Arial"/>
                <w:sz w:val="14"/>
                <w:szCs w:val="14"/>
                <w:b w:val="1"/>
                <w:bCs w:val="1"/>
                <w:color w:val="auto"/>
              </w:rPr>
              <w:t>June 30,</w:t>
            </w:r>
          </w:p>
        </w:tc>
        <w:tc>
          <w:tcPr>
            <w:tcW w:w="3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4"/>
          </w:tcPr>
          <w:p>
            <w:pPr>
              <w:jc w:val="right"/>
              <w:ind w:right="25"/>
              <w:spacing w:after="0"/>
              <w:rPr>
                <w:sz w:val="20"/>
                <w:szCs w:val="20"/>
                <w:color w:val="auto"/>
              </w:rPr>
            </w:pPr>
            <w:r>
              <w:rPr>
                <w:rFonts w:ascii="Arial" w:cs="Arial" w:eastAsia="Arial" w:hAnsi="Arial"/>
                <w:sz w:val="14"/>
                <w:szCs w:val="14"/>
                <w:b w:val="1"/>
                <w:bCs w:val="1"/>
                <w:color w:val="auto"/>
              </w:rPr>
              <w:t>June 30,</w:t>
            </w:r>
          </w:p>
        </w:tc>
        <w:tc>
          <w:tcPr>
            <w:tcW w:w="7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4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jc w:val="right"/>
              <w:ind w:right="316"/>
              <w:spacing w:after="0" w:line="142" w:lineRule="exact"/>
              <w:rPr>
                <w:sz w:val="20"/>
                <w:szCs w:val="20"/>
                <w:color w:val="auto"/>
              </w:rPr>
            </w:pPr>
            <w:r>
              <w:rPr>
                <w:rFonts w:ascii="Arial" w:cs="Arial" w:eastAsia="Arial" w:hAnsi="Arial"/>
                <w:sz w:val="14"/>
                <w:szCs w:val="14"/>
                <w:b w:val="1"/>
                <w:bCs w:val="1"/>
                <w:color w:val="auto"/>
              </w:rPr>
              <w:t>2018</w:t>
            </w:r>
          </w:p>
        </w:tc>
        <w:tc>
          <w:tcPr>
            <w:tcW w:w="9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jc w:val="right"/>
              <w:ind w:right="296"/>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jc w:val="right"/>
              <w:ind w:right="313"/>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r>
      <w:tr>
        <w:trPr>
          <w:trHeight w:val="210"/>
        </w:trPr>
        <w:tc>
          <w:tcPr>
            <w:tcW w:w="4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Service cost</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1,032</w:t>
            </w:r>
          </w:p>
        </w:tc>
        <w:tc>
          <w:tcPr>
            <w:tcW w:w="1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ind w:right="585"/>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680</w:t>
            </w: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2,111</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1,296</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Interest cost</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68</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52</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18"/>
                <w:szCs w:val="18"/>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20" w:type="dxa"/>
            <w:vAlign w:val="bottom"/>
            <w:shd w:val="clear" w:color="auto" w:fill="CCEEFF"/>
          </w:tcPr>
          <w:p>
            <w:pPr>
              <w:spacing w:after="0"/>
              <w:rPr>
                <w:sz w:val="18"/>
                <w:szCs w:val="18"/>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Amortization of prior service cost</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8"/>
                <w:szCs w:val="18"/>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actuarial losses</w:t>
            </w: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6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20" w:type="dxa"/>
            <w:vAlign w:val="bottom"/>
            <w:shd w:val="clear" w:color="auto" w:fill="CCEEFF"/>
          </w:tcPr>
          <w:p>
            <w:pPr>
              <w:spacing w:after="0"/>
              <w:rPr>
                <w:sz w:val="18"/>
                <w:szCs w:val="18"/>
                <w:color w:val="auto"/>
              </w:rPr>
            </w:pPr>
          </w:p>
        </w:tc>
      </w:tr>
      <w:tr>
        <w:trPr>
          <w:trHeight w:val="217"/>
        </w:trPr>
        <w:tc>
          <w:tcPr>
            <w:tcW w:w="4100" w:type="dxa"/>
            <w:vAlign w:val="bottom"/>
          </w:tcPr>
          <w:p>
            <w:pPr>
              <w:spacing w:after="0"/>
              <w:rPr>
                <w:sz w:val="20"/>
                <w:szCs w:val="20"/>
                <w:color w:val="auto"/>
              </w:rPr>
            </w:pPr>
            <w:r>
              <w:rPr>
                <w:rFonts w:ascii="Arial" w:cs="Arial" w:eastAsia="Arial" w:hAnsi="Arial"/>
                <w:sz w:val="18"/>
                <w:szCs w:val="18"/>
                <w:color w:val="auto"/>
              </w:rPr>
              <w:t>Net periodic benefit cost</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1,164</w:t>
            </w:r>
          </w:p>
        </w:tc>
        <w:tc>
          <w:tcPr>
            <w:tcW w:w="160" w:type="dxa"/>
            <w:vAlign w:val="bottom"/>
          </w:tcPr>
          <w:p>
            <w:pPr>
              <w:spacing w:after="0"/>
              <w:rPr>
                <w:sz w:val="18"/>
                <w:szCs w:val="18"/>
                <w:color w:val="auto"/>
              </w:rPr>
            </w:pPr>
          </w:p>
        </w:tc>
        <w:tc>
          <w:tcPr>
            <w:tcW w:w="740" w:type="dxa"/>
            <w:vAlign w:val="bottom"/>
            <w:tcBorders>
              <w:bottom w:val="single" w:sz="8" w:color="auto"/>
            </w:tcBorders>
          </w:tcPr>
          <w:p>
            <w:pPr>
              <w:jc w:val="right"/>
              <w:ind w:right="585"/>
              <w:spacing w:after="0"/>
              <w:rPr>
                <w:sz w:val="20"/>
                <w:szCs w:val="20"/>
                <w:color w:val="auto"/>
              </w:rPr>
            </w:pPr>
            <w:r>
              <w:rPr>
                <w:rFonts w:ascii="Arial" w:cs="Arial" w:eastAsia="Arial" w:hAnsi="Arial"/>
                <w:sz w:val="15"/>
                <w:szCs w:val="15"/>
                <w:color w:val="auto"/>
                <w:w w:val="71"/>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741</w:t>
            </w:r>
          </w:p>
        </w:tc>
        <w:tc>
          <w:tcPr>
            <w:tcW w:w="16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2,375</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1,414</w:t>
            </w:r>
          </w:p>
        </w:tc>
        <w:tc>
          <w:tcPr>
            <w:tcW w:w="120" w:type="dxa"/>
            <w:vAlign w:val="bottom"/>
          </w:tcPr>
          <w:p>
            <w:pPr>
              <w:spacing w:after="0"/>
              <w:rPr>
                <w:sz w:val="18"/>
                <w:szCs w:val="18"/>
                <w:color w:val="auto"/>
              </w:rPr>
            </w:pPr>
          </w:p>
        </w:tc>
      </w:tr>
    </w:tbl>
    <w:p>
      <w:pPr>
        <w:spacing w:after="0" w:line="20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components of net periodic benefit cost other than the service cost component are included in other income (expense), net on the condensed consolidated statements of operations. We expect to contribute a total of $3.2 million to the plans in 2018 inclusive of the amounts contributed to the plan during the current period. As of June 30, 2018 and December 31, 2017, $13.7 million and $13.4 million, respectively, of accrued pension obligation is recorded in other long term liabilities on the condensed consolidated balance sheets.</w:t>
      </w:r>
    </w:p>
    <w:p>
      <w:pPr>
        <w:spacing w:after="0" w:line="184" w:lineRule="exact"/>
        <w:rPr>
          <w:sz w:val="20"/>
          <w:szCs w:val="20"/>
          <w:color w:val="auto"/>
        </w:rPr>
      </w:pPr>
    </w:p>
    <w:p>
      <w:pPr>
        <w:ind w:left="460" w:hanging="457"/>
        <w:spacing w:after="0"/>
        <w:tabs>
          <w:tab w:leader="none" w:pos="4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For the three and six months ended June 30, 2018, we recorded income tax expense of approximately $1.6 million and $2.4 million, respectively. For the three and six months ended June 30, 2017, we recorded income tax expense of approximately $3.1 million and an income tax benefit of approximately $7.8 million, respectively. The change in tax expense for the three and six months ended June 30, 2018 was primarily driven by the difference in projected annual operating income or loss compared to our actual results as well as the recognition of certain discrete items in the current period.</w:t>
      </w:r>
    </w:p>
    <w:p>
      <w:pPr>
        <w:spacing w:after="0" w:line="158"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As of June 30, 2018, a full valuation allowance continues to be recorded against our U.S. and Swiss net deferred tax assets. This position is based on an analysis of positive and negative evidence, including analyzing three-year cumulative pre-tax income or loss, projections of future taxable income as well as other quantitative and qualitative information.</w:t>
      </w:r>
    </w:p>
    <w:p>
      <w:pPr>
        <w:spacing w:after="0" w:line="14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balance of our unrecognized tax benefits (including penalties and interest) increased by approximately $2.4 million during the six months ended June 30, 2018, of which only $0.3 million was recorded as an increase to noncurrent other liabilities on the condensed consolidated balance sheet. The increase is primarily driven by unrecognized tax benefits related to current year operations.</w:t>
      </w:r>
    </w:p>
    <w:p>
      <w:pPr>
        <w:spacing w:after="0" w:line="18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On December 22, 2017, the Tax Cuts and Jobs Act of 2017 was signed into law, making significant changes to the Internal Revenue Code. The Act contains numerous provisions impacting corporate taxpayers. Changes include a federal corporate tax rate decrease from 35% to 21% effective for tax years beginning after December 31, 2017, the transition of U.S. international taxation from a worldwide tax system to a territorial system and temporary full expensing of certain business assets. We recorded provisional tax impacts related to the revaluation of deferred tax assets and liabilities as well as the temporary full expensing of certain business assets in our consolidated financial statements for the year ended December 31, 2017. We continue to monitor and analyze further issued guidance, however no additional tax effects of the Act were required to be recorded for the six months ended June 30, 2018. The financial statement impact is expected to be complete when the 2017 U.S. corporate income tax return is filed in 2018.</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4" w:name="page35"/>
    <w:bookmarkEnd w:id="3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5"/>
          <w:szCs w:val="15"/>
          <w:b w:val="1"/>
          <w:bCs w:val="1"/>
          <w:color w:val="auto"/>
        </w:rPr>
        <w:t>Net income (loss) per share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income (loss) per share was calculated as follows for the periods indicated:</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4"/>
          </w:tcPr>
          <w:p>
            <w:pPr>
              <w:jc w:val="right"/>
              <w:ind w:right="132"/>
              <w:spacing w:after="0"/>
              <w:rPr>
                <w:sz w:val="20"/>
                <w:szCs w:val="20"/>
                <w:color w:val="auto"/>
              </w:rPr>
            </w:pPr>
            <w:r>
              <w:rPr>
                <w:rFonts w:ascii="Arial" w:cs="Arial" w:eastAsia="Arial" w:hAnsi="Arial"/>
                <w:sz w:val="14"/>
                <w:szCs w:val="14"/>
                <w:b w:val="1"/>
                <w:bCs w:val="1"/>
                <w:color w:val="auto"/>
                <w:w w:val="99"/>
              </w:rPr>
              <w:t>Three Months Ended</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50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4"/>
          </w:tcPr>
          <w:p>
            <w:pPr>
              <w:jc w:val="right"/>
              <w:ind w:right="532"/>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5060" w:type="dxa"/>
            <w:vAlign w:val="bottom"/>
            <w:tcBorders>
              <w:bottom w:val="single" w:sz="8" w:color="auto"/>
            </w:tcBorders>
            <w:gridSpan w:val="4"/>
            <w:vMerge w:val="continue"/>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5060" w:type="dxa"/>
            <w:vAlign w:val="bottom"/>
            <w:gridSpan w:val="4"/>
            <w:shd w:val="clear" w:color="auto" w:fill="CCEEFF"/>
          </w:tcPr>
          <w:p>
            <w:pPr>
              <w:ind w:left="120"/>
              <w:spacing w:after="0" w:line="170" w:lineRule="exact"/>
              <w:rPr>
                <w:sz w:val="20"/>
                <w:szCs w:val="20"/>
                <w:color w:val="auto"/>
              </w:rPr>
            </w:pPr>
            <w:r>
              <w:rPr>
                <w:rFonts w:ascii="Arial" w:cs="Arial" w:eastAsia="Arial" w:hAnsi="Arial"/>
                <w:sz w:val="18"/>
                <w:szCs w:val="18"/>
                <w:b w:val="1"/>
                <w:bCs w:val="1"/>
                <w:color w:val="auto"/>
              </w:rPr>
              <w:t>Basic Net Income (Loss) Per Share</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2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060" w:type="dxa"/>
            <w:vAlign w:val="bottom"/>
            <w:gridSpan w:val="4"/>
          </w:tcPr>
          <w:p>
            <w:pPr>
              <w:ind w:left="120"/>
              <w:spacing w:after="0"/>
              <w:rPr>
                <w:sz w:val="20"/>
                <w:szCs w:val="20"/>
                <w:color w:val="auto"/>
              </w:rPr>
            </w:pPr>
            <w:r>
              <w:rPr>
                <w:rFonts w:ascii="Arial" w:cs="Arial" w:eastAsia="Arial" w:hAnsi="Arial"/>
                <w:sz w:val="18"/>
                <w:szCs w:val="18"/>
                <w:color w:val="auto"/>
              </w:rPr>
              <w:t>Basic net income (loss)</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52,394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(12,484)</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11,254</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93"/>
              </w:rPr>
              <w:t>(199,567)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rPr>
              <w:t>Weighted average common shares outstanding</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212,210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205,141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211,945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200,200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rPr>
              <w:t>Basic net income (loss) per share</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5060" w:type="dxa"/>
            <w:vAlign w:val="bottom"/>
            <w:gridSpan w:val="4"/>
            <w:shd w:val="clear" w:color="auto" w:fill="CCEEFF"/>
          </w:tcPr>
          <w:p>
            <w:pPr>
              <w:ind w:left="120"/>
              <w:spacing w:after="0" w:line="176" w:lineRule="exact"/>
              <w:rPr>
                <w:sz w:val="20"/>
                <w:szCs w:val="20"/>
                <w:color w:val="auto"/>
              </w:rPr>
            </w:pPr>
            <w:r>
              <w:rPr>
                <w:rFonts w:ascii="Arial" w:cs="Arial" w:eastAsia="Arial" w:hAnsi="Arial"/>
                <w:sz w:val="18"/>
                <w:szCs w:val="18"/>
                <w:b w:val="1"/>
                <w:bCs w:val="1"/>
                <w:color w:val="auto"/>
              </w:rPr>
              <w:t>Diluted Net Income (Loss) Per Share</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2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2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060" w:type="dxa"/>
            <w:vAlign w:val="bottom"/>
            <w:gridSpan w:val="4"/>
          </w:tcPr>
          <w:p>
            <w:pPr>
              <w:ind w:left="120"/>
              <w:spacing w:after="0"/>
              <w:rPr>
                <w:sz w:val="20"/>
                <w:szCs w:val="20"/>
                <w:color w:val="auto"/>
              </w:rPr>
            </w:pPr>
            <w:r>
              <w:rPr>
                <w:rFonts w:ascii="Arial" w:cs="Arial" w:eastAsia="Arial" w:hAnsi="Arial"/>
                <w:sz w:val="18"/>
                <w:szCs w:val="18"/>
                <w:color w:val="auto"/>
              </w:rPr>
              <w:t>Diluted net income (loss)</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52,394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(12,484)</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11,254</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93"/>
              </w:rPr>
              <w:t>(199,567)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rPr>
              <w:t>Weighted average common shares outstanding</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212,210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205,141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211,945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200,200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rPr>
              <w:t>Dilutive stock options and RSUs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060" w:type="dxa"/>
            <w:vAlign w:val="bottom"/>
            <w:gridSpan w:val="4"/>
            <w:shd w:val="clear" w:color="auto" w:fill="CCEEFF"/>
          </w:tcPr>
          <w:p>
            <w:pPr>
              <w:ind w:left="120"/>
              <w:spacing w:after="0" w:line="201" w:lineRule="exact"/>
              <w:rPr>
                <w:sz w:val="20"/>
                <w:szCs w:val="20"/>
                <w:color w:val="auto"/>
              </w:rPr>
            </w:pPr>
            <w:r>
              <w:rPr>
                <w:rFonts w:ascii="Arial" w:cs="Arial" w:eastAsia="Arial" w:hAnsi="Arial"/>
                <w:sz w:val="18"/>
                <w:szCs w:val="18"/>
                <w:color w:val="auto"/>
                <w:w w:val="90"/>
              </w:rPr>
              <w:t>Weighted average shares used to compute diluted net income (loss)</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6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rPr>
              <w:t>per share</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215,103</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205,141</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215,294</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200,200</w:t>
            </w: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rPr>
              <w:t>Diluted net income (loss) per share</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06)</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120" w:type="dxa"/>
            <w:vAlign w:val="bottom"/>
            <w:shd w:val="clear" w:color="auto" w:fill="CCEEFF"/>
          </w:tcPr>
          <w:p>
            <w:pPr>
              <w:spacing w:after="0"/>
              <w:rPr>
                <w:sz w:val="2"/>
                <w:szCs w:val="2"/>
                <w:color w:val="auto"/>
              </w:rPr>
            </w:pPr>
          </w:p>
        </w:tc>
        <w:tc>
          <w:tcPr>
            <w:tcW w:w="26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potential common shares were excluded from the calculations as their effect would be anti-dilutive:</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240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3"/>
              </w:rPr>
              <w:t>Three Months Ended</w:t>
            </w:r>
          </w:p>
        </w:tc>
        <w:tc>
          <w:tcPr>
            <w:tcW w:w="242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2"/>
              </w:rPr>
              <w:t>Six Months Ended</w:t>
            </w:r>
          </w:p>
        </w:tc>
        <w:tc>
          <w:tcPr>
            <w:tcW w:w="0" w:type="dxa"/>
            <w:vAlign w:val="bottom"/>
          </w:tcPr>
          <w:p>
            <w:pPr>
              <w:spacing w:after="0"/>
              <w:rPr>
                <w:sz w:val="1"/>
                <w:szCs w:val="1"/>
                <w:color w:val="auto"/>
              </w:rPr>
            </w:pPr>
          </w:p>
        </w:tc>
      </w:tr>
      <w:tr>
        <w:trPr>
          <w:trHeight w:val="171"/>
        </w:trPr>
        <w:tc>
          <w:tcPr>
            <w:tcW w:w="4240" w:type="dxa"/>
            <w:vAlign w:val="bottom"/>
          </w:tcPr>
          <w:p>
            <w:pPr>
              <w:spacing w:after="0"/>
              <w:rPr>
                <w:sz w:val="14"/>
                <w:szCs w:val="14"/>
                <w:color w:val="auto"/>
              </w:rPr>
            </w:pPr>
          </w:p>
        </w:tc>
        <w:tc>
          <w:tcPr>
            <w:tcW w:w="1360" w:type="dxa"/>
            <w:vAlign w:val="bottom"/>
            <w:tcBorders>
              <w:bottom w:val="single" w:sz="8" w:color="auto"/>
            </w:tcBorders>
            <w:gridSpan w:val="3"/>
          </w:tcPr>
          <w:p>
            <w:pPr>
              <w:jc w:val="center"/>
              <w:ind w:left="777"/>
              <w:spacing w:after="0"/>
              <w:rPr>
                <w:sz w:val="20"/>
                <w:szCs w:val="20"/>
                <w:color w:val="auto"/>
              </w:rPr>
            </w:pPr>
            <w:r>
              <w:rPr>
                <w:rFonts w:ascii="Arial" w:cs="Arial" w:eastAsia="Arial" w:hAnsi="Arial"/>
                <w:sz w:val="14"/>
                <w:szCs w:val="14"/>
                <w:b w:val="1"/>
                <w:bCs w:val="1"/>
                <w:color w:val="auto"/>
                <w:w w:val="89"/>
              </w:rPr>
              <w:t>June 30,</w:t>
            </w:r>
          </w:p>
        </w:tc>
        <w:tc>
          <w:tcPr>
            <w:tcW w:w="8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Borders>
              <w:bottom w:val="single" w:sz="8" w:color="auto"/>
            </w:tcBorders>
            <w:gridSpan w:val="3"/>
          </w:tcPr>
          <w:p>
            <w:pPr>
              <w:jc w:val="center"/>
              <w:ind w:left="778"/>
              <w:spacing w:after="0"/>
              <w:rPr>
                <w:sz w:val="20"/>
                <w:szCs w:val="20"/>
                <w:color w:val="auto"/>
              </w:rPr>
            </w:pPr>
            <w:r>
              <w:rPr>
                <w:rFonts w:ascii="Arial" w:cs="Arial" w:eastAsia="Arial" w:hAnsi="Arial"/>
                <w:sz w:val="14"/>
                <w:szCs w:val="14"/>
                <w:b w:val="1"/>
                <w:bCs w:val="1"/>
                <w:color w:val="auto"/>
                <w:w w:val="92"/>
              </w:rPr>
              <w:t>June 30,</w:t>
            </w:r>
          </w:p>
        </w:tc>
        <w:tc>
          <w:tcPr>
            <w:tcW w:w="8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240" w:type="dxa"/>
            <w:vAlign w:val="bottom"/>
            <w:tcBorders>
              <w:bottom w:val="single" w:sz="8" w:color="CCEEFF"/>
            </w:tcBorders>
          </w:tcPr>
          <w:p>
            <w:pPr>
              <w:spacing w:after="0"/>
              <w:rPr>
                <w:sz w:val="12"/>
                <w:szCs w:val="12"/>
                <w:color w:val="auto"/>
              </w:rPr>
            </w:pPr>
          </w:p>
        </w:tc>
        <w:tc>
          <w:tcPr>
            <w:tcW w:w="1040" w:type="dxa"/>
            <w:vAlign w:val="bottom"/>
            <w:tcBorders>
              <w:bottom w:val="single" w:sz="8" w:color="auto"/>
            </w:tcBorders>
          </w:tcPr>
          <w:p>
            <w:pPr>
              <w:jc w:val="right"/>
              <w:ind w:right="297"/>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CEEFF"/>
            </w:tcBorders>
          </w:tcPr>
          <w:p>
            <w:pPr>
              <w:spacing w:after="0"/>
              <w:rPr>
                <w:sz w:val="12"/>
                <w:szCs w:val="12"/>
                <w:color w:val="auto"/>
              </w:rPr>
            </w:pPr>
          </w:p>
        </w:tc>
        <w:tc>
          <w:tcPr>
            <w:tcW w:w="1040" w:type="dxa"/>
            <w:vAlign w:val="bottom"/>
            <w:tcBorders>
              <w:bottom w:val="single" w:sz="8" w:color="auto"/>
            </w:tcBorders>
          </w:tcPr>
          <w:p>
            <w:pPr>
              <w:jc w:val="right"/>
              <w:ind w:right="298"/>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Outstanding stock options and awards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8,079,446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12,085,346</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6,732,551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12,085,346</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240" w:type="dxa"/>
            <w:vAlign w:val="bottom"/>
          </w:tcPr>
          <w:p>
            <w:pPr>
              <w:spacing w:after="0" w:line="201" w:lineRule="exact"/>
              <w:rPr>
                <w:sz w:val="20"/>
                <w:szCs w:val="20"/>
                <w:color w:val="auto"/>
              </w:rPr>
            </w:pPr>
            <w:r>
              <w:rPr>
                <w:rFonts w:ascii="Arial" w:cs="Arial" w:eastAsia="Arial" w:hAnsi="Arial"/>
                <w:sz w:val="18"/>
                <w:szCs w:val="18"/>
                <w:color w:val="auto"/>
                <w:w w:val="96"/>
              </w:rPr>
              <w:t>Common shares issuable upon conversion of the 2018</w:t>
            </w: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40" w:type="dxa"/>
            <w:vAlign w:val="bottom"/>
          </w:tcPr>
          <w:p>
            <w:pPr>
              <w:spacing w:after="0"/>
              <w:rPr>
                <w:sz w:val="20"/>
                <w:szCs w:val="20"/>
                <w:color w:val="auto"/>
              </w:rPr>
            </w:pPr>
            <w:r>
              <w:rPr>
                <w:rFonts w:ascii="Arial" w:cs="Arial" w:eastAsia="Arial" w:hAnsi="Arial"/>
                <w:sz w:val="18"/>
                <w:szCs w:val="18"/>
                <w:color w:val="auto"/>
              </w:rPr>
              <w:t>Notes</w:t>
            </w:r>
          </w:p>
        </w:tc>
        <w:tc>
          <w:tcPr>
            <w:tcW w:w="1040" w:type="dxa"/>
            <w:vAlign w:val="bottom"/>
          </w:tcPr>
          <w:p>
            <w:pPr>
              <w:jc w:val="right"/>
              <w:spacing w:after="0"/>
              <w:rPr>
                <w:sz w:val="20"/>
                <w:szCs w:val="20"/>
                <w:color w:val="auto"/>
              </w:rPr>
            </w:pPr>
            <w:r>
              <w:rPr>
                <w:rFonts w:ascii="Arial" w:cs="Arial" w:eastAsia="Arial" w:hAnsi="Arial"/>
                <w:sz w:val="18"/>
                <w:szCs w:val="18"/>
                <w:color w:val="auto"/>
              </w:rPr>
              <w:t>148,817</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149,603</w:t>
            </w: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148,817</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149,603</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Common shares issuable upon conversion of the 2020</w:t>
            </w: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Notes</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368,939</w:t>
            </w:r>
          </w:p>
        </w:tc>
        <w:tc>
          <w:tcPr>
            <w:tcW w:w="16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368,939</w:t>
            </w:r>
          </w:p>
        </w:tc>
        <w:tc>
          <w:tcPr>
            <w:tcW w:w="160" w:type="dxa"/>
            <w:vAlign w:val="bottom"/>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368,939</w:t>
            </w:r>
          </w:p>
        </w:tc>
        <w:tc>
          <w:tcPr>
            <w:tcW w:w="16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368,939</w:t>
            </w: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240" w:type="dxa"/>
            <w:vAlign w:val="bottom"/>
          </w:tcPr>
          <w:p>
            <w:pPr>
              <w:spacing w:after="0" w:line="182" w:lineRule="exact"/>
              <w:rPr>
                <w:sz w:val="20"/>
                <w:szCs w:val="20"/>
                <w:color w:val="auto"/>
              </w:rPr>
            </w:pPr>
            <w:r>
              <w:rPr>
                <w:rFonts w:ascii="Arial" w:cs="Arial" w:eastAsia="Arial" w:hAnsi="Arial"/>
                <w:sz w:val="18"/>
                <w:szCs w:val="18"/>
                <w:color w:val="auto"/>
                <w:w w:val="99"/>
              </w:rPr>
              <w:t>Total potential common shares excluded from diluted</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8,597,202</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w w:val="88"/>
              </w:rPr>
              <w:t>12,603,888</w:t>
            </w:r>
          </w:p>
        </w:tc>
        <w:tc>
          <w:tcPr>
            <w:tcW w:w="16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7,250,307</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w w:val="88"/>
              </w:rPr>
              <w:t>12,603,888</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4240" w:type="dxa"/>
            <w:vAlign w:val="bottom"/>
          </w:tcPr>
          <w:p>
            <w:pPr>
              <w:spacing w:after="0"/>
              <w:rPr>
                <w:sz w:val="20"/>
                <w:szCs w:val="20"/>
                <w:color w:val="auto"/>
              </w:rPr>
            </w:pPr>
            <w:r>
              <w:rPr>
                <w:rFonts w:ascii="Arial" w:cs="Arial" w:eastAsia="Arial" w:hAnsi="Arial"/>
                <w:sz w:val="18"/>
                <w:szCs w:val="18"/>
                <w:color w:val="auto"/>
              </w:rPr>
              <w:t>net loss per share computation</w:t>
            </w:r>
          </w:p>
        </w:tc>
        <w:tc>
          <w:tcPr>
            <w:tcW w:w="1040" w:type="dxa"/>
            <w:vAlign w:val="bottom"/>
            <w:tcBorders>
              <w:bottom w:val="single" w:sz="8" w:color="auto"/>
            </w:tcBorders>
            <w:vMerge w:val="continue"/>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45"/>
        </w:trPr>
        <w:tc>
          <w:tcPr>
            <w:tcW w:w="4240" w:type="dxa"/>
            <w:vAlign w:val="bottom"/>
          </w:tcPr>
          <w:p>
            <w:pPr>
              <w:spacing w:after="0"/>
              <w:rPr>
                <w:sz w:val="24"/>
                <w:szCs w:val="24"/>
                <w:color w:val="auto"/>
              </w:rPr>
            </w:pPr>
          </w:p>
        </w:tc>
        <w:tc>
          <w:tcPr>
            <w:tcW w:w="1040" w:type="dxa"/>
            <w:vAlign w:val="bottom"/>
          </w:tcPr>
          <w:p>
            <w:pPr>
              <w:jc w:val="right"/>
              <w:ind w:right="577"/>
              <w:spacing w:after="0"/>
              <w:rPr>
                <w:sz w:val="20"/>
                <w:szCs w:val="20"/>
                <w:color w:val="auto"/>
              </w:rPr>
            </w:pPr>
            <w:r>
              <w:rPr>
                <w:rFonts w:ascii="Arial" w:cs="Arial" w:eastAsia="Arial" w:hAnsi="Arial"/>
                <w:sz w:val="18"/>
                <w:szCs w:val="18"/>
                <w:color w:val="auto"/>
              </w:rPr>
              <w:t>35</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424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35" w:name="page36"/>
    <w:bookmarkEnd w:id="3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The following discussion of our financial condition and results of operations as of and for the three and six months ended June 30, 2018 should be read in conjunction with the unaudited condensed consolidated financial statements and notes to those statements included elsewhere in this Quarterly Report on Form 10-Q and our audited consolidated financial statements as of and for the year ended December 31, 2017 included in our Annual Report on Form 10-K for the year ended December 31, 2017 previously filed with the SEC.</w:t>
      </w:r>
    </w:p>
    <w:p>
      <w:pPr>
        <w:spacing w:after="0" w:line="18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i w:val="1"/>
          <w:iCs w:val="1"/>
          <w:color w:val="auto"/>
        </w:rPr>
        <w:t>This report contains forward-looking statements that involve risks and uncertainties. These statements relate to future periods, future events or our future operating or financial plans or performance. Often, these statements include the words “believe,” “expect,” “target,” “anticipate,” “intend,” “plan,” “seek,” “estimate,” “potential,” or words of similar meaning, or future or conditional verbs such as “will,” “would,” “should,” “could,” “might,” or “may,” or the negative of these terms, and other similar expressions. These forward-looking statements include statements as to:</w:t>
      </w:r>
    </w:p>
    <w:p>
      <w:pPr>
        <w:spacing w:after="0" w:line="159" w:lineRule="exact"/>
        <w:rPr>
          <w:sz w:val="20"/>
          <w:szCs w:val="20"/>
          <w:color w:val="auto"/>
        </w:rPr>
      </w:pPr>
    </w:p>
    <w:p>
      <w:pPr>
        <w:ind w:left="980" w:hanging="329"/>
        <w:spacing w:after="0" w:line="235"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the discovery, development, formulation, manufacturing and commercialization of our compounds, our drug candidates and JAKAFI</w:t>
      </w:r>
      <w:r>
        <w:rPr>
          <w:rFonts w:ascii="Arial" w:cs="Arial" w:eastAsia="Arial" w:hAnsi="Arial"/>
          <w:sz w:val="18"/>
          <w:szCs w:val="18"/>
          <w:color w:val="auto"/>
        </w:rPr>
        <w:t>®</w:t>
      </w:r>
      <w:r>
        <w:rPr>
          <w:rFonts w:ascii="Arial" w:cs="Arial" w:eastAsia="Arial" w:hAnsi="Arial"/>
          <w:sz w:val="18"/>
          <w:szCs w:val="18"/>
          <w:i w:val="1"/>
          <w:iCs w:val="1"/>
          <w:color w:val="auto"/>
        </w:rPr>
        <w:t>/JAKAVI</w:t>
      </w:r>
      <w:r>
        <w:rPr>
          <w:rFonts w:ascii="Arial" w:cs="Arial" w:eastAsia="Arial" w:hAnsi="Arial"/>
          <w:sz w:val="18"/>
          <w:szCs w:val="18"/>
          <w:color w:val="auto"/>
        </w:rPr>
        <w:t>®</w:t>
      </w:r>
      <w:r>
        <w:rPr>
          <w:rFonts w:ascii="Arial" w:cs="Arial" w:eastAsia="Arial" w:hAnsi="Arial"/>
          <w:sz w:val="18"/>
          <w:szCs w:val="18"/>
          <w:i w:val="1"/>
          <w:iCs w:val="1"/>
          <w:color w:val="auto"/>
        </w:rPr>
        <w:t xml:space="preserve"> (ruxolitinib) and ICLUSIG</w:t>
      </w:r>
      <w:r>
        <w:rPr>
          <w:rFonts w:ascii="Arial" w:cs="Arial" w:eastAsia="Arial" w:hAnsi="Arial"/>
          <w:sz w:val="18"/>
          <w:szCs w:val="18"/>
          <w:color w:val="auto"/>
        </w:rPr>
        <w:t>®</w:t>
      </w:r>
      <w:r>
        <w:rPr>
          <w:rFonts w:ascii="Arial" w:cs="Arial" w:eastAsia="Arial" w:hAnsi="Arial"/>
          <w:sz w:val="18"/>
          <w:szCs w:val="18"/>
          <w:i w:val="1"/>
          <w:iCs w:val="1"/>
          <w:color w:val="auto"/>
        </w:rPr>
        <w:t xml:space="preserve"> (ponatinib);</w:t>
      </w:r>
    </w:p>
    <w:p>
      <w:pPr>
        <w:spacing w:after="0" w:line="121" w:lineRule="exact"/>
        <w:rPr>
          <w:rFonts w:ascii="Arial" w:cs="Arial" w:eastAsia="Arial" w:hAnsi="Arial"/>
          <w:sz w:val="18"/>
          <w:szCs w:val="18"/>
          <w:color w:val="auto"/>
        </w:rPr>
      </w:pPr>
    </w:p>
    <w:p>
      <w:pPr>
        <w:ind w:left="980" w:hanging="329"/>
        <w:spacing w:after="0" w:line="235"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the expected benefits from our acquisition of ARIAD Pharmaceuticals (Luxembourg) S.à.r.l. and our plans to further develop our European operations;</w:t>
      </w:r>
    </w:p>
    <w:p>
      <w:pPr>
        <w:spacing w:after="0" w:line="134" w:lineRule="exact"/>
        <w:rPr>
          <w:rFonts w:ascii="Arial" w:cs="Arial" w:eastAsia="Arial" w:hAnsi="Arial"/>
          <w:sz w:val="18"/>
          <w:szCs w:val="18"/>
          <w:color w:val="auto"/>
        </w:rPr>
      </w:pPr>
    </w:p>
    <w:p>
      <w:pPr>
        <w:ind w:left="980" w:hanging="329"/>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conducting clinical trials internally, with collaborators, or with clinical research organizations;</w:t>
      </w:r>
    </w:p>
    <w:p>
      <w:pPr>
        <w:spacing w:after="0" w:line="225" w:lineRule="exact"/>
        <w:rPr>
          <w:rFonts w:ascii="Arial" w:cs="Arial" w:eastAsia="Arial" w:hAnsi="Arial"/>
          <w:sz w:val="18"/>
          <w:szCs w:val="18"/>
          <w:color w:val="auto"/>
        </w:rPr>
      </w:pPr>
    </w:p>
    <w:p>
      <w:pPr>
        <w:ind w:left="980" w:hanging="329"/>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our collaboration and strategic relationship strategy; anticipated benefits and disadvantages of entering into collaboration agreements;</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15"/>
        </w:numPr>
        <w:rPr>
          <w:rFonts w:ascii="Arial" w:cs="Arial" w:eastAsia="Arial" w:hAnsi="Arial"/>
          <w:sz w:val="16"/>
          <w:szCs w:val="16"/>
          <w:color w:val="auto"/>
        </w:rPr>
      </w:pPr>
      <w:r>
        <w:rPr>
          <w:rFonts w:ascii="Arial" w:cs="Arial" w:eastAsia="Arial" w:hAnsi="Arial"/>
          <w:sz w:val="16"/>
          <w:szCs w:val="16"/>
          <w:i w:val="1"/>
          <w:iCs w:val="1"/>
          <w:color w:val="auto"/>
        </w:rPr>
        <w:t>our licensing, investment and commercialization strategies, including our plans to commercialize JAKAFI and</w:t>
      </w:r>
    </w:p>
    <w:p>
      <w:pPr>
        <w:spacing w:after="0" w:line="46" w:lineRule="exact"/>
        <w:rPr>
          <w:rFonts w:ascii="Arial" w:cs="Arial" w:eastAsia="Arial" w:hAnsi="Arial"/>
          <w:sz w:val="16"/>
          <w:szCs w:val="16"/>
          <w:color w:val="auto"/>
        </w:rPr>
      </w:pPr>
    </w:p>
    <w:p>
      <w:pPr>
        <w:ind w:left="980"/>
        <w:spacing w:after="0"/>
        <w:rPr>
          <w:rFonts w:ascii="Arial" w:cs="Arial" w:eastAsia="Arial" w:hAnsi="Arial"/>
          <w:sz w:val="16"/>
          <w:szCs w:val="16"/>
          <w:color w:val="auto"/>
        </w:rPr>
      </w:pPr>
      <w:r>
        <w:rPr>
          <w:rFonts w:ascii="Arial" w:cs="Arial" w:eastAsia="Arial" w:hAnsi="Arial"/>
          <w:sz w:val="18"/>
          <w:szCs w:val="18"/>
          <w:i w:val="1"/>
          <w:iCs w:val="1"/>
          <w:color w:val="auto"/>
        </w:rPr>
        <w:t>ICLUSIG;</w:t>
      </w:r>
    </w:p>
    <w:p>
      <w:pPr>
        <w:spacing w:after="0" w:line="210" w:lineRule="exact"/>
        <w:rPr>
          <w:rFonts w:ascii="Arial" w:cs="Arial" w:eastAsia="Arial" w:hAnsi="Arial"/>
          <w:sz w:val="16"/>
          <w:szCs w:val="16"/>
          <w:color w:val="auto"/>
        </w:rPr>
      </w:pPr>
    </w:p>
    <w:p>
      <w:pPr>
        <w:ind w:left="980" w:hanging="329"/>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the regulatory approval process, including obtaining U.S. Food and Drug Administration and other international health authorities approval for our products in the United States and abroad;</w:t>
      </w:r>
    </w:p>
    <w:p>
      <w:pPr>
        <w:spacing w:after="0" w:line="170" w:lineRule="exact"/>
        <w:rPr>
          <w:rFonts w:ascii="Arial" w:cs="Arial" w:eastAsia="Arial" w:hAnsi="Arial"/>
          <w:sz w:val="18"/>
          <w:szCs w:val="18"/>
          <w:color w:val="auto"/>
        </w:rPr>
      </w:pPr>
    </w:p>
    <w:p>
      <w:pPr>
        <w:ind w:left="980" w:hanging="329"/>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the safety, effectiveness and potential benefits and indications of our drug candidates and other compounds under development;</w:t>
      </w:r>
    </w:p>
    <w:p>
      <w:pPr>
        <w:spacing w:after="0" w:line="170" w:lineRule="exact"/>
        <w:rPr>
          <w:rFonts w:ascii="Arial" w:cs="Arial" w:eastAsia="Arial" w:hAnsi="Arial"/>
          <w:sz w:val="18"/>
          <w:szCs w:val="18"/>
          <w:color w:val="auto"/>
        </w:rPr>
      </w:pPr>
    </w:p>
    <w:p>
      <w:pPr>
        <w:ind w:left="980" w:hanging="329"/>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the timing and size of our clinical trials; the compounds expected to enter clinical trials; timing of clinical trial results;</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our ability to manage expansion of our drug discovery and development operations;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future required expertise relating to clinical trials, manufacturing, sales and marketing;</w:t>
      </w:r>
    </w:p>
    <w:p>
      <w:pPr>
        <w:spacing w:after="0" w:line="225" w:lineRule="exact"/>
        <w:rPr>
          <w:rFonts w:ascii="Arial" w:cs="Arial" w:eastAsia="Arial" w:hAnsi="Arial"/>
          <w:sz w:val="18"/>
          <w:szCs w:val="18"/>
          <w:color w:val="auto"/>
        </w:rPr>
      </w:pPr>
    </w:p>
    <w:p>
      <w:pPr>
        <w:ind w:left="980" w:hanging="329"/>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obtaining and terminating licenses to products, drug candidates or technology, or other intellectual property rights;</w:t>
      </w:r>
    </w:p>
    <w:p>
      <w:pPr>
        <w:spacing w:after="0" w:line="170" w:lineRule="exact"/>
        <w:rPr>
          <w:rFonts w:ascii="Arial" w:cs="Arial" w:eastAsia="Arial" w:hAnsi="Arial"/>
          <w:sz w:val="18"/>
          <w:szCs w:val="18"/>
          <w:color w:val="auto"/>
        </w:rPr>
      </w:pPr>
    </w:p>
    <w:p>
      <w:pPr>
        <w:ind w:left="980" w:hanging="329"/>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the receipt from or payments pursuant to collaboration or license agreements resulting from milestones or royalties;</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plans to develop and commercialize products on our own;</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plans to use third-party manufacturers;</w:t>
      </w:r>
    </w:p>
    <w:p>
      <w:pPr>
        <w:spacing w:after="0" w:line="211" w:lineRule="exact"/>
        <w:rPr>
          <w:rFonts w:ascii="Arial" w:cs="Arial" w:eastAsia="Arial" w:hAnsi="Arial"/>
          <w:sz w:val="18"/>
          <w:szCs w:val="18"/>
          <w:color w:val="auto"/>
        </w:rPr>
      </w:pPr>
    </w:p>
    <w:p>
      <w:pPr>
        <w:ind w:left="980" w:hanging="329"/>
        <w:spacing w:after="0" w:line="235"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expected expenses and expenditure levels; expected uses of cash; expected revenues and sources of revenues, including milestone payments; expectations with respect to inventory;</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6" w:name="page37"/>
    <w:bookmarkEnd w:id="3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6" w:lineRule="exact"/>
        <w:rPr>
          <w:sz w:val="20"/>
          <w:szCs w:val="20"/>
          <w:color w:val="auto"/>
        </w:rPr>
      </w:pPr>
    </w:p>
    <w:p>
      <w:pPr>
        <w:ind w:left="980" w:hanging="329"/>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expectations with respect to reimbursement for our products;</w:t>
      </w:r>
    </w:p>
    <w:p>
      <w:pPr>
        <w:spacing w:after="0" w:line="184" w:lineRule="exact"/>
        <w:rPr>
          <w:rFonts w:ascii="Arial" w:cs="Arial" w:eastAsia="Arial" w:hAnsi="Arial"/>
          <w:sz w:val="18"/>
          <w:szCs w:val="18"/>
          <w:color w:val="auto"/>
        </w:rPr>
      </w:pPr>
    </w:p>
    <w:p>
      <w:pPr>
        <w:ind w:left="980" w:hanging="329"/>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the expected impact of recent accounting pronouncements and changes in U.S. tax laws;</w:t>
      </w:r>
    </w:p>
    <w:p>
      <w:pPr>
        <w:spacing w:after="0" w:line="157" w:lineRule="exact"/>
        <w:rPr>
          <w:rFonts w:ascii="Arial" w:cs="Arial" w:eastAsia="Arial" w:hAnsi="Arial"/>
          <w:sz w:val="18"/>
          <w:szCs w:val="18"/>
          <w:color w:val="auto"/>
        </w:rPr>
      </w:pPr>
    </w:p>
    <w:p>
      <w:pPr>
        <w:ind w:left="980" w:hanging="329"/>
        <w:spacing w:after="0"/>
        <w:tabs>
          <w:tab w:leader="none" w:pos="980" w:val="left"/>
        </w:tabs>
        <w:numPr>
          <w:ilvl w:val="0"/>
          <w:numId w:val="16"/>
        </w:numPr>
        <w:rPr>
          <w:rFonts w:ascii="Arial" w:cs="Arial" w:eastAsia="Arial" w:hAnsi="Arial"/>
          <w:sz w:val="17"/>
          <w:szCs w:val="17"/>
          <w:color w:val="auto"/>
        </w:rPr>
      </w:pPr>
      <w:r>
        <w:rPr>
          <w:rFonts w:ascii="Arial" w:cs="Arial" w:eastAsia="Arial" w:hAnsi="Arial"/>
          <w:sz w:val="17"/>
          <w:szCs w:val="17"/>
          <w:i w:val="1"/>
          <w:iCs w:val="1"/>
          <w:color w:val="auto"/>
        </w:rPr>
        <w:t>expected losses; fluctuation of losses; currency translation impact associated with collaboration royalties;</w:t>
      </w:r>
    </w:p>
    <w:p>
      <w:pPr>
        <w:spacing w:after="0" w:line="236" w:lineRule="exact"/>
        <w:rPr>
          <w:rFonts w:ascii="Arial" w:cs="Arial" w:eastAsia="Arial" w:hAnsi="Arial"/>
          <w:sz w:val="17"/>
          <w:szCs w:val="17"/>
          <w:color w:val="auto"/>
        </w:rPr>
      </w:pPr>
    </w:p>
    <w:p>
      <w:pPr>
        <w:ind w:left="980" w:hanging="329"/>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our profitability; the adequacy of our capital resources to continue operations;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the need to raise additional capital;</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the costs associated with resolving matters in litigation;</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our expectations regarding competition;</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our investments, including anticipated expenditures, losses and expenses; and</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our patent prosecution and maintenance efforts.</w:t>
      </w:r>
    </w:p>
    <w:p>
      <w:pPr>
        <w:spacing w:after="0" w:line="225" w:lineRule="exact"/>
        <w:rPr>
          <w:sz w:val="20"/>
          <w:szCs w:val="20"/>
          <w:color w:val="auto"/>
        </w:rPr>
      </w:pPr>
    </w:p>
    <w:p>
      <w:pPr>
        <w:jc w:val="both"/>
        <w:ind w:firstLine="648"/>
        <w:spacing w:after="0" w:line="221" w:lineRule="exact"/>
        <w:rPr>
          <w:sz w:val="20"/>
          <w:szCs w:val="20"/>
          <w:color w:val="auto"/>
        </w:rPr>
      </w:pPr>
      <w:r>
        <w:rPr>
          <w:rFonts w:ascii="Arial" w:cs="Arial" w:eastAsia="Arial" w:hAnsi="Arial"/>
          <w:sz w:val="18"/>
          <w:szCs w:val="18"/>
          <w:i w:val="1"/>
          <w:iCs w:val="1"/>
          <w:color w:val="auto"/>
        </w:rPr>
        <w:t>These forward</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looking statements reflect our current views with respect to future events, are based on assumptions and are subject to risks and uncertainties. These risks and uncertainties could cause actual results to differ materially from those projected and include, but are not limited to:</w:t>
      </w:r>
    </w:p>
    <w:p>
      <w:pPr>
        <w:spacing w:after="0" w:line="202" w:lineRule="exact"/>
        <w:rPr>
          <w:sz w:val="20"/>
          <w:szCs w:val="20"/>
          <w:color w:val="auto"/>
        </w:rPr>
      </w:pPr>
    </w:p>
    <w:p>
      <w:pPr>
        <w:ind w:left="980" w:hanging="329"/>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our ability to successfully commercialize JAKAFI and ICLUSIG;</w:t>
      </w:r>
    </w:p>
    <w:p>
      <w:pPr>
        <w:spacing w:after="0" w:line="211" w:lineRule="exact"/>
        <w:rPr>
          <w:rFonts w:ascii="Arial" w:cs="Arial" w:eastAsia="Arial" w:hAnsi="Arial"/>
          <w:sz w:val="18"/>
          <w:szCs w:val="18"/>
          <w:color w:val="auto"/>
        </w:rPr>
      </w:pPr>
    </w:p>
    <w:p>
      <w:pPr>
        <w:ind w:left="980" w:hanging="329"/>
        <w:spacing w:after="0" w:line="235"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our ability to maintain at anticipated levels reimbursement for our products from government health administration authorities, private health insurers and other organizations;</w:t>
      </w:r>
    </w:p>
    <w:p>
      <w:pPr>
        <w:spacing w:after="0" w:line="121" w:lineRule="exact"/>
        <w:rPr>
          <w:rFonts w:ascii="Arial" w:cs="Arial" w:eastAsia="Arial" w:hAnsi="Arial"/>
          <w:sz w:val="18"/>
          <w:szCs w:val="18"/>
          <w:color w:val="auto"/>
        </w:rPr>
      </w:pPr>
    </w:p>
    <w:p>
      <w:pPr>
        <w:ind w:left="980" w:hanging="329"/>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our ability to establish and maintain effective sales, marketing and distribution capabilities;</w:t>
      </w:r>
    </w:p>
    <w:p>
      <w:pPr>
        <w:spacing w:after="0" w:line="144" w:lineRule="exact"/>
        <w:rPr>
          <w:rFonts w:ascii="Arial" w:cs="Arial" w:eastAsia="Arial" w:hAnsi="Arial"/>
          <w:sz w:val="18"/>
          <w:szCs w:val="18"/>
          <w:color w:val="auto"/>
        </w:rPr>
      </w:pPr>
    </w:p>
    <w:p>
      <w:pPr>
        <w:ind w:left="980" w:hanging="329"/>
        <w:spacing w:after="0" w:line="235"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the risk of reliance on other parties to manufacture our products, which could result in a short supply of our products, increased costs, and withdrawal of regulatory approval;</w:t>
      </w:r>
    </w:p>
    <w:p>
      <w:pPr>
        <w:spacing w:after="0" w:line="121" w:lineRule="exact"/>
        <w:rPr>
          <w:rFonts w:ascii="Arial" w:cs="Arial" w:eastAsia="Arial" w:hAnsi="Arial"/>
          <w:sz w:val="18"/>
          <w:szCs w:val="18"/>
          <w:color w:val="auto"/>
        </w:rPr>
      </w:pPr>
    </w:p>
    <w:p>
      <w:pPr>
        <w:ind w:left="980" w:hanging="329"/>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our ability to maintain regulatory approvals to market our products;</w:t>
      </w:r>
    </w:p>
    <w:p>
      <w:pPr>
        <w:spacing w:after="0" w:line="144" w:lineRule="exact"/>
        <w:rPr>
          <w:rFonts w:ascii="Arial" w:cs="Arial" w:eastAsia="Arial" w:hAnsi="Arial"/>
          <w:sz w:val="18"/>
          <w:szCs w:val="18"/>
          <w:color w:val="auto"/>
        </w:rPr>
      </w:pPr>
    </w:p>
    <w:p>
      <w:pPr>
        <w:ind w:left="980" w:hanging="329"/>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our ability to achieve a significant market share in order to achieve or maintain profitability;</w:t>
      </w:r>
    </w:p>
    <w:p>
      <w:pPr>
        <w:spacing w:after="0" w:line="144" w:lineRule="exact"/>
        <w:rPr>
          <w:rFonts w:ascii="Arial" w:cs="Arial" w:eastAsia="Arial" w:hAnsi="Arial"/>
          <w:sz w:val="18"/>
          <w:szCs w:val="18"/>
          <w:color w:val="auto"/>
        </w:rPr>
      </w:pPr>
    </w:p>
    <w:p>
      <w:pPr>
        <w:ind w:left="980" w:hanging="329"/>
        <w:spacing w:after="0" w:line="235"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the risk of civil or criminal penalties if we market our products in a manner that violates health care fraud and abuse and other applicable laws, rules and regulations;</w:t>
      </w:r>
    </w:p>
    <w:p>
      <w:pPr>
        <w:spacing w:after="0" w:line="134" w:lineRule="exact"/>
        <w:rPr>
          <w:rFonts w:ascii="Arial" w:cs="Arial" w:eastAsia="Arial" w:hAnsi="Arial"/>
          <w:sz w:val="18"/>
          <w:szCs w:val="18"/>
          <w:color w:val="auto"/>
        </w:rPr>
      </w:pPr>
    </w:p>
    <w:p>
      <w:pPr>
        <w:ind w:left="980" w:hanging="329"/>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our ability to discover, develop, formulate, manufacture and commercialize our drug candidates;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the risk of unanticipated delays in, or discontinuations of, research and development efforts;</w:t>
      </w:r>
    </w:p>
    <w:p>
      <w:pPr>
        <w:spacing w:after="0" w:line="225" w:lineRule="exact"/>
        <w:rPr>
          <w:rFonts w:ascii="Arial" w:cs="Arial" w:eastAsia="Arial" w:hAnsi="Arial"/>
          <w:sz w:val="18"/>
          <w:szCs w:val="18"/>
          <w:color w:val="auto"/>
        </w:rPr>
      </w:pPr>
    </w:p>
    <w:p>
      <w:pPr>
        <w:ind w:left="980" w:hanging="329"/>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the risk that previous preclinical testing or clinical trial results are not necessarily indicative of future clinical trial results;</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risks relating to the conduct of our clinical trials;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changing regulatory requirements;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the risk of adverse safety findings;</w:t>
      </w:r>
    </w:p>
    <w:p>
      <w:pPr>
        <w:spacing w:after="0" w:line="225" w:lineRule="exact"/>
        <w:rPr>
          <w:rFonts w:ascii="Arial" w:cs="Arial" w:eastAsia="Arial" w:hAnsi="Arial"/>
          <w:sz w:val="18"/>
          <w:szCs w:val="18"/>
          <w:color w:val="auto"/>
        </w:rPr>
      </w:pPr>
    </w:p>
    <w:p>
      <w:pPr>
        <w:ind w:left="980" w:hanging="329"/>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the risk that results of our clinical trials do not support submission of a marketing approval application for our drug candidates;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7" w:name="page38"/>
    <w:bookmarkEnd w:id="3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980" w:hanging="329"/>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the risk of significant delays or costs in obtaining regulatory approvals;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8"/>
        </w:numPr>
        <w:rPr>
          <w:rFonts w:ascii="Arial" w:cs="Arial" w:eastAsia="Arial" w:hAnsi="Arial"/>
          <w:sz w:val="17"/>
          <w:szCs w:val="17"/>
          <w:color w:val="auto"/>
        </w:rPr>
      </w:pPr>
      <w:r>
        <w:rPr>
          <w:rFonts w:ascii="Arial" w:cs="Arial" w:eastAsia="Arial" w:hAnsi="Arial"/>
          <w:sz w:val="17"/>
          <w:szCs w:val="17"/>
          <w:i w:val="1"/>
          <w:iCs w:val="1"/>
          <w:color w:val="auto"/>
        </w:rPr>
        <w:t>risks relating to our reliance on third-party manufacturers, collaborators, and clinical research organizations;</w:t>
      </w:r>
    </w:p>
    <w:p>
      <w:pPr>
        <w:spacing w:after="0" w:line="236" w:lineRule="exact"/>
        <w:rPr>
          <w:rFonts w:ascii="Arial" w:cs="Arial" w:eastAsia="Arial" w:hAnsi="Arial"/>
          <w:sz w:val="17"/>
          <w:szCs w:val="17"/>
          <w:color w:val="auto"/>
        </w:rPr>
      </w:pPr>
    </w:p>
    <w:p>
      <w:pPr>
        <w:ind w:left="980" w:hanging="329"/>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risks relating to the development of new products and their use by us and our current and potential collaborators;</w:t>
      </w:r>
    </w:p>
    <w:p>
      <w:pPr>
        <w:spacing w:after="0" w:line="170" w:lineRule="exact"/>
        <w:rPr>
          <w:rFonts w:ascii="Arial" w:cs="Arial" w:eastAsia="Arial" w:hAnsi="Arial"/>
          <w:sz w:val="18"/>
          <w:szCs w:val="18"/>
          <w:color w:val="auto"/>
        </w:rPr>
      </w:pPr>
    </w:p>
    <w:p>
      <w:pPr>
        <w:ind w:left="980" w:hanging="329"/>
        <w:spacing w:after="0" w:line="196" w:lineRule="exact"/>
        <w:tabs>
          <w:tab w:leader="none" w:pos="980" w:val="left"/>
        </w:tabs>
        <w:numPr>
          <w:ilvl w:val="0"/>
          <w:numId w:val="18"/>
        </w:numPr>
        <w:rPr>
          <w:rFonts w:ascii="Arial" w:cs="Arial" w:eastAsia="Arial" w:hAnsi="Arial"/>
          <w:sz w:val="17"/>
          <w:szCs w:val="17"/>
          <w:color w:val="auto"/>
        </w:rPr>
      </w:pPr>
      <w:r>
        <w:rPr>
          <w:rFonts w:ascii="Arial" w:cs="Arial" w:eastAsia="Arial" w:hAnsi="Arial"/>
          <w:sz w:val="17"/>
          <w:szCs w:val="17"/>
          <w:i w:val="1"/>
          <w:iCs w:val="1"/>
          <w:color w:val="auto"/>
        </w:rPr>
        <w:t>risks relating to our inability to control the development of out</w:t>
      </w:r>
      <w:r>
        <w:rPr>
          <w:rFonts w:ascii="MS PGothic" w:cs="MS PGothic" w:eastAsia="MS PGothic" w:hAnsi="MS PGothic"/>
          <w:sz w:val="17"/>
          <w:szCs w:val="17"/>
          <w:i w:val="1"/>
          <w:iCs w:val="1"/>
          <w:color w:val="auto"/>
        </w:rPr>
        <w:t>‑</w:t>
      </w:r>
      <w:r>
        <w:rPr>
          <w:rFonts w:ascii="Arial" w:cs="Arial" w:eastAsia="Arial" w:hAnsi="Arial"/>
          <w:sz w:val="17"/>
          <w:szCs w:val="17"/>
          <w:i w:val="1"/>
          <w:iCs w:val="1"/>
          <w:color w:val="auto"/>
        </w:rPr>
        <w:t>licensed compounds or drug candidates;</w:t>
      </w:r>
    </w:p>
    <w:p>
      <w:pPr>
        <w:spacing w:after="0" w:line="236" w:lineRule="exact"/>
        <w:rPr>
          <w:rFonts w:ascii="Arial" w:cs="Arial" w:eastAsia="Arial" w:hAnsi="Arial"/>
          <w:sz w:val="17"/>
          <w:szCs w:val="17"/>
          <w:color w:val="auto"/>
        </w:rPr>
      </w:pPr>
    </w:p>
    <w:p>
      <w:pPr>
        <w:ind w:left="980" w:hanging="329"/>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risks relating to our collaborators’ ability to develop and commercialize drug candidates;</w:t>
      </w:r>
    </w:p>
    <w:p>
      <w:pPr>
        <w:spacing w:after="0" w:line="225" w:lineRule="exact"/>
        <w:rPr>
          <w:rFonts w:ascii="Arial" w:cs="Arial" w:eastAsia="Arial" w:hAnsi="Arial"/>
          <w:sz w:val="18"/>
          <w:szCs w:val="18"/>
          <w:color w:val="auto"/>
        </w:rPr>
      </w:pPr>
    </w:p>
    <w:p>
      <w:pPr>
        <w:ind w:left="980" w:hanging="329"/>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costs associated with prosecuting, maintaining, defending and enforcing patent claims and other intellectual property rights;</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our ability to maintain or obtain adequate product liability and other insurance coverage;</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the risk that our drug candidates may not obtain or maintain regulatory approval;</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the impact of technological advances and competition, including potential generic competition;</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our ability to compete against third parties with greater resources than ours;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risks relating to changes in pricing and reimbursement in the markets in which we may compete;</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competition to develop and commercialize similar drug products;</w:t>
      </w:r>
    </w:p>
    <w:p>
      <w:pPr>
        <w:spacing w:after="0" w:line="225" w:lineRule="exact"/>
        <w:rPr>
          <w:rFonts w:ascii="Arial" w:cs="Arial" w:eastAsia="Arial" w:hAnsi="Arial"/>
          <w:sz w:val="18"/>
          <w:szCs w:val="18"/>
          <w:color w:val="auto"/>
        </w:rPr>
      </w:pPr>
    </w:p>
    <w:p>
      <w:pPr>
        <w:ind w:left="980" w:hanging="329"/>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our ability to obtain and maintain patent protection and freedom to operate for our discoveries and to continue to be effective in expanding our patent coverage;</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the impact of changing laws on our patent portfolio;</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developments in and expenses relating to litigation;</w:t>
      </w:r>
    </w:p>
    <w:p>
      <w:pPr>
        <w:spacing w:after="0" w:line="225" w:lineRule="exact"/>
        <w:rPr>
          <w:rFonts w:ascii="Arial" w:cs="Arial" w:eastAsia="Arial" w:hAnsi="Arial"/>
          <w:sz w:val="18"/>
          <w:szCs w:val="18"/>
          <w:color w:val="auto"/>
        </w:rPr>
      </w:pPr>
    </w:p>
    <w:p>
      <w:pPr>
        <w:ind w:left="980" w:hanging="329"/>
        <w:spacing w:after="0" w:line="207" w:lineRule="exact"/>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our ability to in</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license drug candidates or other technology;</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our ability to integrate successfully acquired businesses, development programs or technology;</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our ability to obtain additional capital when needed;</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fluctuations in net cash provided and used by operating, financing and investing activities;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our ability to analyze the effects of new accounting pronouncements and apply new accounting rules;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our history of operating losses; and</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the risks set forth under “Risk Factors.”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Given these risks and uncertainties, you should not place undue reliance on these forward-looking statements. Except as required by federal securities laws, we undertake no obligation to update any forward-looking statements for any reason, even if new information becomes available or other events occur in the future.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8" w:name="page39"/>
    <w:bookmarkEnd w:id="3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In this report all references to “Incyte,” “we,” “us,” “our” or the “Company” mean Incyte Corporation and our subsidiaries, except where it is made clear that the term means only the parent company.</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Incyte and JAKAFI are our registered trademarks. We also refer to trademarks of other corporations and organizations in this Quarterly Report on Form 10-Q.</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Incyte is a biopharmaceutical company focused on the discovery, development and commercialization of proprietary therapeutics. Our global headquarters is located in Wilmington, Delaware. We conduct our European clinical development operations from our offices in Geneva, Switzerland, and Lausanne, Switzerland; our Japanese office is in Tokyo.</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Marketed Indications - JAKAFI (ruxolitinib)</w:t>
      </w:r>
    </w:p>
    <w:p>
      <w:pPr>
        <w:spacing w:after="0" w:line="229" w:lineRule="exact"/>
        <w:rPr>
          <w:sz w:val="20"/>
          <w:szCs w:val="20"/>
          <w:color w:val="auto"/>
        </w:rPr>
      </w:pPr>
    </w:p>
    <w:p>
      <w:pPr>
        <w:jc w:val="both"/>
        <w:ind w:firstLine="648"/>
        <w:spacing w:after="0" w:line="218" w:lineRule="exact"/>
        <w:rPr>
          <w:sz w:val="20"/>
          <w:szCs w:val="20"/>
          <w:color w:val="auto"/>
        </w:rPr>
      </w:pPr>
      <w:r>
        <w:rPr>
          <w:rFonts w:ascii="Arial" w:cs="Arial" w:eastAsia="Arial" w:hAnsi="Arial"/>
          <w:sz w:val="18"/>
          <w:szCs w:val="18"/>
          <w:color w:val="auto"/>
        </w:rPr>
        <w:t>JAKAFI (ruxolitinib) is our first product to be approved for sale in the United States. It was approved by the U.S. Food and Drug Administration (FDA) in November 2011 for the treatment of patients with intermediate or high</w:t>
      </w:r>
      <w:r>
        <w:rPr>
          <w:rFonts w:ascii="MS PGothic" w:cs="MS PGothic" w:eastAsia="MS PGothic" w:hAnsi="MS PGothic"/>
          <w:sz w:val="18"/>
          <w:szCs w:val="18"/>
          <w:color w:val="auto"/>
        </w:rPr>
        <w:t>‑</w:t>
      </w:r>
      <w:r>
        <w:rPr>
          <w:rFonts w:ascii="Arial" w:cs="Arial" w:eastAsia="Arial" w:hAnsi="Arial"/>
          <w:sz w:val="18"/>
          <w:szCs w:val="18"/>
          <w:color w:val="auto"/>
        </w:rPr>
        <w:t>risk myelofibrosis and in December 2014 for the treatment of patients with polycythemia vera who have had an inadequate response to or are intolerant of hydroxyurea. Myelofibrosis and polycythemia vera are both rare blood cancers. Under our collaboration agreement with Novartis International Pharmaceutical Ltd., Novartis received exclusive development and commercialization rights to ruxolitinib outside of the United States for all hematologic and oncologic indications and sells ruxolitinib outside of the United States under the name JAKAVI.</w:t>
      </w:r>
    </w:p>
    <w:p>
      <w:pPr>
        <w:spacing w:after="0" w:line="207" w:lineRule="exact"/>
        <w:rPr>
          <w:sz w:val="20"/>
          <w:szCs w:val="20"/>
          <w:color w:val="auto"/>
        </w:rPr>
      </w:pPr>
    </w:p>
    <w:p>
      <w:pPr>
        <w:jc w:val="both"/>
        <w:ind w:firstLine="648"/>
        <w:spacing w:after="0" w:line="218" w:lineRule="exact"/>
        <w:rPr>
          <w:sz w:val="20"/>
          <w:szCs w:val="20"/>
          <w:color w:val="auto"/>
        </w:rPr>
      </w:pPr>
      <w:r>
        <w:rPr>
          <w:rFonts w:ascii="Arial" w:cs="Arial" w:eastAsia="Arial" w:hAnsi="Arial"/>
          <w:sz w:val="18"/>
          <w:szCs w:val="18"/>
          <w:color w:val="auto"/>
        </w:rPr>
        <w:t>In 2003, we initiated a research and development program to explore the inhibition of enzymes called janus associated kinases (JAK). The JAK family is composed of four tyrosine kinases—JAK1, JAK2, JAK3 and Tyk2—that are involved in the signaling of a number of cytokines and growth factors. JAKs are central to a number of biologic processes, including the formation and development of blood cells and the regulation of immune functions. Dysregulation of the JAK</w:t>
      </w:r>
      <w:r>
        <w:rPr>
          <w:rFonts w:ascii="MS PGothic" w:cs="MS PGothic" w:eastAsia="MS PGothic" w:hAnsi="MS PGothic"/>
          <w:sz w:val="18"/>
          <w:szCs w:val="18"/>
          <w:color w:val="auto"/>
        </w:rPr>
        <w:t>‑</w:t>
      </w:r>
      <w:r>
        <w:rPr>
          <w:rFonts w:ascii="Arial" w:cs="Arial" w:eastAsia="Arial" w:hAnsi="Arial"/>
          <w:sz w:val="18"/>
          <w:szCs w:val="18"/>
          <w:color w:val="auto"/>
        </w:rPr>
        <w:t>STAT signaling pathway has been associated with a number of diseases, including myeloproliferative neoplasms, other hematological malignancies, rheumatoid arthritis and other chronic inflammatory diseases. Myeloproliferative neoplasms are a closely related group of blood diseases in which blood cells, specifically platelets, white blood cells, and red blood cells, grow or act abnormally. These diseases include myelofibrosis (MF), polycythemia vera (PV) and essential thrombocythemia (ET).</w:t>
      </w:r>
    </w:p>
    <w:p>
      <w:pPr>
        <w:spacing w:after="0" w:line="20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We have discovered multiple potent, selective and orally bioavailable JAK inhibitors that are selective for JAK1 or JAK1 and JAK2. JAKAFI is the most advanced compound in our JAK program. It is an oral JAK1 and JAK2 inhibitor.</w:t>
      </w:r>
    </w:p>
    <w:p>
      <w:pPr>
        <w:spacing w:after="0" w:line="147" w:lineRule="exact"/>
        <w:rPr>
          <w:sz w:val="20"/>
          <w:szCs w:val="20"/>
          <w:color w:val="auto"/>
        </w:rPr>
      </w:pPr>
    </w:p>
    <w:p>
      <w:pPr>
        <w:jc w:val="both"/>
        <w:ind w:firstLine="648"/>
        <w:spacing w:after="0" w:line="220" w:lineRule="exact"/>
        <w:rPr>
          <w:sz w:val="20"/>
          <w:szCs w:val="20"/>
          <w:color w:val="auto"/>
        </w:rPr>
      </w:pPr>
      <w:r>
        <w:rPr>
          <w:rFonts w:ascii="Arial" w:cs="Arial" w:eastAsia="Arial" w:hAnsi="Arial"/>
          <w:sz w:val="18"/>
          <w:szCs w:val="18"/>
          <w:color w:val="auto"/>
        </w:rPr>
        <w:t>JAKAFI is marketed in the United States through our own specialty sales force and commercial team. JAKAFI was the first FDA</w:t>
      </w:r>
      <w:r>
        <w:rPr>
          <w:rFonts w:ascii="MS PGothic" w:cs="MS PGothic" w:eastAsia="MS PGothic" w:hAnsi="MS PGothic"/>
          <w:sz w:val="18"/>
          <w:szCs w:val="18"/>
          <w:color w:val="auto"/>
        </w:rPr>
        <w:t>‑</w:t>
      </w:r>
      <w:r>
        <w:rPr>
          <w:rFonts w:ascii="Arial" w:cs="Arial" w:eastAsia="Arial" w:hAnsi="Arial"/>
          <w:sz w:val="18"/>
          <w:szCs w:val="18"/>
          <w:color w:val="auto"/>
        </w:rPr>
        <w:t>approved JAK inhibitor for any indication and was the first and remains the only product approved by the FDA for use in MF and PV. The FDA has granted JAKAFI orphan drug status for MF, PV, ET, acute lymphoblastic leukemia (ALL) and graft-versus-host-disease (GVHD).</w:t>
      </w:r>
    </w:p>
    <w:p>
      <w:pPr>
        <w:spacing w:after="0" w:line="204" w:lineRule="exact"/>
        <w:rPr>
          <w:sz w:val="20"/>
          <w:szCs w:val="20"/>
          <w:color w:val="auto"/>
        </w:rPr>
      </w:pPr>
    </w:p>
    <w:p>
      <w:pPr>
        <w:jc w:val="both"/>
        <w:ind w:firstLine="648"/>
        <w:spacing w:after="0" w:line="219" w:lineRule="exact"/>
        <w:rPr>
          <w:sz w:val="20"/>
          <w:szCs w:val="20"/>
          <w:color w:val="auto"/>
        </w:rPr>
      </w:pPr>
      <w:r>
        <w:rPr>
          <w:rFonts w:ascii="Arial" w:cs="Arial" w:eastAsia="Arial" w:hAnsi="Arial"/>
          <w:sz w:val="18"/>
          <w:szCs w:val="18"/>
          <w:color w:val="auto"/>
        </w:rPr>
        <w:t>To help ensure that all eligible MF and PV patients have access to JAKAFI, we have established a patient assistance program called IncyteCARES (CARES stands for Connecting to Access, Reimbursement, Education and Support). IncyteCARES helps ensure that any patient with intermediate or high</w:t>
      </w:r>
      <w:r>
        <w:rPr>
          <w:rFonts w:ascii="MS PGothic" w:cs="MS PGothic" w:eastAsia="MS PGothic" w:hAnsi="MS PGothic"/>
          <w:sz w:val="18"/>
          <w:szCs w:val="18"/>
          <w:color w:val="auto"/>
        </w:rPr>
        <w:t>‑</w:t>
      </w:r>
      <w:r>
        <w:rPr>
          <w:rFonts w:ascii="Arial" w:cs="Arial" w:eastAsia="Arial" w:hAnsi="Arial"/>
          <w:sz w:val="18"/>
          <w:szCs w:val="18"/>
          <w:color w:val="auto"/>
        </w:rPr>
        <w:t>risk MF or uncontrolled PV who meets certain eligibility criteria and is prescribed JAKAFI has access to the product regardless of ability to pay and has access to ongoing support and educational resources during treatment. In addition, IncyteCARES works closely with payers to help facilitate insurance coverage of JAKAFI.</w:t>
      </w:r>
    </w:p>
    <w:p>
      <w:pPr>
        <w:spacing w:after="0" w:line="203" w:lineRule="exact"/>
        <w:rPr>
          <w:sz w:val="20"/>
          <w:szCs w:val="20"/>
          <w:color w:val="auto"/>
        </w:rPr>
      </w:pPr>
    </w:p>
    <w:p>
      <w:pPr>
        <w:jc w:val="both"/>
        <w:ind w:firstLine="648"/>
        <w:spacing w:after="0" w:line="221" w:lineRule="exact"/>
        <w:rPr>
          <w:sz w:val="20"/>
          <w:szCs w:val="20"/>
          <w:color w:val="auto"/>
        </w:rPr>
      </w:pPr>
      <w:r>
        <w:rPr>
          <w:rFonts w:ascii="Arial" w:cs="Arial" w:eastAsia="Arial" w:hAnsi="Arial"/>
          <w:sz w:val="17"/>
          <w:szCs w:val="17"/>
          <w:color w:val="auto"/>
        </w:rPr>
        <w:t>JAKAFI is distributed primarily through a network of specialty pharmacy providers and wholesalers that allow for efficient delivery of the medication by mail directly to patients or direct delivery to the patient’s pharmacy. Our distribution process uses a model that is well</w:t>
      </w:r>
      <w:r>
        <w:rPr>
          <w:rFonts w:ascii="MS PGothic" w:cs="MS PGothic" w:eastAsia="MS PGothic" w:hAnsi="MS PGothic"/>
          <w:sz w:val="17"/>
          <w:szCs w:val="17"/>
          <w:color w:val="auto"/>
        </w:rPr>
        <w:t>‑</w:t>
      </w:r>
      <w:r>
        <w:rPr>
          <w:rFonts w:ascii="Arial" w:cs="Arial" w:eastAsia="Arial" w:hAnsi="Arial"/>
          <w:sz w:val="17"/>
          <w:szCs w:val="17"/>
          <w:color w:val="auto"/>
        </w:rPr>
        <w:t>established and familiar to physicians who practice within the oncology field.</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9" w:name="page40"/>
    <w:bookmarkEnd w:id="3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To further support appropriate use and future development of JAKAFI, our U.S. Medical Affairs department is responsible for providing appropriate scientific and medical education and information to physicians, preparing scientific presentations and publications, and overseeing the process for supporting investigator sponsored trials.</w:t>
      </w:r>
    </w:p>
    <w:p>
      <w:pPr>
        <w:spacing w:after="0" w:line="166" w:lineRule="exact"/>
        <w:rPr>
          <w:sz w:val="20"/>
          <w:szCs w:val="20"/>
          <w:color w:val="auto"/>
        </w:rPr>
      </w:pPr>
    </w:p>
    <w:p>
      <w:pPr>
        <w:jc w:val="both"/>
        <w:ind w:firstLine="648"/>
        <w:spacing w:after="0" w:line="218" w:lineRule="exact"/>
        <w:rPr>
          <w:sz w:val="20"/>
          <w:szCs w:val="20"/>
          <w:color w:val="auto"/>
        </w:rPr>
      </w:pPr>
      <w:r>
        <w:rPr>
          <w:rFonts w:ascii="Arial" w:cs="Arial" w:eastAsia="Arial" w:hAnsi="Arial"/>
          <w:sz w:val="17"/>
          <w:szCs w:val="17"/>
          <w:i w:val="1"/>
          <w:iCs w:val="1"/>
          <w:color w:val="auto"/>
        </w:rPr>
        <w:t xml:space="preserve">Myelofibrosis. </w:t>
      </w:r>
      <w:r>
        <w:rPr>
          <w:rFonts w:ascii="Arial" w:cs="Arial" w:eastAsia="Arial" w:hAnsi="Arial"/>
          <w:sz w:val="17"/>
          <w:szCs w:val="17"/>
          <w:color w:val="auto"/>
        </w:rPr>
        <w:t>Myelofibrosis is a rare, life</w:t>
      </w:r>
      <w:r>
        <w:rPr>
          <w:rFonts w:ascii="MS PGothic" w:cs="MS PGothic" w:eastAsia="MS PGothic" w:hAnsi="MS PGothic"/>
          <w:sz w:val="17"/>
          <w:szCs w:val="17"/>
          <w:color w:val="auto"/>
        </w:rPr>
        <w:t>‑</w:t>
      </w:r>
      <w:r>
        <w:rPr>
          <w:rFonts w:ascii="Arial" w:cs="Arial" w:eastAsia="Arial" w:hAnsi="Arial"/>
          <w:sz w:val="17"/>
          <w:szCs w:val="17"/>
          <w:color w:val="auto"/>
        </w:rPr>
        <w:t>threatening condition. MF, considered the most serious of the</w:t>
      </w:r>
      <w:r>
        <w:rPr>
          <w:rFonts w:ascii="Arial" w:cs="Arial" w:eastAsia="Arial" w:hAnsi="Arial"/>
          <w:sz w:val="17"/>
          <w:szCs w:val="17"/>
          <w:i w:val="1"/>
          <w:iCs w:val="1"/>
          <w:color w:val="auto"/>
        </w:rPr>
        <w:t xml:space="preserve"> </w:t>
      </w:r>
      <w:r>
        <w:rPr>
          <w:rFonts w:ascii="Arial" w:cs="Arial" w:eastAsia="Arial" w:hAnsi="Arial"/>
          <w:sz w:val="17"/>
          <w:szCs w:val="17"/>
          <w:color w:val="auto"/>
        </w:rPr>
        <w:t>myeloproliferative neoplasms, can occur either as primary MF, or as secondary MF that develops in some patients who previously had polycythemia vera or essential thrombocythemia. We estimate there are between 16,000 and 18,500 patients with MF in the United States. Based on the modern prognostic scoring systems referred to as International Prognostic Scoring System and Dynamic International Prognostic Scoring System, we believe intermediate and high</w:t>
      </w:r>
      <w:r>
        <w:rPr>
          <w:rFonts w:ascii="MS PGothic" w:cs="MS PGothic" w:eastAsia="MS PGothic" w:hAnsi="MS PGothic"/>
          <w:sz w:val="17"/>
          <w:szCs w:val="17"/>
          <w:color w:val="auto"/>
        </w:rPr>
        <w:t>‑</w:t>
      </w:r>
      <w:r>
        <w:rPr>
          <w:rFonts w:ascii="Arial" w:cs="Arial" w:eastAsia="Arial" w:hAnsi="Arial"/>
          <w:sz w:val="17"/>
          <w:szCs w:val="17"/>
          <w:color w:val="auto"/>
        </w:rPr>
        <w:t>risk patients represent 80% to 90% of all patients with MF in the United States and encompass patients over the age of 65, or patients who have or have ever had any of the following: anemia, constitutional symptoms, elevated white blood cell or blast counts, or platelet counts less than 100,000 per microliter of blood.</w:t>
      </w:r>
    </w:p>
    <w:p>
      <w:pPr>
        <w:spacing w:after="0" w:line="20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Most MF patients have enlarged spleens and many suffer from debilitating symptoms, including abdominal discomfort, pruritus (itching), night sweats and cachexia (involuntary weight loss). There were no FDA approved therapies for MF until the approval of JAKAFI.</w:t>
      </w:r>
    </w:p>
    <w:p>
      <w:pPr>
        <w:spacing w:after="0" w:line="181" w:lineRule="exact"/>
        <w:rPr>
          <w:sz w:val="20"/>
          <w:szCs w:val="20"/>
          <w:color w:val="auto"/>
        </w:rPr>
      </w:pPr>
    </w:p>
    <w:p>
      <w:pPr>
        <w:jc w:val="both"/>
        <w:ind w:firstLine="648"/>
        <w:spacing w:after="0" w:line="219" w:lineRule="exact"/>
        <w:rPr>
          <w:sz w:val="20"/>
          <w:szCs w:val="20"/>
          <w:color w:val="auto"/>
        </w:rPr>
      </w:pPr>
      <w:r>
        <w:rPr>
          <w:rFonts w:ascii="Arial" w:cs="Arial" w:eastAsia="Arial" w:hAnsi="Arial"/>
          <w:sz w:val="17"/>
          <w:szCs w:val="17"/>
          <w:color w:val="auto"/>
        </w:rPr>
        <w:t>The FDA approval was based on results from two randomized Phase III trials (COMFORT</w:t>
      </w:r>
      <w:r>
        <w:rPr>
          <w:rFonts w:ascii="MS PGothic" w:cs="MS PGothic" w:eastAsia="MS PGothic" w:hAnsi="MS PGothic"/>
          <w:sz w:val="17"/>
          <w:szCs w:val="17"/>
          <w:color w:val="auto"/>
        </w:rPr>
        <w:t>‑</w:t>
      </w:r>
      <w:r>
        <w:rPr>
          <w:rFonts w:ascii="Arial" w:cs="Arial" w:eastAsia="Arial" w:hAnsi="Arial"/>
          <w:sz w:val="17"/>
          <w:szCs w:val="17"/>
          <w:color w:val="auto"/>
        </w:rPr>
        <w:t>I and COMFORT</w:t>
      </w:r>
      <w:r>
        <w:rPr>
          <w:rFonts w:ascii="MS PGothic" w:cs="MS PGothic" w:eastAsia="MS PGothic" w:hAnsi="MS PGothic"/>
          <w:sz w:val="17"/>
          <w:szCs w:val="17"/>
          <w:color w:val="auto"/>
        </w:rPr>
        <w:t>‑</w:t>
      </w:r>
      <w:r>
        <w:rPr>
          <w:rFonts w:ascii="Arial" w:cs="Arial" w:eastAsia="Arial" w:hAnsi="Arial"/>
          <w:sz w:val="17"/>
          <w:szCs w:val="17"/>
          <w:color w:val="auto"/>
        </w:rPr>
        <w:t>II), which demonstrated that patients treated with JAKAFI experienced significant reductions in splenomegaly (enlarged spleen). COMFORT</w:t>
      </w:r>
      <w:r>
        <w:rPr>
          <w:rFonts w:ascii="MS PGothic" w:cs="MS PGothic" w:eastAsia="MS PGothic" w:hAnsi="MS PGothic"/>
          <w:sz w:val="17"/>
          <w:szCs w:val="17"/>
          <w:color w:val="auto"/>
        </w:rPr>
        <w:t>‑</w:t>
      </w:r>
      <w:r>
        <w:rPr>
          <w:rFonts w:ascii="Arial" w:cs="Arial" w:eastAsia="Arial" w:hAnsi="Arial"/>
          <w:sz w:val="17"/>
          <w:szCs w:val="17"/>
          <w:color w:val="auto"/>
        </w:rPr>
        <w:t>I also demonstrated improvements in symptoms. The most common hematologic adverse reactions in both trials were thrombocytopenia and anemia. These events rarely led to discontinuation of JAKAFI treatment. The most common non</w:t>
      </w:r>
      <w:r>
        <w:rPr>
          <w:rFonts w:ascii="MS PGothic" w:cs="MS PGothic" w:eastAsia="MS PGothic" w:hAnsi="MS PGothic"/>
          <w:sz w:val="17"/>
          <w:szCs w:val="17"/>
          <w:color w:val="auto"/>
        </w:rPr>
        <w:t>‑</w:t>
      </w:r>
      <w:r>
        <w:rPr>
          <w:rFonts w:ascii="Arial" w:cs="Arial" w:eastAsia="Arial" w:hAnsi="Arial"/>
          <w:sz w:val="17"/>
          <w:szCs w:val="17"/>
          <w:color w:val="auto"/>
        </w:rPr>
        <w:t>hematologic adverse reactions were bruising, dizziness and headache.</w:t>
      </w:r>
    </w:p>
    <w:p>
      <w:pPr>
        <w:spacing w:after="0" w:line="205" w:lineRule="exact"/>
        <w:rPr>
          <w:sz w:val="20"/>
          <w:szCs w:val="20"/>
          <w:color w:val="auto"/>
        </w:rPr>
      </w:pPr>
    </w:p>
    <w:p>
      <w:pPr>
        <w:jc w:val="both"/>
        <w:ind w:firstLine="648"/>
        <w:spacing w:after="0" w:line="218" w:lineRule="exact"/>
        <w:rPr>
          <w:sz w:val="20"/>
          <w:szCs w:val="20"/>
          <w:color w:val="auto"/>
        </w:rPr>
      </w:pPr>
      <w:r>
        <w:rPr>
          <w:rFonts w:ascii="Arial" w:cs="Arial" w:eastAsia="Arial" w:hAnsi="Arial"/>
          <w:sz w:val="18"/>
          <w:szCs w:val="18"/>
          <w:color w:val="auto"/>
        </w:rPr>
        <w:t>In August 2014, the FDA approved supplemental labeling for JAKAFI to include Kaplan</w:t>
      </w:r>
      <w:r>
        <w:rPr>
          <w:rFonts w:ascii="MS PGothic" w:cs="MS PGothic" w:eastAsia="MS PGothic" w:hAnsi="MS PGothic"/>
          <w:sz w:val="18"/>
          <w:szCs w:val="18"/>
          <w:color w:val="auto"/>
        </w:rPr>
        <w:t>‑</w:t>
      </w:r>
      <w:r>
        <w:rPr>
          <w:rFonts w:ascii="Arial" w:cs="Arial" w:eastAsia="Arial" w:hAnsi="Arial"/>
          <w:sz w:val="18"/>
          <w:szCs w:val="18"/>
          <w:color w:val="auto"/>
        </w:rPr>
        <w:t>Meier overall survival curves as well as additional safety and dosing information. The overall survival information is based on three</w:t>
      </w:r>
      <w:r>
        <w:rPr>
          <w:rFonts w:ascii="MS PGothic" w:cs="MS PGothic" w:eastAsia="MS PGothic" w:hAnsi="MS PGothic"/>
          <w:sz w:val="18"/>
          <w:szCs w:val="18"/>
          <w:color w:val="auto"/>
        </w:rPr>
        <w:t>‑</w:t>
      </w:r>
      <w:r>
        <w:rPr>
          <w:rFonts w:ascii="Arial" w:cs="Arial" w:eastAsia="Arial" w:hAnsi="Arial"/>
          <w:sz w:val="18"/>
          <w:szCs w:val="18"/>
          <w:color w:val="auto"/>
        </w:rPr>
        <w:t>year data from COMFORT</w:t>
      </w:r>
      <w:r>
        <w:rPr>
          <w:rFonts w:ascii="MS PGothic" w:cs="MS PGothic" w:eastAsia="MS PGothic" w:hAnsi="MS PGothic"/>
          <w:sz w:val="18"/>
          <w:szCs w:val="18"/>
          <w:color w:val="auto"/>
        </w:rPr>
        <w:t>‑</w:t>
      </w:r>
      <w:r>
        <w:rPr>
          <w:rFonts w:ascii="Arial" w:cs="Arial" w:eastAsia="Arial" w:hAnsi="Arial"/>
          <w:sz w:val="18"/>
          <w:szCs w:val="18"/>
          <w:color w:val="auto"/>
        </w:rPr>
        <w:t>I and II, and shows that at three years the probability of survival for patients treated with JAKAFI in COMFORT</w:t>
      </w:r>
      <w:r>
        <w:rPr>
          <w:rFonts w:ascii="MS PGothic" w:cs="MS PGothic" w:eastAsia="MS PGothic" w:hAnsi="MS PGothic"/>
          <w:sz w:val="18"/>
          <w:szCs w:val="18"/>
          <w:color w:val="auto"/>
        </w:rPr>
        <w:t>‑</w:t>
      </w:r>
      <w:r>
        <w:rPr>
          <w:rFonts w:ascii="Arial" w:cs="Arial" w:eastAsia="Arial" w:hAnsi="Arial"/>
          <w:sz w:val="18"/>
          <w:szCs w:val="18"/>
          <w:color w:val="auto"/>
        </w:rPr>
        <w:t>I was 70% and for those patients originally randomized to placebo it was 61%. In COMFORT</w:t>
      </w:r>
      <w:r>
        <w:rPr>
          <w:rFonts w:ascii="MS PGothic" w:cs="MS PGothic" w:eastAsia="MS PGothic" w:hAnsi="MS PGothic"/>
          <w:sz w:val="18"/>
          <w:szCs w:val="18"/>
          <w:color w:val="auto"/>
        </w:rPr>
        <w:t>‑</w:t>
      </w:r>
      <w:r>
        <w:rPr>
          <w:rFonts w:ascii="Arial" w:cs="Arial" w:eastAsia="Arial" w:hAnsi="Arial"/>
          <w:sz w:val="18"/>
          <w:szCs w:val="18"/>
          <w:color w:val="auto"/>
        </w:rPr>
        <w:t>II, at three years the probability of survival for patients treated with JAKAFI was 79% and for patients originally randomized to best available therapy it was 59%. In December 2016, we announced an exploratory pooled analysis of data from the five-year follow-up of the COMFORT-I and COMFORT-II trials of patients treated with JAKAFI, which further supported previously published overall survival findings.</w:t>
      </w:r>
    </w:p>
    <w:p>
      <w:pPr>
        <w:spacing w:after="0" w:line="20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October 2017, the FDA approved updated labeling for JAKAFI to include the addition of new patient-reported outcome (PRO) data from the COMFORT-I study, as well as updating the warning related to progressive multifocal leukoencephalopathy. An exploratory analysis of PRO data of patients with myelofibrosis receiving JAKAFI showed improvement in fatigue-related symptoms at Week 24. Fatigue response (defined as a reduction of 4.5 points or more from baseline in the PROMIS® Fatigue total score) was reported in 35% of patients treated with JAKAFI versus 14% of the patients treated with placebo.</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September 2016, we announced that JAKAFI had been included as a recommended treatment in the latest National Comprehensive Cancer Network (NCCN) Clinical Practice Guidelines in Oncology for myelofibrosis, underscoring the important and long-term clinical benefits seen in patients treated with JAKAFI.</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Polycythemia Vera. </w:t>
      </w:r>
      <w:r>
        <w:rPr>
          <w:rFonts w:ascii="Arial" w:cs="Arial" w:eastAsia="Arial" w:hAnsi="Arial"/>
          <w:sz w:val="18"/>
          <w:szCs w:val="18"/>
          <w:color w:val="auto"/>
        </w:rPr>
        <w:t>PV is a myeloproliferative neoplasm typically characterized by elevated hematocrit, the volume</w:t>
      </w:r>
      <w:r>
        <w:rPr>
          <w:rFonts w:ascii="Arial" w:cs="Arial" w:eastAsia="Arial" w:hAnsi="Arial"/>
          <w:sz w:val="18"/>
          <w:szCs w:val="18"/>
          <w:i w:val="1"/>
          <w:iCs w:val="1"/>
          <w:color w:val="auto"/>
        </w:rPr>
        <w:t xml:space="preserve"> </w:t>
      </w:r>
      <w:r>
        <w:rPr>
          <w:rFonts w:ascii="Arial" w:cs="Arial" w:eastAsia="Arial" w:hAnsi="Arial"/>
          <w:sz w:val="18"/>
          <w:szCs w:val="18"/>
          <w:color w:val="auto"/>
        </w:rPr>
        <w:t>percentage of red blood cells in whole blood, which can lead to a thickening of the blood and an increased risk of blood clots, as well as an elevated white blood cell and platelet count. When phlebotomy can no longer control PV, chemotherapy such as hydroxyurea, or interferon, is utilized. Approximately 25,000 patients with PV in the United States are considered uncontrolled because they have an inadequate response to or are intolerant of hydroxyurea, the most commonly used chemotherapeutic agent for the treatment of PV.</w:t>
      </w:r>
    </w:p>
    <w:p>
      <w:pPr>
        <w:spacing w:after="0" w:line="193"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In December 2014, the FDA approved JAKAFI for the treatment of patients with PV who have had an inadequate response to or are intolerant of hydroxyurea. The approval of JAKAFI for PV was based on data from the pivotal Phase III RESPONSE trial. In this trial, patients treated with JAKAFI demonstrated superior hematocrit control and reductions in spleen volume compared to best available therapy. In addition, a greater proportion of patients treated with JAKAFI</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0" w:name="page41"/>
    <w:bookmarkEnd w:id="4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20" w:lineRule="exact"/>
        <w:rPr>
          <w:sz w:val="20"/>
          <w:szCs w:val="20"/>
          <w:color w:val="auto"/>
        </w:rPr>
      </w:pPr>
      <w:r>
        <w:rPr>
          <w:rFonts w:ascii="Arial" w:cs="Arial" w:eastAsia="Arial" w:hAnsi="Arial"/>
          <w:sz w:val="17"/>
          <w:szCs w:val="17"/>
          <w:color w:val="auto"/>
        </w:rPr>
        <w:t>achieved complete hematologic remission—which was defined as achieving hematocrit control, and lowering platelet and white blood cell counts. In the RESPONSE trial, the most common hematologic adverse reactions (incidence &gt; 20%) were thrombocytopenia and anemia. The most common non</w:t>
      </w:r>
      <w:r>
        <w:rPr>
          <w:rFonts w:ascii="MS PGothic" w:cs="MS PGothic" w:eastAsia="MS PGothic" w:hAnsi="MS PGothic"/>
          <w:sz w:val="17"/>
          <w:szCs w:val="17"/>
          <w:color w:val="auto"/>
        </w:rPr>
        <w:t>‑</w:t>
      </w:r>
      <w:r>
        <w:rPr>
          <w:rFonts w:ascii="Arial" w:cs="Arial" w:eastAsia="Arial" w:hAnsi="Arial"/>
          <w:sz w:val="17"/>
          <w:szCs w:val="17"/>
          <w:color w:val="auto"/>
        </w:rPr>
        <w:t>hematologic adverse events (incidence &gt;10%) were headache, abdominal pain, diarrhea, dizziness, fatigue, pruritus, dyspnea and muscle spasms.</w:t>
      </w:r>
    </w:p>
    <w:p>
      <w:pPr>
        <w:spacing w:after="0" w:line="20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March 2016, the FDA approved supplemental labeling for JAKAFI to include additional safety data as well as efficacy analyses from the RESPONSE trial to assess the durability of response in JAKAFI treated patients after 80 weeks. At this time, 83% patients were still on treatment, and 76% of the responders at 32 weeks maintained their response through 80 weeks.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June 2016, we announced data from the Phase III RESPONSE-2 study of JAKAFI in patients with inadequately controlled PV that was resistant to or intolerant of hydroxyurea who did not have an enlarged spleen. These data showed that JAKAFI was superior to best available therapy in maintaining hematocrit control (62.2% vs. 18.7%, respectively; P&lt;0.0001) without the need for phlebotomy.</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August 2017, we announced that JAKAFI had been included as a recommended treatment in the latest NCCN Guidelines for patients with polycythemia vera who have had an inadequate response to first-line therapies, such as hydroxyurea.</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retained all development and commercialization rights to JAKAFI in the United States and are eligible to receive development and commercial milestones as well as royalties from product sales outside the United States. We hold patents that cover the composition of matter and use of ruxolitinib which patents, including applicable extensions, expire in late 2027.</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Marketed Indications - ICLUSIG (ponatinib)</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June 2016, we acquired the European operations of ARIAD Pharmaceuticals, Inc. (ARIAD) and obtained an exclusive license to develop and commercialize ICLUSIG (ponatinib) in Europe and other select countries. ICLUSIG is a kinase inhibitor. The primary target for ICLUSIG is BCR-ABL, an abnormal tyrosine kinase that is expressed in chronic myeloid leukemia (CML) and Philadelphia-chromosome positive acute lymphoblastic leukemia (Ph+ ALL).</w:t>
      </w:r>
    </w:p>
    <w:p>
      <w:pPr>
        <w:spacing w:after="0" w:line="17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the European Union, ICLUSIG is approved for the treatment of adult patients with chronic phase, accelerated phase or blast phase CML who are resistant to dasatinib or nilotinib; who are intolerant to dasatinib or nilotinib and for whom subsequent treatment with imatinib is not clinically appropriate; or who have the T315I mutation, or the treatment of adult patients with Ph+ ALL who are resistant to dasatinib; who are intolerant to dasatinib and for whom subsequent treatment with imatinib is not clinically appropriate; or who have the T315I mutation.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Programs in Oncology</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believe that the future of cancer treatment lies in the use of immune therapies, which seek to recruit the patient’s own immune system to tackle cancer, and targeted therapies, which aim to block, directly or indirectly, the effects of cancer-causing mutations. Our most advanced programs are detailed below.</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JAK Inhibition</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Building upon positive, independently published third-party data of ruxolitinib in GVHD, we initiated the REACH clinical program to evaluate ruxolitinib in patients with steroid-refractory GVHD. The result of REACH1, a pivotal Phase II trial in steroid-refractory acute GVHD, was announced in June 2018; the trial met its primary endpoint, and a supplemental new drug application (sNDA) is being prepared for submission to the FDA. REACH2, the Novartis-sponsored Phase III trial in steroid-refractory acute GVHD, and REACH3, the Phase III trial in steroid-refractory chronic GVHD that is co-sponsored by Incyte and Novartis, are both underway. In June 2016, we announced that the FDA granted Breakthrough Therapy Designation for ruxolitinib in patients with acute GVHD. In April 2016, we announced an agreement with Eli Lilly and Company enabling us to develop and commercialize ruxolitinib in the United States for the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1" w:name="page42"/>
    <w:bookmarkEnd w:id="4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treatment of GVHD. We also announced an agreement with Novartis granting Novartis exclusive research, development and commercialization rights for ruxolitinib in GVHD outside the United States.</w:t>
      </w:r>
    </w:p>
    <w:p>
      <w:pPr>
        <w:spacing w:after="0" w:line="17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A proof-of-concept trial of itacitinib, a selective JAK1 inhibitor, is ongoing for the treatment of patients with acute GVHD. Based on preliminary data from this trial, a pivotal program investigating itacitinib for the treatment of patients with treatment-naïve acute GVHD was initiated in July 2017. The FDA has granted itacitinib orphan drug status for GVHD.</w:t>
      </w:r>
    </w:p>
    <w:p>
      <w:pPr>
        <w:spacing w:after="0" w:line="14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GVHD is a condition that can occur after an allogeneic transplant (the transfer of genetically dissimilar stem cells or tissue). In GVHD, the donated bone marrow or peripheral blood stem cells view the recipient’s body as foreign and attack the body. 12-month survival rates in patients with Grade III or IV steroid-refractory acute GVHD are 50% or less and the diagnosed incidence of acute and chronic GVHD is approximately 20,000 per year across the United States, Europe and Japan.</w:t>
      </w:r>
    </w:p>
    <w:p>
      <w:pPr>
        <w:spacing w:after="0" w:line="18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Following positive proof-of-concept data, we initiated a pivotal program investigating ruxolitinib for the treatment of patients with essential thrombocythemia. ET is a Philadelphia chromosome negative myeloproliferative neoplasm, characterized by the overproduction of platelets in the bone marrow. The pivotal RESET trial is enrolling ET patients that are refractory to or intolerant of hydroxyurea, the current standard of care for first-line treatment of these patients.</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clinical program to evaluate itacitinib in solid tumors includes a clinical trial in combination with AstraZeneca/MedImmune’s EGFR inhibitor osimertinib.</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PD-1 Antagonism</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October 2017, we and MacroGenics, Inc. announced an exclusive global collaboration and license agreement for MacroGenics’ INCMGA0012, an investigational monoclonal antibody that inhibits PD-1. Under this collaboration, we obtained exclusive worldwide rights for the development and commercialization of INCMGA0012 in all indications. Enrollment in the dose escalation portion of the Phase I study of INCMGA0012 has been completed and the molecule is currently being evaluated as monotherapy across four solid tumor types in the dose expansion portion of the study. Registration-directed trials in MSI-high endometrial cancer, merkel cell carcinoma, and anal cancer are planned.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PI3K-delta Inhibition</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PI3K-delta pathway mediates oncogenic signaling in B cell malignancies. INCB50465 is a PI3K-delta inhibitor that has demonstrated potency and selectivity in preclinical studies and has potential therapeutic utility in the treatment of patients with lymphoma. We initiated the CITADEL clinical program to evaluate INCB50465 in non-Hodgkin lymphomas. We are currently running Phase II trials in follicular lymphoma, marginal zone lymphoma and mantle cell lymphoma; we recently discontinued monotherapy development in diffuse large b-cell lymphoma (DLBCL) because the study did not meet defined response rate criteria.</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FGFR1/2/3 Inhibition</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Pemigatinib (formerly INCB54828) is an inhibitor of the FGFR isoforms 1, 2 and 3 that has demonstrated potency and selectivity in preclinical studies. The FGFR family of receptor tyrosine kinases can act as oncogenic drivers in a number of liquid and solid tumor types. We initiated the FIGHT clinical program to evaluate pemigatinib across a spectrum of cancers that are driven by FGF/FGFR mutations. The program has three Phase II trials enrolling – FIGHT-201 in patients with bladder cancer, FIGHT-202 in patients with cholangiocarcinoma, and FIGHT-203 in patients with 8p11 myeloproliferative syndrome (8p11 MPN).</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2" w:name="page43"/>
    <w:bookmarkEnd w:id="4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342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5437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178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Indication</w:t>
            </w:r>
          </w:p>
        </w:tc>
        <w:tc>
          <w:tcPr>
            <w:tcW w:w="456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Status Update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80" w:type="dxa"/>
            <w:vAlign w:val="bottom"/>
            <w:shd w:val="clear" w:color="auto" w:fill="CCEEFF"/>
          </w:tcPr>
          <w:p>
            <w:pPr>
              <w:spacing w:after="0" w:line="149" w:lineRule="exact"/>
              <w:rPr>
                <w:sz w:val="20"/>
                <w:szCs w:val="20"/>
                <w:color w:val="auto"/>
              </w:rPr>
            </w:pPr>
            <w:r>
              <w:rPr>
                <w:rFonts w:ascii="Arial" w:cs="Arial" w:eastAsia="Arial" w:hAnsi="Arial"/>
                <w:sz w:val="17"/>
                <w:szCs w:val="17"/>
                <w:b w:val="1"/>
                <w:bCs w:val="1"/>
                <w:color w:val="auto"/>
              </w:rPr>
              <w:t>Ruxolitinib</w:t>
            </w:r>
          </w:p>
        </w:tc>
        <w:tc>
          <w:tcPr>
            <w:tcW w:w="2700" w:type="dxa"/>
            <w:vAlign w:val="bottom"/>
            <w:shd w:val="clear" w:color="auto" w:fill="CCEEFF"/>
          </w:tcPr>
          <w:p>
            <w:pPr>
              <w:ind w:left="60"/>
              <w:spacing w:after="0" w:line="149" w:lineRule="exact"/>
              <w:rPr>
                <w:sz w:val="20"/>
                <w:szCs w:val="20"/>
                <w:color w:val="auto"/>
              </w:rPr>
            </w:pPr>
            <w:r>
              <w:rPr>
                <w:rFonts w:ascii="Arial" w:cs="Arial" w:eastAsia="Arial" w:hAnsi="Arial"/>
                <w:sz w:val="17"/>
                <w:szCs w:val="17"/>
                <w:color w:val="auto"/>
              </w:rPr>
              <w:t>Steroid-refractory acute GVHD</w:t>
            </w:r>
          </w:p>
        </w:tc>
        <w:tc>
          <w:tcPr>
            <w:tcW w:w="4560" w:type="dxa"/>
            <w:vAlign w:val="bottom"/>
            <w:shd w:val="clear" w:color="auto" w:fill="CCEEFF"/>
          </w:tcPr>
          <w:p>
            <w:pPr>
              <w:ind w:left="180"/>
              <w:spacing w:after="0" w:line="149" w:lineRule="exact"/>
              <w:rPr>
                <w:sz w:val="20"/>
                <w:szCs w:val="20"/>
                <w:color w:val="auto"/>
              </w:rPr>
            </w:pPr>
            <w:r>
              <w:rPr>
                <w:rFonts w:ascii="Arial" w:cs="Arial" w:eastAsia="Arial" w:hAnsi="Arial"/>
                <w:sz w:val="17"/>
                <w:szCs w:val="17"/>
                <w:color w:val="auto"/>
                <w:w w:val="99"/>
              </w:rPr>
              <w:t>Pivotal Phase II (REACH1) met primary endpoint, sNDA in</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(JAK1/JAK2)</w:t>
            </w:r>
          </w:p>
        </w:tc>
        <w:tc>
          <w:tcPr>
            <w:tcW w:w="2700" w:type="dxa"/>
            <w:vAlign w:val="bottom"/>
            <w:tcBorders>
              <w:bottom w:val="single" w:sz="8" w:color="CCEEFF"/>
            </w:tcBorders>
            <w:shd w:val="clear" w:color="auto" w:fill="CCEEFF"/>
          </w:tcPr>
          <w:p>
            <w:pPr>
              <w:spacing w:after="0"/>
              <w:rPr>
                <w:sz w:val="21"/>
                <w:szCs w:val="21"/>
                <w:color w:val="auto"/>
              </w:rPr>
            </w:pPr>
          </w:p>
        </w:tc>
        <w:tc>
          <w:tcPr>
            <w:tcW w:w="4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preparation; Phase III (REACH2)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80" w:type="dxa"/>
            <w:vAlign w:val="bottom"/>
          </w:tcPr>
          <w:p>
            <w:pPr>
              <w:spacing w:after="0" w:line="149" w:lineRule="exact"/>
              <w:rPr>
                <w:sz w:val="20"/>
                <w:szCs w:val="20"/>
                <w:color w:val="auto"/>
              </w:rPr>
            </w:pPr>
            <w:r>
              <w:rPr>
                <w:rFonts w:ascii="Arial" w:cs="Arial" w:eastAsia="Arial" w:hAnsi="Arial"/>
                <w:sz w:val="17"/>
                <w:szCs w:val="17"/>
                <w:b w:val="1"/>
                <w:bCs w:val="1"/>
                <w:color w:val="auto"/>
              </w:rPr>
              <w:t>Ruxolitinib</w:t>
            </w:r>
          </w:p>
        </w:tc>
        <w:tc>
          <w:tcPr>
            <w:tcW w:w="2700" w:type="dxa"/>
            <w:vAlign w:val="bottom"/>
          </w:tcPr>
          <w:p>
            <w:pPr>
              <w:ind w:left="60"/>
              <w:spacing w:after="0" w:line="149" w:lineRule="exact"/>
              <w:rPr>
                <w:sz w:val="20"/>
                <w:szCs w:val="20"/>
                <w:color w:val="auto"/>
              </w:rPr>
            </w:pPr>
            <w:r>
              <w:rPr>
                <w:rFonts w:ascii="Arial" w:cs="Arial" w:eastAsia="Arial" w:hAnsi="Arial"/>
                <w:sz w:val="17"/>
                <w:szCs w:val="17"/>
                <w:color w:val="auto"/>
              </w:rPr>
              <w:t>Steroid-refractory chronic GVHD</w:t>
            </w:r>
          </w:p>
        </w:tc>
        <w:tc>
          <w:tcPr>
            <w:tcW w:w="4560" w:type="dxa"/>
            <w:vAlign w:val="bottom"/>
          </w:tcPr>
          <w:p>
            <w:pPr>
              <w:ind w:left="180"/>
              <w:spacing w:after="0" w:line="149" w:lineRule="exact"/>
              <w:rPr>
                <w:sz w:val="20"/>
                <w:szCs w:val="20"/>
                <w:color w:val="auto"/>
              </w:rPr>
            </w:pPr>
            <w:r>
              <w:rPr>
                <w:rFonts w:ascii="Arial" w:cs="Arial" w:eastAsia="Arial" w:hAnsi="Arial"/>
                <w:sz w:val="17"/>
                <w:szCs w:val="17"/>
                <w:color w:val="auto"/>
              </w:rPr>
              <w:t>Phase III (REACH3)</w:t>
            </w:r>
          </w:p>
        </w:tc>
        <w:tc>
          <w:tcPr>
            <w:tcW w:w="0" w:type="dxa"/>
            <w:vAlign w:val="bottom"/>
          </w:tcPr>
          <w:p>
            <w:pPr>
              <w:spacing w:after="0"/>
              <w:rPr>
                <w:sz w:val="1"/>
                <w:szCs w:val="1"/>
                <w:color w:val="auto"/>
              </w:rPr>
            </w:pPr>
          </w:p>
        </w:tc>
      </w:tr>
      <w:tr>
        <w:trPr>
          <w:trHeight w:val="234"/>
        </w:trPr>
        <w:tc>
          <w:tcPr>
            <w:tcW w:w="1800" w:type="dxa"/>
            <w:vAlign w:val="bottom"/>
            <w:gridSpan w:val="2"/>
          </w:tcPr>
          <w:p>
            <w:pPr>
              <w:spacing w:after="0"/>
              <w:rPr>
                <w:sz w:val="20"/>
                <w:szCs w:val="20"/>
                <w:color w:val="auto"/>
              </w:rPr>
            </w:pPr>
            <w:r>
              <w:rPr>
                <w:rFonts w:ascii="Arial" w:cs="Arial" w:eastAsia="Arial" w:hAnsi="Arial"/>
                <w:sz w:val="18"/>
                <w:szCs w:val="18"/>
                <w:b w:val="1"/>
                <w:bCs w:val="1"/>
                <w:color w:val="auto"/>
              </w:rPr>
              <w:t>(JAK1/JAK2)</w:t>
            </w:r>
          </w:p>
        </w:tc>
        <w:tc>
          <w:tcPr>
            <w:tcW w:w="270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1780" w:type="dxa"/>
            <w:vAlign w:val="bottom"/>
            <w:shd w:val="clear" w:color="auto" w:fill="CCEEFF"/>
          </w:tcPr>
          <w:p>
            <w:pPr>
              <w:spacing w:after="0" w:line="149" w:lineRule="exact"/>
              <w:rPr>
                <w:sz w:val="20"/>
                <w:szCs w:val="20"/>
                <w:color w:val="auto"/>
              </w:rPr>
            </w:pPr>
            <w:r>
              <w:rPr>
                <w:rFonts w:ascii="Arial" w:cs="Arial" w:eastAsia="Arial" w:hAnsi="Arial"/>
                <w:sz w:val="17"/>
                <w:szCs w:val="17"/>
                <w:b w:val="1"/>
                <w:bCs w:val="1"/>
                <w:color w:val="auto"/>
              </w:rPr>
              <w:t>Ruxolitinib</w:t>
            </w:r>
          </w:p>
        </w:tc>
        <w:tc>
          <w:tcPr>
            <w:tcW w:w="2700" w:type="dxa"/>
            <w:vAlign w:val="bottom"/>
            <w:shd w:val="clear" w:color="auto" w:fill="CCEEFF"/>
          </w:tcPr>
          <w:p>
            <w:pPr>
              <w:ind w:left="60"/>
              <w:spacing w:after="0" w:line="149" w:lineRule="exact"/>
              <w:rPr>
                <w:sz w:val="20"/>
                <w:szCs w:val="20"/>
                <w:color w:val="auto"/>
              </w:rPr>
            </w:pPr>
            <w:r>
              <w:rPr>
                <w:rFonts w:ascii="Arial" w:cs="Arial" w:eastAsia="Arial" w:hAnsi="Arial"/>
                <w:sz w:val="17"/>
                <w:szCs w:val="17"/>
                <w:color w:val="auto"/>
              </w:rPr>
              <w:t>Essential thrombocythemia</w:t>
            </w:r>
          </w:p>
        </w:tc>
        <w:tc>
          <w:tcPr>
            <w:tcW w:w="4560" w:type="dxa"/>
            <w:vAlign w:val="bottom"/>
            <w:shd w:val="clear" w:color="auto" w:fill="CCEEFF"/>
          </w:tcPr>
          <w:p>
            <w:pPr>
              <w:ind w:left="180"/>
              <w:spacing w:after="0" w:line="149" w:lineRule="exact"/>
              <w:rPr>
                <w:sz w:val="20"/>
                <w:szCs w:val="20"/>
                <w:color w:val="auto"/>
              </w:rPr>
            </w:pPr>
            <w:r>
              <w:rPr>
                <w:rFonts w:ascii="Arial" w:cs="Arial" w:eastAsia="Arial" w:hAnsi="Arial"/>
                <w:sz w:val="17"/>
                <w:szCs w:val="17"/>
                <w:color w:val="auto"/>
              </w:rPr>
              <w:t>Phase II (RESET)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(JAK1/JAK2)</w:t>
            </w:r>
          </w:p>
        </w:tc>
        <w:tc>
          <w:tcPr>
            <w:tcW w:w="2700" w:type="dxa"/>
            <w:vAlign w:val="bottom"/>
            <w:tcBorders>
              <w:bottom w:val="single" w:sz="8" w:color="CCEEFF"/>
            </w:tcBorders>
            <w:shd w:val="clear" w:color="auto" w:fill="CCEEFF"/>
          </w:tcPr>
          <w:p>
            <w:pPr>
              <w:spacing w:after="0"/>
              <w:rPr>
                <w:sz w:val="20"/>
                <w:szCs w:val="20"/>
                <w:color w:val="auto"/>
              </w:rPr>
            </w:pPr>
          </w:p>
        </w:tc>
        <w:tc>
          <w:tcPr>
            <w:tcW w:w="45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80" w:type="dxa"/>
            <w:vAlign w:val="bottom"/>
          </w:tcPr>
          <w:p>
            <w:pPr>
              <w:spacing w:after="0" w:line="149" w:lineRule="exact"/>
              <w:rPr>
                <w:sz w:val="20"/>
                <w:szCs w:val="20"/>
                <w:color w:val="auto"/>
              </w:rPr>
            </w:pPr>
            <w:r>
              <w:rPr>
                <w:rFonts w:ascii="Arial" w:cs="Arial" w:eastAsia="Arial" w:hAnsi="Arial"/>
                <w:sz w:val="17"/>
                <w:szCs w:val="17"/>
                <w:b w:val="1"/>
                <w:bCs w:val="1"/>
                <w:color w:val="auto"/>
              </w:rPr>
              <w:t>Ruxolitinib</w:t>
            </w:r>
          </w:p>
        </w:tc>
        <w:tc>
          <w:tcPr>
            <w:tcW w:w="2700" w:type="dxa"/>
            <w:vAlign w:val="bottom"/>
          </w:tcPr>
          <w:p>
            <w:pPr>
              <w:ind w:left="60"/>
              <w:spacing w:after="0" w:line="149" w:lineRule="exact"/>
              <w:rPr>
                <w:sz w:val="20"/>
                <w:szCs w:val="20"/>
                <w:color w:val="auto"/>
              </w:rPr>
            </w:pPr>
            <w:r>
              <w:rPr>
                <w:rFonts w:ascii="Arial" w:cs="Arial" w:eastAsia="Arial" w:hAnsi="Arial"/>
                <w:sz w:val="17"/>
                <w:szCs w:val="17"/>
                <w:color w:val="auto"/>
              </w:rPr>
              <w:t>Refractory myelofibrosis</w:t>
            </w:r>
          </w:p>
        </w:tc>
        <w:tc>
          <w:tcPr>
            <w:tcW w:w="4560" w:type="dxa"/>
            <w:vAlign w:val="bottom"/>
          </w:tcPr>
          <w:p>
            <w:pPr>
              <w:ind w:left="180"/>
              <w:spacing w:after="0" w:line="149" w:lineRule="exact"/>
              <w:rPr>
                <w:sz w:val="20"/>
                <w:szCs w:val="20"/>
                <w:color w:val="auto"/>
              </w:rPr>
            </w:pPr>
            <w:r>
              <w:rPr>
                <w:rFonts w:ascii="Arial" w:cs="Arial" w:eastAsia="Arial" w:hAnsi="Arial"/>
                <w:sz w:val="17"/>
                <w:szCs w:val="17"/>
                <w:color w:val="auto"/>
              </w:rPr>
              <w:t>Phase II in combination with INCB50465 (PI3Kδ)</w:t>
            </w:r>
          </w:p>
        </w:tc>
        <w:tc>
          <w:tcPr>
            <w:tcW w:w="0" w:type="dxa"/>
            <w:vAlign w:val="bottom"/>
          </w:tcPr>
          <w:p>
            <w:pPr>
              <w:spacing w:after="0"/>
              <w:rPr>
                <w:sz w:val="1"/>
                <w:szCs w:val="1"/>
                <w:color w:val="auto"/>
              </w:rPr>
            </w:pPr>
          </w:p>
        </w:tc>
      </w:tr>
      <w:tr>
        <w:trPr>
          <w:trHeight w:val="176"/>
        </w:trPr>
        <w:tc>
          <w:tcPr>
            <w:tcW w:w="1800" w:type="dxa"/>
            <w:vAlign w:val="bottom"/>
            <w:gridSpan w:val="2"/>
          </w:tcPr>
          <w:p>
            <w:pPr>
              <w:spacing w:after="0" w:line="176" w:lineRule="exact"/>
              <w:rPr>
                <w:sz w:val="20"/>
                <w:szCs w:val="20"/>
                <w:color w:val="auto"/>
              </w:rPr>
            </w:pPr>
            <w:r>
              <w:rPr>
                <w:rFonts w:ascii="Arial" w:cs="Arial" w:eastAsia="Arial" w:hAnsi="Arial"/>
                <w:sz w:val="18"/>
                <w:szCs w:val="18"/>
                <w:b w:val="1"/>
                <w:bCs w:val="1"/>
                <w:color w:val="auto"/>
              </w:rPr>
              <w:t>(JAK1/JAK2)</w:t>
            </w:r>
          </w:p>
        </w:tc>
        <w:tc>
          <w:tcPr>
            <w:tcW w:w="270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80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combinations</w:t>
            </w:r>
          </w:p>
        </w:tc>
        <w:tc>
          <w:tcPr>
            <w:tcW w:w="270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Itacitinib (JAK1)</w:t>
            </w:r>
          </w:p>
        </w:tc>
        <w:tc>
          <w:tcPr>
            <w:tcW w:w="2700" w:type="dxa"/>
            <w:vAlign w:val="bottom"/>
            <w:shd w:val="clear" w:color="auto" w:fill="CCEEFF"/>
          </w:tcPr>
          <w:p>
            <w:pPr>
              <w:ind w:left="60"/>
              <w:spacing w:after="0"/>
              <w:rPr>
                <w:sz w:val="20"/>
                <w:szCs w:val="20"/>
                <w:color w:val="auto"/>
              </w:rPr>
            </w:pPr>
            <w:r>
              <w:rPr>
                <w:rFonts w:ascii="Arial" w:cs="Arial" w:eastAsia="Arial" w:hAnsi="Arial"/>
                <w:sz w:val="18"/>
                <w:szCs w:val="18"/>
                <w:color w:val="auto"/>
              </w:rPr>
              <w:t>Treatment-naïve acute GVHD</w:t>
            </w:r>
          </w:p>
        </w:tc>
        <w:tc>
          <w:tcPr>
            <w:tcW w:w="4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Phase III (GRAVITAS-301)</w:t>
            </w:r>
          </w:p>
        </w:tc>
        <w:tc>
          <w:tcPr>
            <w:tcW w:w="0" w:type="dxa"/>
            <w:vAlign w:val="bottom"/>
          </w:tcPr>
          <w:p>
            <w:pPr>
              <w:spacing w:after="0"/>
              <w:rPr>
                <w:sz w:val="1"/>
                <w:szCs w:val="1"/>
                <w:color w:val="auto"/>
              </w:rPr>
            </w:pPr>
          </w:p>
        </w:tc>
      </w:tr>
      <w:tr>
        <w:trPr>
          <w:trHeight w:val="184"/>
        </w:trPr>
        <w:tc>
          <w:tcPr>
            <w:tcW w:w="20" w:type="dxa"/>
            <w:vAlign w:val="bottom"/>
            <w:vMerge w:val="restart"/>
          </w:tcPr>
          <w:p>
            <w:pPr>
              <w:spacing w:after="0"/>
              <w:rPr>
                <w:sz w:val="16"/>
                <w:szCs w:val="16"/>
                <w:color w:val="auto"/>
              </w:rPr>
            </w:pPr>
          </w:p>
        </w:tc>
        <w:tc>
          <w:tcPr>
            <w:tcW w:w="1780" w:type="dxa"/>
            <w:vAlign w:val="bottom"/>
            <w:shd w:val="clear" w:color="auto" w:fill="CCEEFF"/>
          </w:tcPr>
          <w:p>
            <w:pPr>
              <w:spacing w:after="0"/>
              <w:rPr>
                <w:sz w:val="16"/>
                <w:szCs w:val="16"/>
                <w:color w:val="auto"/>
              </w:rPr>
            </w:pPr>
          </w:p>
        </w:tc>
        <w:tc>
          <w:tcPr>
            <w:tcW w:w="2700" w:type="dxa"/>
            <w:vAlign w:val="bottom"/>
            <w:shd w:val="clear" w:color="auto" w:fill="CCEEFF"/>
          </w:tcPr>
          <w:p>
            <w:pPr>
              <w:spacing w:after="0"/>
              <w:rPr>
                <w:sz w:val="16"/>
                <w:szCs w:val="16"/>
                <w:color w:val="auto"/>
              </w:rPr>
            </w:pPr>
          </w:p>
        </w:tc>
        <w:tc>
          <w:tcPr>
            <w:tcW w:w="45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1780" w:type="dxa"/>
            <w:vAlign w:val="bottom"/>
          </w:tcPr>
          <w:p>
            <w:pPr>
              <w:spacing w:after="0"/>
              <w:rPr>
                <w:sz w:val="20"/>
                <w:szCs w:val="20"/>
                <w:color w:val="auto"/>
              </w:rPr>
            </w:pPr>
            <w:r>
              <w:rPr>
                <w:rFonts w:ascii="Arial" w:cs="Arial" w:eastAsia="Arial" w:hAnsi="Arial"/>
                <w:sz w:val="18"/>
                <w:szCs w:val="18"/>
                <w:b w:val="1"/>
                <w:bCs w:val="1"/>
                <w:color w:val="auto"/>
              </w:rPr>
              <w:t>Itacitinib (JAK1)</w:t>
            </w:r>
          </w:p>
        </w:tc>
        <w:tc>
          <w:tcPr>
            <w:tcW w:w="2700" w:type="dxa"/>
            <w:vAlign w:val="bottom"/>
          </w:tcPr>
          <w:p>
            <w:pPr>
              <w:ind w:left="60"/>
              <w:spacing w:after="0"/>
              <w:rPr>
                <w:sz w:val="20"/>
                <w:szCs w:val="20"/>
                <w:color w:val="auto"/>
              </w:rPr>
            </w:pPr>
            <w:r>
              <w:rPr>
                <w:rFonts w:ascii="Arial" w:cs="Arial" w:eastAsia="Arial" w:hAnsi="Arial"/>
                <w:sz w:val="18"/>
                <w:szCs w:val="18"/>
                <w:color w:val="auto"/>
              </w:rPr>
              <w:t>Treatment-naïve chronic GVHD</w:t>
            </w:r>
          </w:p>
        </w:tc>
        <w:tc>
          <w:tcPr>
            <w:tcW w:w="4560" w:type="dxa"/>
            <w:vAlign w:val="bottom"/>
          </w:tcPr>
          <w:p>
            <w:pPr>
              <w:ind w:left="180"/>
              <w:spacing w:after="0"/>
              <w:rPr>
                <w:sz w:val="20"/>
                <w:szCs w:val="20"/>
                <w:color w:val="auto"/>
              </w:rPr>
            </w:pPr>
            <w:r>
              <w:rPr>
                <w:rFonts w:ascii="Arial" w:cs="Arial" w:eastAsia="Arial" w:hAnsi="Arial"/>
                <w:sz w:val="18"/>
                <w:szCs w:val="18"/>
                <w:color w:val="auto"/>
              </w:rPr>
              <w:t>Phase III (GRAVITAS-309) expected to begin in 2018</w:t>
            </w:r>
          </w:p>
        </w:tc>
        <w:tc>
          <w:tcPr>
            <w:tcW w:w="0" w:type="dxa"/>
            <w:vAlign w:val="bottom"/>
          </w:tcPr>
          <w:p>
            <w:pPr>
              <w:spacing w:after="0"/>
              <w:rPr>
                <w:sz w:val="1"/>
                <w:szCs w:val="1"/>
                <w:color w:val="auto"/>
              </w:rPr>
            </w:pPr>
          </w:p>
        </w:tc>
      </w:tr>
      <w:tr>
        <w:trPr>
          <w:trHeight w:val="184"/>
        </w:trPr>
        <w:tc>
          <w:tcPr>
            <w:tcW w:w="20" w:type="dxa"/>
            <w:vAlign w:val="bottom"/>
            <w:vMerge w:val="restart"/>
          </w:tcPr>
          <w:p>
            <w:pPr>
              <w:spacing w:after="0"/>
              <w:rPr>
                <w:sz w:val="16"/>
                <w:szCs w:val="16"/>
                <w:color w:val="auto"/>
              </w:rPr>
            </w:pPr>
          </w:p>
        </w:tc>
        <w:tc>
          <w:tcPr>
            <w:tcW w:w="178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1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Itacitinib (JAK1)</w:t>
            </w:r>
          </w:p>
        </w:tc>
        <w:tc>
          <w:tcPr>
            <w:tcW w:w="2700" w:type="dxa"/>
            <w:vAlign w:val="bottom"/>
            <w:shd w:val="clear" w:color="auto" w:fill="CCEEFF"/>
          </w:tcPr>
          <w:p>
            <w:pPr>
              <w:ind w:left="60"/>
              <w:spacing w:after="0"/>
              <w:rPr>
                <w:sz w:val="20"/>
                <w:szCs w:val="20"/>
                <w:color w:val="auto"/>
              </w:rPr>
            </w:pPr>
            <w:r>
              <w:rPr>
                <w:rFonts w:ascii="Arial" w:cs="Arial" w:eastAsia="Arial" w:hAnsi="Arial"/>
                <w:sz w:val="18"/>
                <w:szCs w:val="18"/>
                <w:color w:val="auto"/>
              </w:rPr>
              <w:t>NSCLC</w:t>
            </w:r>
          </w:p>
        </w:tc>
        <w:tc>
          <w:tcPr>
            <w:tcW w:w="4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Phase I/II in combination with osimertinib (EGFR)</w:t>
            </w:r>
          </w:p>
        </w:tc>
        <w:tc>
          <w:tcPr>
            <w:tcW w:w="0" w:type="dxa"/>
            <w:vAlign w:val="bottom"/>
          </w:tcPr>
          <w:p>
            <w:pPr>
              <w:spacing w:after="0"/>
              <w:rPr>
                <w:sz w:val="1"/>
                <w:szCs w:val="1"/>
                <w:color w:val="auto"/>
              </w:rPr>
            </w:pPr>
          </w:p>
        </w:tc>
      </w:tr>
      <w:tr>
        <w:trPr>
          <w:trHeight w:val="184"/>
        </w:trPr>
        <w:tc>
          <w:tcPr>
            <w:tcW w:w="20" w:type="dxa"/>
            <w:vAlign w:val="bottom"/>
            <w:vMerge w:val="restart"/>
          </w:tcPr>
          <w:p>
            <w:pPr>
              <w:spacing w:after="0"/>
              <w:rPr>
                <w:sz w:val="16"/>
                <w:szCs w:val="16"/>
                <w:color w:val="auto"/>
              </w:rPr>
            </w:pPr>
          </w:p>
        </w:tc>
        <w:tc>
          <w:tcPr>
            <w:tcW w:w="1780" w:type="dxa"/>
            <w:vAlign w:val="bottom"/>
            <w:shd w:val="clear" w:color="auto" w:fill="CCEEFF"/>
          </w:tcPr>
          <w:p>
            <w:pPr>
              <w:spacing w:after="0"/>
              <w:rPr>
                <w:sz w:val="16"/>
                <w:szCs w:val="16"/>
                <w:color w:val="auto"/>
              </w:rPr>
            </w:pPr>
          </w:p>
        </w:tc>
        <w:tc>
          <w:tcPr>
            <w:tcW w:w="2700" w:type="dxa"/>
            <w:vAlign w:val="bottom"/>
            <w:shd w:val="clear" w:color="auto" w:fill="CCEEFF"/>
          </w:tcPr>
          <w:p>
            <w:pPr>
              <w:spacing w:after="0"/>
              <w:rPr>
                <w:sz w:val="16"/>
                <w:szCs w:val="16"/>
                <w:color w:val="auto"/>
              </w:rPr>
            </w:pPr>
          </w:p>
        </w:tc>
        <w:tc>
          <w:tcPr>
            <w:tcW w:w="45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780" w:type="dxa"/>
            <w:vAlign w:val="bottom"/>
          </w:tcPr>
          <w:p>
            <w:pPr>
              <w:spacing w:after="0" w:line="149" w:lineRule="exact"/>
              <w:rPr>
                <w:sz w:val="20"/>
                <w:szCs w:val="20"/>
                <w:color w:val="auto"/>
              </w:rPr>
            </w:pPr>
            <w:r>
              <w:rPr>
                <w:rFonts w:ascii="Arial" w:cs="Arial" w:eastAsia="Arial" w:hAnsi="Arial"/>
                <w:sz w:val="17"/>
                <w:szCs w:val="17"/>
                <w:b w:val="1"/>
                <w:bCs w:val="1"/>
                <w:color w:val="auto"/>
              </w:rPr>
              <w:t>INCMGA0012 (PD-1)</w:t>
            </w:r>
            <w:r>
              <w:rPr>
                <w:rFonts w:ascii="Arial" w:cs="Arial" w:eastAsia="Arial" w:hAnsi="Arial"/>
                <w:sz w:val="8"/>
                <w:szCs w:val="8"/>
                <w:b w:val="1"/>
                <w:bCs w:val="1"/>
                <w:color w:val="auto"/>
              </w:rPr>
              <w:t>1</w:t>
            </w:r>
          </w:p>
        </w:tc>
        <w:tc>
          <w:tcPr>
            <w:tcW w:w="2700" w:type="dxa"/>
            <w:vAlign w:val="bottom"/>
          </w:tcPr>
          <w:p>
            <w:pPr>
              <w:ind w:left="60"/>
              <w:spacing w:after="0" w:line="149" w:lineRule="exact"/>
              <w:rPr>
                <w:sz w:val="20"/>
                <w:szCs w:val="20"/>
                <w:color w:val="auto"/>
              </w:rPr>
            </w:pPr>
            <w:r>
              <w:rPr>
                <w:rFonts w:ascii="Arial" w:cs="Arial" w:eastAsia="Arial" w:hAnsi="Arial"/>
                <w:sz w:val="17"/>
                <w:szCs w:val="17"/>
                <w:color w:val="auto"/>
              </w:rPr>
              <w:t>Solid tumors</w:t>
            </w:r>
          </w:p>
        </w:tc>
        <w:tc>
          <w:tcPr>
            <w:tcW w:w="4560" w:type="dxa"/>
            <w:vAlign w:val="bottom"/>
          </w:tcPr>
          <w:p>
            <w:pPr>
              <w:ind w:left="180"/>
              <w:spacing w:after="0" w:line="149" w:lineRule="exact"/>
              <w:rPr>
                <w:sz w:val="20"/>
                <w:szCs w:val="20"/>
                <w:color w:val="auto"/>
              </w:rPr>
            </w:pPr>
            <w:r>
              <w:rPr>
                <w:rFonts w:ascii="Arial" w:cs="Arial" w:eastAsia="Arial" w:hAnsi="Arial"/>
                <w:sz w:val="17"/>
                <w:szCs w:val="17"/>
                <w:color w:val="auto"/>
              </w:rPr>
              <w:t>Phase II trials (MSI-high endometrial cancer, merkel cell</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4560" w:type="dxa"/>
            <w:vAlign w:val="bottom"/>
          </w:tcPr>
          <w:p>
            <w:pPr>
              <w:ind w:left="180"/>
              <w:spacing w:after="0"/>
              <w:rPr>
                <w:sz w:val="20"/>
                <w:szCs w:val="20"/>
                <w:color w:val="auto"/>
              </w:rPr>
            </w:pPr>
            <w:r>
              <w:rPr>
                <w:rFonts w:ascii="Arial" w:cs="Arial" w:eastAsia="Arial" w:hAnsi="Arial"/>
                <w:sz w:val="18"/>
                <w:szCs w:val="18"/>
                <w:color w:val="auto"/>
              </w:rPr>
              <w:t>carcinoma, anal cancer) expected to begin in 2018</w:t>
            </w:r>
          </w:p>
        </w:tc>
        <w:tc>
          <w:tcPr>
            <w:tcW w:w="0" w:type="dxa"/>
            <w:vAlign w:val="bottom"/>
          </w:tcPr>
          <w:p>
            <w:pPr>
              <w:spacing w:after="0"/>
              <w:rPr>
                <w:sz w:val="1"/>
                <w:szCs w:val="1"/>
                <w:color w:val="auto"/>
              </w:rPr>
            </w:pPr>
          </w:p>
        </w:tc>
      </w:tr>
      <w:tr>
        <w:trPr>
          <w:trHeight w:val="40"/>
        </w:trPr>
        <w:tc>
          <w:tcPr>
            <w:tcW w:w="20" w:type="dxa"/>
            <w:vAlign w:val="bottom"/>
            <w:vMerge w:val="restart"/>
          </w:tcPr>
          <w:p>
            <w:pPr>
              <w:spacing w:after="0"/>
              <w:rPr>
                <w:sz w:val="3"/>
                <w:szCs w:val="3"/>
                <w:color w:val="auto"/>
              </w:rPr>
            </w:pPr>
          </w:p>
        </w:tc>
        <w:tc>
          <w:tcPr>
            <w:tcW w:w="1780" w:type="dxa"/>
            <w:vAlign w:val="bottom"/>
          </w:tcPr>
          <w:p>
            <w:pPr>
              <w:spacing w:after="0"/>
              <w:rPr>
                <w:sz w:val="3"/>
                <w:szCs w:val="3"/>
                <w:color w:val="auto"/>
              </w:rPr>
            </w:pPr>
          </w:p>
        </w:tc>
        <w:tc>
          <w:tcPr>
            <w:tcW w:w="2700" w:type="dxa"/>
            <w:vAlign w:val="bottom"/>
          </w:tcPr>
          <w:p>
            <w:pPr>
              <w:spacing w:after="0"/>
              <w:rPr>
                <w:sz w:val="3"/>
                <w:szCs w:val="3"/>
                <w:color w:val="auto"/>
              </w:rPr>
            </w:pPr>
          </w:p>
        </w:tc>
        <w:tc>
          <w:tcPr>
            <w:tcW w:w="45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1780" w:type="dxa"/>
            <w:vAlign w:val="bottom"/>
            <w:shd w:val="clear" w:color="auto" w:fill="CCEEFF"/>
          </w:tcPr>
          <w:p>
            <w:pPr>
              <w:spacing w:after="0" w:line="149" w:lineRule="exact"/>
              <w:rPr>
                <w:sz w:val="20"/>
                <w:szCs w:val="20"/>
                <w:color w:val="auto"/>
              </w:rPr>
            </w:pPr>
            <w:r>
              <w:rPr>
                <w:rFonts w:ascii="Arial" w:cs="Arial" w:eastAsia="Arial" w:hAnsi="Arial"/>
                <w:sz w:val="17"/>
                <w:szCs w:val="17"/>
                <w:b w:val="1"/>
                <w:bCs w:val="1"/>
                <w:color w:val="auto"/>
              </w:rPr>
              <w:t>INCB50465 (PI3Kδ)</w:t>
            </w:r>
          </w:p>
        </w:tc>
        <w:tc>
          <w:tcPr>
            <w:tcW w:w="2700" w:type="dxa"/>
            <w:vAlign w:val="bottom"/>
            <w:shd w:val="clear" w:color="auto" w:fill="CCEEFF"/>
          </w:tcPr>
          <w:p>
            <w:pPr>
              <w:ind w:left="60"/>
              <w:spacing w:after="0" w:line="149" w:lineRule="exact"/>
              <w:rPr>
                <w:sz w:val="20"/>
                <w:szCs w:val="20"/>
                <w:color w:val="auto"/>
              </w:rPr>
            </w:pPr>
            <w:r>
              <w:rPr>
                <w:rFonts w:ascii="Arial" w:cs="Arial" w:eastAsia="Arial" w:hAnsi="Arial"/>
                <w:sz w:val="17"/>
                <w:szCs w:val="17"/>
                <w:color w:val="auto"/>
              </w:rPr>
              <w:t>Non-Hodgkin lymphoma</w:t>
            </w:r>
          </w:p>
        </w:tc>
        <w:tc>
          <w:tcPr>
            <w:tcW w:w="4560" w:type="dxa"/>
            <w:vAlign w:val="bottom"/>
            <w:shd w:val="clear" w:color="auto" w:fill="CCEEFF"/>
          </w:tcPr>
          <w:p>
            <w:pPr>
              <w:ind w:left="180"/>
              <w:spacing w:after="0" w:line="149" w:lineRule="exact"/>
              <w:rPr>
                <w:sz w:val="20"/>
                <w:szCs w:val="20"/>
                <w:color w:val="auto"/>
              </w:rPr>
            </w:pPr>
            <w:r>
              <w:rPr>
                <w:rFonts w:ascii="Arial" w:cs="Arial" w:eastAsia="Arial" w:hAnsi="Arial"/>
                <w:sz w:val="17"/>
                <w:szCs w:val="17"/>
                <w:color w:val="auto"/>
              </w:rPr>
              <w:t>Phase II (CITADEL-203, follicular lymphoma); (CITADEL-</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2700" w:type="dxa"/>
            <w:vAlign w:val="bottom"/>
            <w:shd w:val="clear" w:color="auto" w:fill="CCEEFF"/>
          </w:tcPr>
          <w:p>
            <w:pPr>
              <w:spacing w:after="0"/>
              <w:rPr>
                <w:sz w:val="15"/>
                <w:szCs w:val="15"/>
                <w:color w:val="auto"/>
              </w:rPr>
            </w:pPr>
          </w:p>
        </w:tc>
        <w:tc>
          <w:tcPr>
            <w:tcW w:w="456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w w:val="99"/>
              </w:rPr>
              <w:t>204, marginal zone lymphoma); (CITADEL-205, mantel</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2700" w:type="dxa"/>
            <w:vAlign w:val="bottom"/>
            <w:shd w:val="clear" w:color="auto" w:fill="CCEEFF"/>
          </w:tcPr>
          <w:p>
            <w:pPr>
              <w:spacing w:after="0"/>
              <w:rPr>
                <w:sz w:val="17"/>
                <w:szCs w:val="17"/>
                <w:color w:val="auto"/>
              </w:rPr>
            </w:pPr>
          </w:p>
        </w:tc>
        <w:tc>
          <w:tcPr>
            <w:tcW w:w="456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cell lymphoma)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80" w:type="dxa"/>
            <w:vAlign w:val="bottom"/>
          </w:tcPr>
          <w:p>
            <w:pPr>
              <w:spacing w:after="0" w:line="149" w:lineRule="exact"/>
              <w:rPr>
                <w:sz w:val="20"/>
                <w:szCs w:val="20"/>
                <w:color w:val="auto"/>
              </w:rPr>
            </w:pPr>
            <w:r>
              <w:rPr>
                <w:rFonts w:ascii="Arial" w:cs="Arial" w:eastAsia="Arial" w:hAnsi="Arial"/>
                <w:sz w:val="17"/>
                <w:szCs w:val="17"/>
                <w:b w:val="1"/>
                <w:bCs w:val="1"/>
                <w:color w:val="auto"/>
              </w:rPr>
              <w:t>Pemigatinib</w:t>
            </w:r>
          </w:p>
        </w:tc>
        <w:tc>
          <w:tcPr>
            <w:tcW w:w="2700" w:type="dxa"/>
            <w:vAlign w:val="bottom"/>
          </w:tcPr>
          <w:p>
            <w:pPr>
              <w:ind w:left="60"/>
              <w:spacing w:after="0" w:line="149" w:lineRule="exact"/>
              <w:rPr>
                <w:sz w:val="20"/>
                <w:szCs w:val="20"/>
                <w:color w:val="auto"/>
              </w:rPr>
            </w:pPr>
            <w:r>
              <w:rPr>
                <w:rFonts w:ascii="Arial" w:cs="Arial" w:eastAsia="Arial" w:hAnsi="Arial"/>
                <w:sz w:val="17"/>
                <w:szCs w:val="17"/>
                <w:color w:val="auto"/>
              </w:rPr>
              <w:t>Bladder cancer</w:t>
            </w:r>
          </w:p>
        </w:tc>
        <w:tc>
          <w:tcPr>
            <w:tcW w:w="4560" w:type="dxa"/>
            <w:vAlign w:val="bottom"/>
          </w:tcPr>
          <w:p>
            <w:pPr>
              <w:ind w:left="180"/>
              <w:spacing w:after="0" w:line="149" w:lineRule="exact"/>
              <w:rPr>
                <w:sz w:val="20"/>
                <w:szCs w:val="20"/>
                <w:color w:val="auto"/>
              </w:rPr>
            </w:pPr>
            <w:r>
              <w:rPr>
                <w:rFonts w:ascii="Arial" w:cs="Arial" w:eastAsia="Arial" w:hAnsi="Arial"/>
                <w:sz w:val="17"/>
                <w:szCs w:val="17"/>
                <w:color w:val="auto"/>
              </w:rPr>
              <w:t>Phase II (FIGHT-201)</w:t>
            </w:r>
          </w:p>
        </w:tc>
        <w:tc>
          <w:tcPr>
            <w:tcW w:w="0" w:type="dxa"/>
            <w:vAlign w:val="bottom"/>
          </w:tcPr>
          <w:p>
            <w:pPr>
              <w:spacing w:after="0"/>
              <w:rPr>
                <w:sz w:val="1"/>
                <w:szCs w:val="1"/>
                <w:color w:val="auto"/>
              </w:rPr>
            </w:pPr>
          </w:p>
        </w:tc>
      </w:tr>
      <w:tr>
        <w:trPr>
          <w:trHeight w:val="234"/>
        </w:trPr>
        <w:tc>
          <w:tcPr>
            <w:tcW w:w="1800" w:type="dxa"/>
            <w:vAlign w:val="bottom"/>
            <w:gridSpan w:val="2"/>
          </w:tcPr>
          <w:p>
            <w:pPr>
              <w:spacing w:after="0"/>
              <w:rPr>
                <w:sz w:val="20"/>
                <w:szCs w:val="20"/>
                <w:color w:val="auto"/>
              </w:rPr>
            </w:pPr>
            <w:r>
              <w:rPr>
                <w:rFonts w:ascii="Arial" w:cs="Arial" w:eastAsia="Arial" w:hAnsi="Arial"/>
                <w:sz w:val="18"/>
                <w:szCs w:val="18"/>
                <w:b w:val="1"/>
                <w:bCs w:val="1"/>
                <w:color w:val="auto"/>
              </w:rPr>
              <w:t>(FGFR1/2/3)</w:t>
            </w:r>
          </w:p>
        </w:tc>
        <w:tc>
          <w:tcPr>
            <w:tcW w:w="270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vMerge w:val="restart"/>
          </w:tcPr>
          <w:p>
            <w:pPr>
              <w:spacing w:after="0"/>
              <w:rPr>
                <w:sz w:val="3"/>
                <w:szCs w:val="3"/>
                <w:color w:val="auto"/>
              </w:rPr>
            </w:pPr>
          </w:p>
        </w:tc>
        <w:tc>
          <w:tcPr>
            <w:tcW w:w="1780" w:type="dxa"/>
            <w:vAlign w:val="bottom"/>
          </w:tcPr>
          <w:p>
            <w:pPr>
              <w:spacing w:after="0"/>
              <w:rPr>
                <w:sz w:val="3"/>
                <w:szCs w:val="3"/>
                <w:color w:val="auto"/>
              </w:rPr>
            </w:pPr>
          </w:p>
        </w:tc>
        <w:tc>
          <w:tcPr>
            <w:tcW w:w="2700" w:type="dxa"/>
            <w:vAlign w:val="bottom"/>
          </w:tcPr>
          <w:p>
            <w:pPr>
              <w:spacing w:after="0"/>
              <w:rPr>
                <w:sz w:val="3"/>
                <w:szCs w:val="3"/>
                <w:color w:val="auto"/>
              </w:rPr>
            </w:pPr>
          </w:p>
        </w:tc>
        <w:tc>
          <w:tcPr>
            <w:tcW w:w="45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1780" w:type="dxa"/>
            <w:vAlign w:val="bottom"/>
            <w:shd w:val="clear" w:color="auto" w:fill="CCEEFF"/>
          </w:tcPr>
          <w:p>
            <w:pPr>
              <w:spacing w:after="0" w:line="149" w:lineRule="exact"/>
              <w:rPr>
                <w:sz w:val="20"/>
                <w:szCs w:val="20"/>
                <w:color w:val="auto"/>
              </w:rPr>
            </w:pPr>
            <w:r>
              <w:rPr>
                <w:rFonts w:ascii="Arial" w:cs="Arial" w:eastAsia="Arial" w:hAnsi="Arial"/>
                <w:sz w:val="17"/>
                <w:szCs w:val="17"/>
                <w:b w:val="1"/>
                <w:bCs w:val="1"/>
                <w:color w:val="auto"/>
              </w:rPr>
              <w:t>Pemigatinib</w:t>
            </w:r>
          </w:p>
        </w:tc>
        <w:tc>
          <w:tcPr>
            <w:tcW w:w="2700" w:type="dxa"/>
            <w:vAlign w:val="bottom"/>
            <w:shd w:val="clear" w:color="auto" w:fill="CCEEFF"/>
          </w:tcPr>
          <w:p>
            <w:pPr>
              <w:ind w:left="60"/>
              <w:spacing w:after="0" w:line="149" w:lineRule="exact"/>
              <w:rPr>
                <w:sz w:val="20"/>
                <w:szCs w:val="20"/>
                <w:color w:val="auto"/>
              </w:rPr>
            </w:pPr>
            <w:r>
              <w:rPr>
                <w:rFonts w:ascii="Arial" w:cs="Arial" w:eastAsia="Arial" w:hAnsi="Arial"/>
                <w:sz w:val="17"/>
                <w:szCs w:val="17"/>
                <w:color w:val="auto"/>
              </w:rPr>
              <w:t>Cholangiocarcinoma</w:t>
            </w:r>
          </w:p>
        </w:tc>
        <w:tc>
          <w:tcPr>
            <w:tcW w:w="4560" w:type="dxa"/>
            <w:vAlign w:val="bottom"/>
            <w:shd w:val="clear" w:color="auto" w:fill="CCEEFF"/>
          </w:tcPr>
          <w:p>
            <w:pPr>
              <w:ind w:left="180"/>
              <w:spacing w:after="0" w:line="149" w:lineRule="exact"/>
              <w:rPr>
                <w:sz w:val="20"/>
                <w:szCs w:val="20"/>
                <w:color w:val="auto"/>
              </w:rPr>
            </w:pPr>
            <w:r>
              <w:rPr>
                <w:rFonts w:ascii="Arial" w:cs="Arial" w:eastAsia="Arial" w:hAnsi="Arial"/>
                <w:sz w:val="17"/>
                <w:szCs w:val="17"/>
                <w:color w:val="auto"/>
              </w:rPr>
              <w:t>Phase II (FIGHT-202)</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(FGFR1/2/3)</w:t>
            </w:r>
          </w:p>
        </w:tc>
        <w:tc>
          <w:tcPr>
            <w:tcW w:w="2700" w:type="dxa"/>
            <w:vAlign w:val="bottom"/>
            <w:tcBorders>
              <w:bottom w:val="single" w:sz="8" w:color="CCEEFF"/>
            </w:tcBorders>
            <w:shd w:val="clear" w:color="auto" w:fill="CCEEFF"/>
          </w:tcPr>
          <w:p>
            <w:pPr>
              <w:spacing w:after="0"/>
              <w:rPr>
                <w:sz w:val="21"/>
                <w:szCs w:val="21"/>
                <w:color w:val="auto"/>
              </w:rPr>
            </w:pPr>
          </w:p>
        </w:tc>
        <w:tc>
          <w:tcPr>
            <w:tcW w:w="4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80" w:type="dxa"/>
            <w:vAlign w:val="bottom"/>
          </w:tcPr>
          <w:p>
            <w:pPr>
              <w:spacing w:after="0" w:line="149" w:lineRule="exact"/>
              <w:rPr>
                <w:sz w:val="20"/>
                <w:szCs w:val="20"/>
                <w:color w:val="auto"/>
              </w:rPr>
            </w:pPr>
            <w:r>
              <w:rPr>
                <w:rFonts w:ascii="Arial" w:cs="Arial" w:eastAsia="Arial" w:hAnsi="Arial"/>
                <w:sz w:val="17"/>
                <w:szCs w:val="17"/>
                <w:b w:val="1"/>
                <w:bCs w:val="1"/>
                <w:color w:val="auto"/>
              </w:rPr>
              <w:t>Pemigatinib</w:t>
            </w:r>
          </w:p>
        </w:tc>
        <w:tc>
          <w:tcPr>
            <w:tcW w:w="2700" w:type="dxa"/>
            <w:vAlign w:val="bottom"/>
          </w:tcPr>
          <w:p>
            <w:pPr>
              <w:ind w:left="60"/>
              <w:spacing w:after="0" w:line="149" w:lineRule="exact"/>
              <w:rPr>
                <w:sz w:val="20"/>
                <w:szCs w:val="20"/>
                <w:color w:val="auto"/>
              </w:rPr>
            </w:pPr>
            <w:r>
              <w:rPr>
                <w:rFonts w:ascii="Arial" w:cs="Arial" w:eastAsia="Arial" w:hAnsi="Arial"/>
                <w:sz w:val="17"/>
                <w:szCs w:val="17"/>
                <w:color w:val="auto"/>
              </w:rPr>
              <w:t>8p11 MPN</w:t>
            </w:r>
          </w:p>
        </w:tc>
        <w:tc>
          <w:tcPr>
            <w:tcW w:w="4560" w:type="dxa"/>
            <w:vAlign w:val="bottom"/>
          </w:tcPr>
          <w:p>
            <w:pPr>
              <w:ind w:left="180"/>
              <w:spacing w:after="0" w:line="149" w:lineRule="exact"/>
              <w:rPr>
                <w:sz w:val="20"/>
                <w:szCs w:val="20"/>
                <w:color w:val="auto"/>
              </w:rPr>
            </w:pPr>
            <w:r>
              <w:rPr>
                <w:rFonts w:ascii="Arial" w:cs="Arial" w:eastAsia="Arial" w:hAnsi="Arial"/>
                <w:sz w:val="17"/>
                <w:szCs w:val="17"/>
                <w:color w:val="auto"/>
              </w:rPr>
              <w:t>Phase II (FIGHT-203)</w:t>
            </w:r>
          </w:p>
        </w:tc>
        <w:tc>
          <w:tcPr>
            <w:tcW w:w="0" w:type="dxa"/>
            <w:vAlign w:val="bottom"/>
          </w:tcPr>
          <w:p>
            <w:pPr>
              <w:spacing w:after="0"/>
              <w:rPr>
                <w:sz w:val="1"/>
                <w:szCs w:val="1"/>
                <w:color w:val="auto"/>
              </w:rPr>
            </w:pPr>
          </w:p>
        </w:tc>
      </w:tr>
      <w:tr>
        <w:trPr>
          <w:trHeight w:val="234"/>
        </w:trPr>
        <w:tc>
          <w:tcPr>
            <w:tcW w:w="1800" w:type="dxa"/>
            <w:vAlign w:val="bottom"/>
            <w:gridSpan w:val="2"/>
          </w:tcPr>
          <w:p>
            <w:pPr>
              <w:spacing w:after="0"/>
              <w:rPr>
                <w:sz w:val="20"/>
                <w:szCs w:val="20"/>
                <w:color w:val="auto"/>
              </w:rPr>
            </w:pPr>
            <w:r>
              <w:rPr>
                <w:rFonts w:ascii="Arial" w:cs="Arial" w:eastAsia="Arial" w:hAnsi="Arial"/>
                <w:sz w:val="18"/>
                <w:szCs w:val="18"/>
                <w:b w:val="1"/>
                <w:bCs w:val="1"/>
                <w:color w:val="auto"/>
              </w:rPr>
              <w:t>(FGFR1/2/3)</w:t>
            </w:r>
          </w:p>
        </w:tc>
        <w:tc>
          <w:tcPr>
            <w:tcW w:w="270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2700" w:type="dxa"/>
            <w:vAlign w:val="bottom"/>
            <w:tcBorders>
              <w:bottom w:val="single" w:sz="8" w:color="auto"/>
            </w:tcBorders>
          </w:tcPr>
          <w:p>
            <w:pPr>
              <w:spacing w:after="0"/>
              <w:rPr>
                <w:sz w:val="3"/>
                <w:szCs w:val="3"/>
                <w:color w:val="auto"/>
              </w:rPr>
            </w:pPr>
          </w:p>
        </w:tc>
        <w:tc>
          <w:tcPr>
            <w:tcW w:w="45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120" w:hanging="117"/>
        <w:spacing w:after="0"/>
        <w:tabs>
          <w:tab w:leader="none" w:pos="120" w:val="left"/>
        </w:tabs>
        <w:numPr>
          <w:ilvl w:val="0"/>
          <w:numId w:val="19"/>
        </w:numPr>
        <w:rPr>
          <w:rFonts w:ascii="Arial" w:cs="Arial" w:eastAsia="Arial" w:hAnsi="Arial"/>
          <w:sz w:val="9"/>
          <w:szCs w:val="9"/>
          <w:color w:val="auto"/>
        </w:rPr>
      </w:pPr>
      <w:r>
        <w:rPr>
          <w:rFonts w:ascii="Arial" w:cs="Arial" w:eastAsia="Arial" w:hAnsi="Arial"/>
          <w:sz w:val="18"/>
          <w:szCs w:val="18"/>
          <w:color w:val="auto"/>
        </w:rPr>
        <w:t>INCMGA0012 licensed from MacroGenics.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Earlier-Stage Programs</w:t>
      </w:r>
    </w:p>
    <w:p>
      <w:pPr>
        <w:spacing w:after="0" w:line="225" w:lineRule="exact"/>
        <w:rPr>
          <w:sz w:val="20"/>
          <w:szCs w:val="20"/>
          <w:color w:val="auto"/>
        </w:rPr>
      </w:pPr>
    </w:p>
    <w:p>
      <w:pPr>
        <w:jc w:val="both"/>
        <w:ind w:firstLine="648"/>
        <w:spacing w:after="0" w:line="221" w:lineRule="exact"/>
        <w:rPr>
          <w:sz w:val="20"/>
          <w:szCs w:val="20"/>
          <w:color w:val="auto"/>
        </w:rPr>
      </w:pPr>
      <w:r>
        <w:rPr>
          <w:rFonts w:ascii="Arial" w:cs="Arial" w:eastAsia="Arial" w:hAnsi="Arial"/>
          <w:sz w:val="18"/>
          <w:szCs w:val="18"/>
          <w:color w:val="auto"/>
        </w:rPr>
        <w:t>We also have a number of other earlier-stage clinical programs. We intend to describe these programs more fully if we obtain clinical proof</w:t>
      </w:r>
      <w:r>
        <w:rPr>
          <w:rFonts w:ascii="MS PGothic" w:cs="MS PGothic" w:eastAsia="MS PGothic" w:hAnsi="MS PGothic"/>
          <w:sz w:val="18"/>
          <w:szCs w:val="18"/>
          <w:color w:val="auto"/>
        </w:rPr>
        <w:t>‑</w:t>
      </w:r>
      <w:r>
        <w:rPr>
          <w:rFonts w:ascii="Arial" w:cs="Arial" w:eastAsia="Arial" w:hAnsi="Arial"/>
          <w:sz w:val="18"/>
          <w:szCs w:val="18"/>
          <w:color w:val="auto"/>
        </w:rPr>
        <w:t>of</w:t>
      </w:r>
      <w:r>
        <w:rPr>
          <w:rFonts w:ascii="MS PGothic" w:cs="MS PGothic" w:eastAsia="MS PGothic" w:hAnsi="MS PGothic"/>
          <w:sz w:val="18"/>
          <w:szCs w:val="18"/>
          <w:color w:val="auto"/>
        </w:rPr>
        <w:t>‑</w:t>
      </w:r>
      <w:r>
        <w:rPr>
          <w:rFonts w:ascii="Arial" w:cs="Arial" w:eastAsia="Arial" w:hAnsi="Arial"/>
          <w:sz w:val="18"/>
          <w:szCs w:val="18"/>
          <w:color w:val="auto"/>
        </w:rPr>
        <w:t>concept and establish that a program warrants further development in a specific indication or group of indications.</w:t>
      </w:r>
    </w:p>
    <w:p>
      <w:pPr>
        <w:spacing w:after="0" w:line="202" w:lineRule="exact"/>
        <w:rPr>
          <w:sz w:val="20"/>
          <w:szCs w:val="20"/>
          <w:color w:val="auto"/>
        </w:rPr>
      </w:pPr>
    </w:p>
    <w:p>
      <w:pPr>
        <w:jc w:val="both"/>
        <w:ind w:firstLine="648"/>
        <w:spacing w:after="0" w:line="218" w:lineRule="exact"/>
        <w:rPr>
          <w:sz w:val="20"/>
          <w:szCs w:val="20"/>
          <w:color w:val="auto"/>
        </w:rPr>
      </w:pPr>
      <w:r>
        <w:rPr>
          <w:rFonts w:ascii="Arial" w:cs="Arial" w:eastAsia="Arial" w:hAnsi="Arial"/>
          <w:sz w:val="16"/>
          <w:szCs w:val="16"/>
          <w:color w:val="auto"/>
        </w:rPr>
        <w:t>Epacadostat is a novel, potent and selective inhibitor of the enzyme indoleamine 2, 3</w:t>
      </w:r>
      <w:r>
        <w:rPr>
          <w:rFonts w:ascii="MS PGothic" w:cs="MS PGothic" w:eastAsia="MS PGothic" w:hAnsi="MS PGothic"/>
          <w:sz w:val="16"/>
          <w:szCs w:val="16"/>
          <w:color w:val="auto"/>
        </w:rPr>
        <w:t>‑</w:t>
      </w:r>
      <w:r>
        <w:rPr>
          <w:rFonts w:ascii="Arial" w:cs="Arial" w:eastAsia="Arial" w:hAnsi="Arial"/>
          <w:sz w:val="16"/>
          <w:szCs w:val="16"/>
          <w:color w:val="auto"/>
        </w:rPr>
        <w:t>dioxygenase</w:t>
      </w:r>
      <w:r>
        <w:rPr>
          <w:rFonts w:ascii="MS PGothic" w:cs="MS PGothic" w:eastAsia="MS PGothic" w:hAnsi="MS PGothic"/>
          <w:sz w:val="16"/>
          <w:szCs w:val="16"/>
          <w:color w:val="auto"/>
        </w:rPr>
        <w:t>‑</w:t>
      </w:r>
      <w:r>
        <w:rPr>
          <w:rFonts w:ascii="Arial" w:cs="Arial" w:eastAsia="Arial" w:hAnsi="Arial"/>
          <w:sz w:val="16"/>
          <w:szCs w:val="16"/>
          <w:color w:val="auto"/>
        </w:rPr>
        <w:t>1 (IDO1), which is believed to be a key regulator of the mechanisms that are responsible for allowing tumors to escape from a patient’s immune surveillance. The ECHO clinical development program is investigating the development of epacadostat in combination with other therapeutic agents. In April 2018, we along with Merck announced that the pivotal Phase III ECHO-301 trial in patients with advanced or metastatic melanoma did not meet the primary endpoint of improving progression-free survival in the overall population compared to pembrolizumab monotherapy. In consultation with our collaboration partners, and after the results of ECHO-301, the ECHO program was downsized. We, along with Merck, are now running two Phase II trials of epacadostat in combination with pembrolizumab in lung cancer (ECHO-305 and ECHO-306).</w:t>
      </w:r>
    </w:p>
    <w:p>
      <w:pPr>
        <w:spacing w:after="0" w:line="203"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0D0D0D"/>
        </w:rPr>
        <w:t xml:space="preserve">INCB57643 is a BRD inhibitor. </w:t>
      </w:r>
      <w:r>
        <w:rPr>
          <w:rFonts w:ascii="Arial" w:cs="Arial" w:eastAsia="Arial" w:hAnsi="Arial"/>
          <w:sz w:val="16"/>
          <w:szCs w:val="16"/>
          <w:color w:val="000000"/>
        </w:rPr>
        <w:t>BRDs are a family of proteins which play important roles in mediating gene</w:t>
      </w:r>
      <w:r>
        <w:rPr>
          <w:rFonts w:ascii="Arial" w:cs="Arial" w:eastAsia="Arial" w:hAnsi="Arial"/>
          <w:sz w:val="16"/>
          <w:szCs w:val="16"/>
          <w:color w:val="0D0D0D"/>
        </w:rPr>
        <w:t xml:space="preserve"> </w:t>
      </w:r>
      <w:r>
        <w:rPr>
          <w:rFonts w:ascii="Arial" w:cs="Arial" w:eastAsia="Arial" w:hAnsi="Arial"/>
          <w:sz w:val="16"/>
          <w:szCs w:val="16"/>
          <w:color w:val="000000"/>
        </w:rPr>
        <w:t xml:space="preserve">transcription, most notably by facilitating the </w:t>
      </w:r>
      <w:r>
        <w:rPr>
          <w:rFonts w:ascii="Arial" w:cs="Arial" w:eastAsia="Arial" w:hAnsi="Arial"/>
          <w:sz w:val="16"/>
          <w:szCs w:val="16"/>
          <w:color w:val="0D0D0D"/>
        </w:rPr>
        <w:t>expression of oncogenes such as MYC, one of the most frequently dysregulated</w:t>
      </w:r>
      <w:r>
        <w:rPr>
          <w:rFonts w:ascii="Arial" w:cs="Arial" w:eastAsia="Arial" w:hAnsi="Arial"/>
          <w:sz w:val="16"/>
          <w:szCs w:val="16"/>
          <w:color w:val="000000"/>
        </w:rPr>
        <w:t xml:space="preserve"> </w:t>
      </w:r>
      <w:r>
        <w:rPr>
          <w:rFonts w:ascii="Arial" w:cs="Arial" w:eastAsia="Arial" w:hAnsi="Arial"/>
          <w:sz w:val="16"/>
          <w:szCs w:val="16"/>
          <w:color w:val="0D0D0D"/>
        </w:rPr>
        <w:t>oncogenes in all human cancer. Following a preclinical safety finding, development of this compound is to be discontinued.</w:t>
      </w:r>
    </w:p>
    <w:p>
      <w:pPr>
        <w:spacing w:after="0" w:line="14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INCB53914 is a pan-PIM kinase inhibitor that has demonstrated potency and selectivity in preclinical studies. PIM kinases integrate signals from multiple pathways important for the survival and proliferation of malignant cells. Over expression of PIM kinases has been reported in human hematological cancers with each isoform showing a distinct expression pattern among the various malignancy subtypes.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3" w:name="page44"/>
    <w:bookmarkEnd w:id="4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INCB59872 is an LSD1 inhibitor. LSD1 is a key enzyme that is involved in epigenetic regulation of gene transcription. Dysregulated LSD1 activity can perturb normal gene expression, leading to cellular transformation. In particular, the function of LSD1 has been reported to maintain stem cell-like gene expression patterns in various cancers, including acute myeloid leukemia and small cell lung cancer.</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INCB62079 is a selective, irreversible inhibitor of FGFR4 that has exhibited 250 times greater selectivity for FGFR4 than other FGFR isoforms in preclinical studies. Preclinical data has also demonstrated the compound’s selective activity against cancer cell lines with FGF19-FGFR4 pathway activation, and dose-dependent activity in murine models of FGF19-driven hepatocellular carcinoma.</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INCB01158 is a first-in-class, small molecule arginase inhibitor in hematology and oncology licensed from Calithera Biosciences, Inc. In preclinical models, arginase inhibition has been shown to enhance anti-tumor immunity both as a single agent and in combination with other immuno-modulatory therapeutics.</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INCAGN1876 is an anti-GITR agonist antibody and INCAGN1949 is an anti-OX40 agonist antibody. Both are programs within our antibody discovery alliance with Agenus Inc. GITR and OX40 are costimulatory receptors that are expressed on effector T cells and are important for T cell survival and enhanced cytokine production. Both are also expressed on regulatory T cells and can abrogate their suppressive function. Preclinical data demonstrate that anti-GITR and anti-OX40 agonist antibodies inhibit tumor growth by enhancing the levels and function of effector T cells and by decreasing regulatory T cells.</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INCAGN2385 is an anti-LAG-3 antibody. This molecule is an Fc-engineered IgG1 antibody chosen for development based on its high-affinity binding to human LAG-3. The engineered IgG1 Fc has no depleting capability which may be an advantage over other anti-LAG-3 antibodies.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Programs outside Oncology</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June 2018, we announced that a Phase II trial of ruxolitinib cream for the topical treatment of atopic dermatitis showed a significant benefit over vehicle control, and that preparations are underway for a global, pivotal Phase III program. Atopic dermatitis is a skin disorder that causes the skin to become red, scaly, and itchy. Onset can occur at any age, but is much more common in infants and children. United States and European prevalence are estimated at 10.3 million patients and 6.5 million patients, respectively.</w:t>
      </w:r>
    </w:p>
    <w:p>
      <w:pPr>
        <w:spacing w:after="0" w:line="8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 Phase II trial of ruxolitinib cream in patients with vitiligo, a long term skin condition characterized by patches of the skin losing their pigment, was initiated in June 2017.</w:t>
      </w:r>
    </w:p>
    <w:p>
      <w:pPr>
        <w:spacing w:after="0" w:line="6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 Phase II trial of INCB54707, a JAK1 selective inhibitor, is planned in patients with hidradenitis suppurativa, an inflammatory skin disease.</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1960" w:type="dxa"/>
            <w:vAlign w:val="bottom"/>
            <w:tcBorders>
              <w:top w:val="single" w:sz="8" w:color="F2F2F2"/>
              <w:bottom w:val="single" w:sz="8" w:color="auto"/>
            </w:tcBorders>
          </w:tcPr>
          <w:p>
            <w:pPr>
              <w:spacing w:after="0"/>
              <w:rPr>
                <w:sz w:val="3"/>
                <w:szCs w:val="3"/>
                <w:color w:val="auto"/>
              </w:rPr>
            </w:pPr>
          </w:p>
        </w:tc>
        <w:tc>
          <w:tcPr>
            <w:tcW w:w="2480" w:type="dxa"/>
            <w:vAlign w:val="bottom"/>
            <w:tcBorders>
              <w:top w:val="single" w:sz="8" w:color="F2F2F2"/>
              <w:bottom w:val="single" w:sz="8" w:color="auto"/>
            </w:tcBorders>
          </w:tcPr>
          <w:p>
            <w:pPr>
              <w:spacing w:after="0"/>
              <w:rPr>
                <w:sz w:val="3"/>
                <w:szCs w:val="3"/>
                <w:color w:val="auto"/>
              </w:rPr>
            </w:pPr>
          </w:p>
        </w:tc>
        <w:tc>
          <w:tcPr>
            <w:tcW w:w="4600" w:type="dxa"/>
            <w:vAlign w:val="bottom"/>
            <w:tcBorders>
              <w:top w:val="single" w:sz="8" w:color="F2F2F2"/>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960" w:type="dxa"/>
            <w:vAlign w:val="bottom"/>
            <w:tcBorders>
              <w:bottom w:val="single" w:sz="8" w:color="auto"/>
            </w:tcBorders>
            <w:shd w:val="clear" w:color="auto" w:fill="F2F2F2"/>
          </w:tcPr>
          <w:p>
            <w:pPr>
              <w:spacing w:after="0"/>
              <w:rPr>
                <w:sz w:val="20"/>
                <w:szCs w:val="20"/>
                <w:color w:val="auto"/>
              </w:rPr>
            </w:pPr>
          </w:p>
        </w:tc>
        <w:tc>
          <w:tcPr>
            <w:tcW w:w="2480" w:type="dxa"/>
            <w:vAlign w:val="bottom"/>
            <w:tcBorders>
              <w:bottom w:val="single" w:sz="8" w:color="auto"/>
            </w:tcBorders>
            <w:shd w:val="clear" w:color="auto" w:fill="F2F2F2"/>
          </w:tcPr>
          <w:p>
            <w:pPr>
              <w:ind w:left="460"/>
              <w:spacing w:after="0"/>
              <w:rPr>
                <w:sz w:val="20"/>
                <w:szCs w:val="20"/>
                <w:color w:val="auto"/>
              </w:rPr>
            </w:pPr>
            <w:r>
              <w:rPr>
                <w:rFonts w:ascii="Arial" w:cs="Arial" w:eastAsia="Arial" w:hAnsi="Arial"/>
                <w:sz w:val="18"/>
                <w:szCs w:val="18"/>
                <w:b w:val="1"/>
                <w:bCs w:val="1"/>
                <w:color w:val="auto"/>
              </w:rPr>
              <w:t>Indication</w:t>
            </w:r>
          </w:p>
        </w:tc>
        <w:tc>
          <w:tcPr>
            <w:tcW w:w="4600" w:type="dxa"/>
            <w:vAlign w:val="bottom"/>
            <w:tcBorders>
              <w:bottom w:val="single" w:sz="8" w:color="auto"/>
            </w:tcBorders>
            <w:shd w:val="clear" w:color="auto" w:fill="F2F2F2"/>
          </w:tcPr>
          <w:p>
            <w:pPr>
              <w:ind w:left="240"/>
              <w:spacing w:after="0"/>
              <w:rPr>
                <w:sz w:val="20"/>
                <w:szCs w:val="20"/>
                <w:color w:val="auto"/>
              </w:rPr>
            </w:pPr>
            <w:r>
              <w:rPr>
                <w:rFonts w:ascii="Arial" w:cs="Arial" w:eastAsia="Arial" w:hAnsi="Arial"/>
                <w:sz w:val="18"/>
                <w:szCs w:val="18"/>
                <w:b w:val="1"/>
                <w:bCs w:val="1"/>
                <w:color w:val="auto"/>
              </w:rPr>
              <w:t>Status Update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960" w:type="dxa"/>
            <w:vAlign w:val="bottom"/>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Ruxolitinib cream</w:t>
            </w:r>
            <w:r>
              <w:rPr>
                <w:rFonts w:ascii="Arial" w:cs="Arial" w:eastAsia="Arial" w:hAnsi="Arial"/>
                <w:sz w:val="8"/>
                <w:szCs w:val="8"/>
                <w:b w:val="1"/>
                <w:bCs w:val="1"/>
                <w:color w:val="auto"/>
              </w:rPr>
              <w:t>1</w:t>
            </w:r>
          </w:p>
        </w:tc>
        <w:tc>
          <w:tcPr>
            <w:tcW w:w="2480" w:type="dxa"/>
            <w:vAlign w:val="bottom"/>
            <w:shd w:val="clear" w:color="auto" w:fill="CCEEFF"/>
          </w:tcPr>
          <w:p>
            <w:pPr>
              <w:ind w:left="460"/>
              <w:spacing w:after="0" w:line="170" w:lineRule="exact"/>
              <w:rPr>
                <w:sz w:val="20"/>
                <w:szCs w:val="20"/>
                <w:color w:val="auto"/>
              </w:rPr>
            </w:pPr>
            <w:r>
              <w:rPr>
                <w:rFonts w:ascii="Arial" w:cs="Arial" w:eastAsia="Arial" w:hAnsi="Arial"/>
                <w:sz w:val="18"/>
                <w:szCs w:val="18"/>
                <w:color w:val="auto"/>
              </w:rPr>
              <w:t>Atopic dermatitis</w:t>
            </w:r>
          </w:p>
        </w:tc>
        <w:tc>
          <w:tcPr>
            <w:tcW w:w="4600" w:type="dxa"/>
            <w:vAlign w:val="bottom"/>
            <w:shd w:val="clear" w:color="auto" w:fill="CCEEFF"/>
          </w:tcPr>
          <w:p>
            <w:pPr>
              <w:ind w:left="240"/>
              <w:spacing w:after="0" w:line="170" w:lineRule="exact"/>
              <w:rPr>
                <w:sz w:val="20"/>
                <w:szCs w:val="20"/>
                <w:color w:val="auto"/>
              </w:rPr>
            </w:pPr>
            <w:r>
              <w:rPr>
                <w:rFonts w:ascii="Arial" w:cs="Arial" w:eastAsia="Arial" w:hAnsi="Arial"/>
                <w:sz w:val="18"/>
                <w:szCs w:val="18"/>
                <w:color w:val="auto"/>
              </w:rPr>
              <w:t>Phase III in preparation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(JAK1/JAK2)</w:t>
            </w:r>
          </w:p>
        </w:tc>
        <w:tc>
          <w:tcPr>
            <w:tcW w:w="2480" w:type="dxa"/>
            <w:vAlign w:val="bottom"/>
            <w:shd w:val="clear" w:color="auto" w:fill="CCEEFF"/>
          </w:tcPr>
          <w:p>
            <w:pPr>
              <w:spacing w:after="0"/>
              <w:rPr>
                <w:sz w:val="20"/>
                <w:szCs w:val="20"/>
                <w:color w:val="auto"/>
              </w:rPr>
            </w:pPr>
          </w:p>
        </w:tc>
        <w:tc>
          <w:tcPr>
            <w:tcW w:w="46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960" w:type="dxa"/>
            <w:vAlign w:val="bottom"/>
            <w:shd w:val="clear" w:color="auto" w:fill="CCEEFF"/>
          </w:tcPr>
          <w:p>
            <w:pPr>
              <w:spacing w:after="0"/>
              <w:rPr>
                <w:sz w:val="8"/>
                <w:szCs w:val="8"/>
                <w:color w:val="auto"/>
              </w:rPr>
            </w:pPr>
          </w:p>
        </w:tc>
        <w:tc>
          <w:tcPr>
            <w:tcW w:w="2480" w:type="dxa"/>
            <w:vAlign w:val="bottom"/>
            <w:shd w:val="clear" w:color="auto" w:fill="CCEEFF"/>
          </w:tcPr>
          <w:p>
            <w:pPr>
              <w:spacing w:after="0"/>
              <w:rPr>
                <w:sz w:val="8"/>
                <w:szCs w:val="8"/>
                <w:color w:val="auto"/>
              </w:rPr>
            </w:pPr>
          </w:p>
        </w:tc>
        <w:tc>
          <w:tcPr>
            <w:tcW w:w="46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1"/>
        </w:trPr>
        <w:tc>
          <w:tcPr>
            <w:tcW w:w="20" w:type="dxa"/>
            <w:vAlign w:val="bottom"/>
            <w:vMerge w:val="continue"/>
          </w:tcPr>
          <w:p>
            <w:pPr>
              <w:spacing w:after="0"/>
              <w:rPr>
                <w:sz w:val="14"/>
                <w:szCs w:val="14"/>
                <w:color w:val="auto"/>
              </w:rPr>
            </w:pPr>
          </w:p>
        </w:tc>
        <w:tc>
          <w:tcPr>
            <w:tcW w:w="1960" w:type="dxa"/>
            <w:vAlign w:val="bottom"/>
            <w:shd w:val="clear" w:color="auto" w:fill="F2F2F2"/>
          </w:tcPr>
          <w:p>
            <w:pPr>
              <w:spacing w:after="0" w:line="170" w:lineRule="exact"/>
              <w:rPr>
                <w:sz w:val="20"/>
                <w:szCs w:val="20"/>
                <w:color w:val="auto"/>
              </w:rPr>
            </w:pPr>
            <w:r>
              <w:rPr>
                <w:rFonts w:ascii="Arial" w:cs="Arial" w:eastAsia="Arial" w:hAnsi="Arial"/>
                <w:sz w:val="18"/>
                <w:szCs w:val="18"/>
                <w:b w:val="1"/>
                <w:bCs w:val="1"/>
                <w:color w:val="auto"/>
              </w:rPr>
              <w:t>Ruxolitinib cream</w:t>
            </w:r>
            <w:r>
              <w:rPr>
                <w:rFonts w:ascii="Arial" w:cs="Arial" w:eastAsia="Arial" w:hAnsi="Arial"/>
                <w:sz w:val="8"/>
                <w:szCs w:val="8"/>
                <w:b w:val="1"/>
                <w:bCs w:val="1"/>
                <w:color w:val="auto"/>
              </w:rPr>
              <w:t>1</w:t>
            </w:r>
          </w:p>
        </w:tc>
        <w:tc>
          <w:tcPr>
            <w:tcW w:w="2480" w:type="dxa"/>
            <w:vAlign w:val="bottom"/>
            <w:shd w:val="clear" w:color="auto" w:fill="F2F2F2"/>
          </w:tcPr>
          <w:p>
            <w:pPr>
              <w:ind w:left="460"/>
              <w:spacing w:after="0" w:line="170" w:lineRule="exact"/>
              <w:rPr>
                <w:sz w:val="20"/>
                <w:szCs w:val="20"/>
                <w:color w:val="auto"/>
              </w:rPr>
            </w:pPr>
            <w:r>
              <w:rPr>
                <w:rFonts w:ascii="Arial" w:cs="Arial" w:eastAsia="Arial" w:hAnsi="Arial"/>
                <w:sz w:val="18"/>
                <w:szCs w:val="18"/>
                <w:color w:val="auto"/>
              </w:rPr>
              <w:t>Vitiligo</w:t>
            </w:r>
          </w:p>
        </w:tc>
        <w:tc>
          <w:tcPr>
            <w:tcW w:w="4600" w:type="dxa"/>
            <w:vAlign w:val="bottom"/>
            <w:shd w:val="clear" w:color="auto" w:fill="F2F2F2"/>
          </w:tcPr>
          <w:p>
            <w:pPr>
              <w:ind w:left="240"/>
              <w:spacing w:after="0" w:line="170" w:lineRule="exact"/>
              <w:rPr>
                <w:sz w:val="20"/>
                <w:szCs w:val="20"/>
                <w:color w:val="auto"/>
              </w:rPr>
            </w:pPr>
            <w:r>
              <w:rPr>
                <w:rFonts w:ascii="Arial" w:cs="Arial" w:eastAsia="Arial" w:hAnsi="Arial"/>
                <w:sz w:val="18"/>
                <w:szCs w:val="18"/>
                <w:color w:val="auto"/>
              </w:rPr>
              <w:t>Phase II</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960" w:type="dxa"/>
            <w:vAlign w:val="bottom"/>
            <w:shd w:val="clear" w:color="auto" w:fill="F2F2F2"/>
          </w:tcPr>
          <w:p>
            <w:pPr>
              <w:spacing w:after="0"/>
              <w:rPr>
                <w:sz w:val="20"/>
                <w:szCs w:val="20"/>
                <w:color w:val="auto"/>
              </w:rPr>
            </w:pPr>
            <w:r>
              <w:rPr>
                <w:rFonts w:ascii="Arial" w:cs="Arial" w:eastAsia="Arial" w:hAnsi="Arial"/>
                <w:sz w:val="18"/>
                <w:szCs w:val="18"/>
                <w:b w:val="1"/>
                <w:bCs w:val="1"/>
                <w:color w:val="auto"/>
              </w:rPr>
              <w:t>(JAK1/JAK2)</w:t>
            </w:r>
          </w:p>
        </w:tc>
        <w:tc>
          <w:tcPr>
            <w:tcW w:w="2480" w:type="dxa"/>
            <w:vAlign w:val="bottom"/>
            <w:shd w:val="clear" w:color="auto" w:fill="F2F2F2"/>
          </w:tcPr>
          <w:p>
            <w:pPr>
              <w:spacing w:after="0"/>
              <w:rPr>
                <w:sz w:val="20"/>
                <w:szCs w:val="20"/>
                <w:color w:val="auto"/>
              </w:rPr>
            </w:pPr>
          </w:p>
        </w:tc>
        <w:tc>
          <w:tcPr>
            <w:tcW w:w="4600" w:type="dxa"/>
            <w:vAlign w:val="bottom"/>
            <w:shd w:val="clear" w:color="auto" w:fill="F2F2F2"/>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1960" w:type="dxa"/>
            <w:vAlign w:val="bottom"/>
            <w:shd w:val="clear" w:color="auto" w:fill="F2F2F2"/>
          </w:tcPr>
          <w:p>
            <w:pPr>
              <w:spacing w:after="0"/>
              <w:rPr>
                <w:sz w:val="9"/>
                <w:szCs w:val="9"/>
                <w:color w:val="auto"/>
              </w:rPr>
            </w:pPr>
          </w:p>
        </w:tc>
        <w:tc>
          <w:tcPr>
            <w:tcW w:w="2480" w:type="dxa"/>
            <w:vAlign w:val="bottom"/>
            <w:shd w:val="clear" w:color="auto" w:fill="F2F2F2"/>
          </w:tcPr>
          <w:p>
            <w:pPr>
              <w:spacing w:after="0"/>
              <w:rPr>
                <w:sz w:val="9"/>
                <w:szCs w:val="9"/>
                <w:color w:val="auto"/>
              </w:rPr>
            </w:pPr>
          </w:p>
        </w:tc>
        <w:tc>
          <w:tcPr>
            <w:tcW w:w="4600" w:type="dxa"/>
            <w:vAlign w:val="bottom"/>
            <w:shd w:val="clear" w:color="auto" w:fill="F2F2F2"/>
          </w:tcPr>
          <w:p>
            <w:pPr>
              <w:spacing w:after="0"/>
              <w:rPr>
                <w:sz w:val="9"/>
                <w:szCs w:val="9"/>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1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INCB54707 (JAK1)</w:t>
            </w:r>
          </w:p>
        </w:tc>
        <w:tc>
          <w:tcPr>
            <w:tcW w:w="24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Hidradenitis suppurativa</w:t>
            </w:r>
          </w:p>
        </w:tc>
        <w:tc>
          <w:tcPr>
            <w:tcW w:w="46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Expected to enter Phase II in H2 2018</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1960" w:type="dxa"/>
            <w:vAlign w:val="bottom"/>
            <w:tcBorders>
              <w:bottom w:val="single" w:sz="8" w:color="auto"/>
            </w:tcBorders>
            <w:shd w:val="clear" w:color="auto" w:fill="CCEEFF"/>
          </w:tcPr>
          <w:p>
            <w:pPr>
              <w:spacing w:after="0"/>
              <w:rPr>
                <w:sz w:val="16"/>
                <w:szCs w:val="16"/>
                <w:color w:val="auto"/>
              </w:rPr>
            </w:pPr>
          </w:p>
        </w:tc>
        <w:tc>
          <w:tcPr>
            <w:tcW w:w="2480" w:type="dxa"/>
            <w:vAlign w:val="bottom"/>
            <w:tcBorders>
              <w:bottom w:val="single" w:sz="8" w:color="auto"/>
            </w:tcBorders>
            <w:shd w:val="clear" w:color="auto" w:fill="CCEEFF"/>
          </w:tcPr>
          <w:p>
            <w:pPr>
              <w:spacing w:after="0"/>
              <w:rPr>
                <w:sz w:val="16"/>
                <w:szCs w:val="16"/>
                <w:color w:val="auto"/>
              </w:rPr>
            </w:pPr>
          </w:p>
        </w:tc>
        <w:tc>
          <w:tcPr>
            <w:tcW w:w="460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3"/>
        <w:spacing w:after="0" w:line="277" w:lineRule="auto"/>
        <w:tabs>
          <w:tab w:leader="none" w:pos="122" w:val="left"/>
        </w:tabs>
        <w:numPr>
          <w:ilvl w:val="0"/>
          <w:numId w:val="20"/>
        </w:numPr>
        <w:rPr>
          <w:rFonts w:ascii="Arial" w:cs="Arial" w:eastAsia="Arial" w:hAnsi="Arial"/>
          <w:sz w:val="9"/>
          <w:szCs w:val="9"/>
          <w:color w:val="auto"/>
        </w:rPr>
      </w:pPr>
      <w:r>
        <w:rPr>
          <w:rFonts w:ascii="Arial" w:cs="Arial" w:eastAsia="Arial" w:hAnsi="Arial"/>
          <w:sz w:val="18"/>
          <w:szCs w:val="18"/>
          <w:color w:val="auto"/>
        </w:rPr>
        <w:t>Novartis’ rights for ruxolitinib outside of the United States under our Collaboration and License Agreement with Novartis do not include topical administration.</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4" w:name="page45"/>
    <w:bookmarkEnd w:id="4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Partnered Programs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Baricitinib</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have a second JAK1 and JAK2 inhibitor, baricitinib, which is subject to our collaboration agreement with Eli Lilly and Company, in which Lilly received exclusive worldwide development and commercialization rights to the compound for inflammatory and autoimmune diseases. The Phase III program of baricitinib in patients with rheumatoid arthritis incorporated all three rheumatoid arthritis populations (methotrexate naïve, biologic naïve, and tumor necrosis factor (TNF) inhibitor inadequate responders); used event rates to fully power the baricitinib program for structural comparison and non-inferiority vs. adalimumab; and evaluated patient-reported outcomes. All four Phase III trials met their respective primary endpoints.</w:t>
      </w:r>
    </w:p>
    <w:p>
      <w:pPr>
        <w:spacing w:after="0" w:line="18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In January 2016, Lilly submitted a New Drug Application (NDA) to the FDA and a Marketing Authorization Application (MAA) to the European Medicines Agency for baricitinib as treatment for rheumatoid arthritis. In February 2017, we and Lilly announced that the European Commission approved baricitinib as OLUMIANT for the treatment of moderate-to-severe rheumatoid arthritis in adult patients who have responded inadequately to, or who are intolerant to, one or more disease-modifying antirheumatic drugs (DMARDs). In July 2017, Japan's Ministry of Health, Labor and Welfare (MHLW) granted marketing approval for OLUMIANTfor the treatment of rheumatoid arthritis (including the prevention of structural injury of joints) in patients with inadequate response to standard-of-care therapies. In June 2018, the FDA approved the 2mg dose of OLUMIANT for the treatment of adults with moderately-to-severely active rheumatoid arthritis (RA) who have had an inadequate response to one or more tumor necrosis factor (TNF) inhibitor therapies.</w:t>
      </w:r>
    </w:p>
    <w:p>
      <w:pPr>
        <w:spacing w:after="0" w:line="16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Rheumatoid Arthritis. </w:t>
      </w:r>
      <w:r>
        <w:rPr>
          <w:rFonts w:ascii="Arial" w:cs="Arial" w:eastAsia="Arial" w:hAnsi="Arial"/>
          <w:sz w:val="18"/>
          <w:szCs w:val="18"/>
          <w:color w:val="auto"/>
        </w:rPr>
        <w:t>Rheumatoid arthritis is an autoimmune disease characterized by aberrant or abnormal</w:t>
      </w:r>
      <w:r>
        <w:rPr>
          <w:rFonts w:ascii="Arial" w:cs="Arial" w:eastAsia="Arial" w:hAnsi="Arial"/>
          <w:sz w:val="18"/>
          <w:szCs w:val="18"/>
          <w:i w:val="1"/>
          <w:iCs w:val="1"/>
          <w:color w:val="auto"/>
        </w:rPr>
        <w:t xml:space="preserve"> </w:t>
      </w:r>
      <w:r>
        <w:rPr>
          <w:rFonts w:ascii="Arial" w:cs="Arial" w:eastAsia="Arial" w:hAnsi="Arial"/>
          <w:sz w:val="18"/>
          <w:szCs w:val="18"/>
          <w:color w:val="auto"/>
        </w:rPr>
        <w:t>immune mechanisms that lead to joint inflammation and swelling and, in some patients, the progressive destruction of joints. Rheumatoid arthritis can also affect connective tissue in the skin and organs of the body.</w:t>
      </w:r>
    </w:p>
    <w:p>
      <w:pPr>
        <w:spacing w:after="0" w:line="181" w:lineRule="exact"/>
        <w:rPr>
          <w:sz w:val="20"/>
          <w:szCs w:val="20"/>
          <w:color w:val="auto"/>
        </w:rPr>
      </w:pPr>
    </w:p>
    <w:p>
      <w:pPr>
        <w:jc w:val="both"/>
        <w:ind w:firstLine="648"/>
        <w:spacing w:after="0" w:line="219" w:lineRule="exact"/>
        <w:rPr>
          <w:sz w:val="20"/>
          <w:szCs w:val="20"/>
          <w:color w:val="auto"/>
        </w:rPr>
      </w:pPr>
      <w:r>
        <w:rPr>
          <w:rFonts w:ascii="Arial" w:cs="Arial" w:eastAsia="Arial" w:hAnsi="Arial"/>
          <w:sz w:val="17"/>
          <w:szCs w:val="17"/>
          <w:color w:val="auto"/>
        </w:rPr>
        <w:t>Current rheumatoid arthritis treatments include the use of non</w:t>
      </w:r>
      <w:r>
        <w:rPr>
          <w:rFonts w:ascii="MS PGothic" w:cs="MS PGothic" w:eastAsia="MS PGothic" w:hAnsi="MS PGothic"/>
          <w:sz w:val="17"/>
          <w:szCs w:val="17"/>
          <w:color w:val="auto"/>
        </w:rPr>
        <w:t>‑</w:t>
      </w:r>
      <w:r>
        <w:rPr>
          <w:rFonts w:ascii="Arial" w:cs="Arial" w:eastAsia="Arial" w:hAnsi="Arial"/>
          <w:sz w:val="17"/>
          <w:szCs w:val="17"/>
          <w:color w:val="auto"/>
        </w:rPr>
        <w:t>steroidal anti</w:t>
      </w:r>
      <w:r>
        <w:rPr>
          <w:rFonts w:ascii="MS PGothic" w:cs="MS PGothic" w:eastAsia="MS PGothic" w:hAnsi="MS PGothic"/>
          <w:sz w:val="17"/>
          <w:szCs w:val="17"/>
          <w:color w:val="auto"/>
        </w:rPr>
        <w:t>‑</w:t>
      </w:r>
      <w:r>
        <w:rPr>
          <w:rFonts w:ascii="Arial" w:cs="Arial" w:eastAsia="Arial" w:hAnsi="Arial"/>
          <w:sz w:val="17"/>
          <w:szCs w:val="17"/>
          <w:color w:val="auto"/>
        </w:rPr>
        <w:t>inflammatory drugs, disease</w:t>
      </w:r>
      <w:r>
        <w:rPr>
          <w:rFonts w:ascii="MS PGothic" w:cs="MS PGothic" w:eastAsia="MS PGothic" w:hAnsi="MS PGothic"/>
          <w:sz w:val="17"/>
          <w:szCs w:val="17"/>
          <w:color w:val="auto"/>
        </w:rPr>
        <w:t>‑</w:t>
      </w:r>
      <w:r>
        <w:rPr>
          <w:rFonts w:ascii="Arial" w:cs="Arial" w:eastAsia="Arial" w:hAnsi="Arial"/>
          <w:sz w:val="17"/>
          <w:szCs w:val="17"/>
          <w:color w:val="auto"/>
        </w:rPr>
        <w:t>modifying anti</w:t>
      </w:r>
      <w:r>
        <w:rPr>
          <w:rFonts w:ascii="MS PGothic" w:cs="MS PGothic" w:eastAsia="MS PGothic" w:hAnsi="MS PGothic"/>
          <w:sz w:val="17"/>
          <w:szCs w:val="17"/>
          <w:color w:val="auto"/>
        </w:rPr>
        <w:t>‑</w:t>
      </w:r>
      <w:r>
        <w:rPr>
          <w:rFonts w:ascii="Arial" w:cs="Arial" w:eastAsia="Arial" w:hAnsi="Arial"/>
          <w:sz w:val="17"/>
          <w:szCs w:val="17"/>
          <w:color w:val="auto"/>
        </w:rPr>
        <w:t>rheumatic drugs, such as methotrexate, and the newer biological response modifiers that target pro</w:t>
      </w:r>
      <w:r>
        <w:rPr>
          <w:rFonts w:ascii="MS PGothic" w:cs="MS PGothic" w:eastAsia="MS PGothic" w:hAnsi="MS PGothic"/>
          <w:sz w:val="17"/>
          <w:szCs w:val="17"/>
          <w:color w:val="auto"/>
        </w:rPr>
        <w:t>‑</w:t>
      </w:r>
      <w:r>
        <w:rPr>
          <w:rFonts w:ascii="Arial" w:cs="Arial" w:eastAsia="Arial" w:hAnsi="Arial"/>
          <w:sz w:val="17"/>
          <w:szCs w:val="17"/>
          <w:color w:val="auto"/>
        </w:rPr>
        <w:t>inflammatory cytokines, such as tumor necrosis factor, implicated in the pathogenesis of rheumatoid arthritis. None of these approaches to treatment is curative; therefore, there remains an unmet need for new safe and effective treatment options for these patients. Rheumatoid arthritis is estimated to affect about 1% of the world’s population.</w:t>
      </w:r>
    </w:p>
    <w:p>
      <w:pPr>
        <w:spacing w:after="0" w:line="20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Psoriatic Arthritis</w:t>
      </w:r>
      <w:r>
        <w:rPr>
          <w:rFonts w:ascii="Arial" w:cs="Arial" w:eastAsia="Arial" w:hAnsi="Arial"/>
          <w:sz w:val="18"/>
          <w:szCs w:val="18"/>
          <w:color w:val="auto"/>
        </w:rPr>
        <w:t>. Psoriatic arthritis (PsA) is an inflammatory arthritis that is seen in association with skin</w:t>
      </w:r>
      <w:r>
        <w:rPr>
          <w:rFonts w:ascii="Arial" w:cs="Arial" w:eastAsia="Arial" w:hAnsi="Arial"/>
          <w:sz w:val="18"/>
          <w:szCs w:val="18"/>
          <w:i w:val="1"/>
          <w:iCs w:val="1"/>
          <w:color w:val="auto"/>
        </w:rPr>
        <w:t xml:space="preserve"> </w:t>
      </w:r>
      <w:r>
        <w:rPr>
          <w:rFonts w:ascii="Arial" w:cs="Arial" w:eastAsia="Arial" w:hAnsi="Arial"/>
          <w:sz w:val="18"/>
          <w:szCs w:val="18"/>
          <w:color w:val="auto"/>
        </w:rPr>
        <w:t>psoriasis. It causes joint pain and swelling that can lead to damage of the joint if the inflammation is not controlled. Baricitinib has been shown to inhibit the JAK-STAT pathway in related conditions such as psoriasis in Phase II trials, and based on its activity profile, baricitinib also has the potential to demonstrate positive clinical outcomes in PsA. Lilly expects to initiate a Phase III program to evaluate the safety and efficacy of baricitinib in patients with PsA during 2018.</w:t>
      </w:r>
    </w:p>
    <w:p>
      <w:pPr>
        <w:spacing w:after="0" w:line="19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i w:val="1"/>
          <w:iCs w:val="1"/>
          <w:color w:val="auto"/>
        </w:rPr>
        <w:t xml:space="preserve">Atopic Dermatitis. </w:t>
      </w:r>
      <w:r>
        <w:rPr>
          <w:rFonts w:ascii="Arial" w:cs="Arial" w:eastAsia="Arial" w:hAnsi="Arial"/>
          <w:sz w:val="17"/>
          <w:szCs w:val="17"/>
          <w:color w:val="auto"/>
        </w:rPr>
        <w:t>Atopic dermatitis (AtD) is a condition that makes the skin red and itchy and which is common in</w:t>
      </w:r>
      <w:r>
        <w:rPr>
          <w:rFonts w:ascii="Arial" w:cs="Arial" w:eastAsia="Arial" w:hAnsi="Arial"/>
          <w:sz w:val="17"/>
          <w:szCs w:val="17"/>
          <w:i w:val="1"/>
          <w:iCs w:val="1"/>
          <w:color w:val="auto"/>
        </w:rPr>
        <w:t xml:space="preserve"> </w:t>
      </w:r>
      <w:r>
        <w:rPr>
          <w:rFonts w:ascii="Arial" w:cs="Arial" w:eastAsia="Arial" w:hAnsi="Arial"/>
          <w:sz w:val="17"/>
          <w:szCs w:val="17"/>
          <w:color w:val="auto"/>
        </w:rPr>
        <w:t>children but can occur at any age. Atopic dermatitis is long lasting and tends to flare periodically and then subside. Lilly has conducted a Phase IIa trial to evaluate the safety and efficacy of baricitinib in patients with moderate-to-severe atopic dermatitis. The JAK-STAT pathway has been shown to play an essential role in the dysregulation of immune responses in atopic dermatitis. Therefore, we believe that inhibiting cytokine pathways dependent on JAK1 and JAK2 may lead to positive clinical outcomes in atopic dermatitis. In December 2017, Lilly announced that a Phase III program to evaluate the safety and efficacy of baricitinib in patients with moderate to severe AtD was initiated.</w:t>
      </w:r>
    </w:p>
    <w:p>
      <w:pPr>
        <w:spacing w:after="0" w:line="17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i w:val="1"/>
          <w:iCs w:val="1"/>
          <w:color w:val="auto"/>
        </w:rPr>
        <w:t xml:space="preserve">Systemic Lupus Erythematosus. </w:t>
      </w:r>
      <w:r>
        <w:rPr>
          <w:rFonts w:ascii="Arial" w:cs="Arial" w:eastAsia="Arial" w:hAnsi="Arial"/>
          <w:sz w:val="16"/>
          <w:szCs w:val="16"/>
          <w:color w:val="auto"/>
        </w:rPr>
        <w:t>Systemic lupus erythematosus (SLE) is a chronic disease that causes inflammation.</w:t>
      </w:r>
      <w:r>
        <w:rPr>
          <w:rFonts w:ascii="Arial" w:cs="Arial" w:eastAsia="Arial" w:hAnsi="Arial"/>
          <w:sz w:val="16"/>
          <w:szCs w:val="16"/>
          <w:i w:val="1"/>
          <w:iCs w:val="1"/>
          <w:color w:val="auto"/>
        </w:rPr>
        <w:t xml:space="preserve"> </w:t>
      </w:r>
      <w:r>
        <w:rPr>
          <w:rFonts w:ascii="Arial" w:cs="Arial" w:eastAsia="Arial" w:hAnsi="Arial"/>
          <w:sz w:val="16"/>
          <w:szCs w:val="16"/>
          <w:color w:val="auto"/>
        </w:rPr>
        <w:t>In addition to affecting the skin and joints, it can affect other organs in the body such as the kidneys, the tissue lining the lungs and heart, and the brain. Lilly has conducted a Phase II trial to evaluate the safety and efficacy of baricitinib in patients with SLE. Baricitinib’s activity profile suggests that it inhibits cytokines implicated in SLE such as type I interferon (IFN), type II IFN-γ, IL-6, and IL-23 as well as other cytokines that may have a role in SLE, including granulocyte macrophage colony stimulating factor (GM-CSF) and IL-12. The potential impact of baricitinib on the IFN pathway is highly relevant to SLE, as clinical and preclinical studies have established that this pathway is involved in the pathogenesis of SLE.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5" w:name="page46"/>
    <w:bookmarkEnd w:id="4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Alopecia Areata</w:t>
      </w:r>
      <w:r>
        <w:rPr>
          <w:rFonts w:ascii="Arial" w:cs="Arial" w:eastAsia="Arial" w:hAnsi="Arial"/>
          <w:sz w:val="18"/>
          <w:szCs w:val="18"/>
          <w:color w:val="auto"/>
        </w:rPr>
        <w:t>. Alopecia areata is an autoimmune disorder in which the immune system attacks the hair follicles,</w:t>
      </w:r>
      <w:r>
        <w:rPr>
          <w:rFonts w:ascii="Arial" w:cs="Arial" w:eastAsia="Arial" w:hAnsi="Arial"/>
          <w:sz w:val="18"/>
          <w:szCs w:val="18"/>
          <w:i w:val="1"/>
          <w:iCs w:val="1"/>
          <w:color w:val="auto"/>
        </w:rPr>
        <w:t xml:space="preserve"> </w:t>
      </w:r>
      <w:r>
        <w:rPr>
          <w:rFonts w:ascii="Arial" w:cs="Arial" w:eastAsia="Arial" w:hAnsi="Arial"/>
          <w:sz w:val="18"/>
          <w:szCs w:val="18"/>
          <w:color w:val="auto"/>
        </w:rPr>
        <w:t>causing hair loss in patches. Lilly has stated that it plans to initiate a Phase II/III trial to evaluate the safety and efficacy of baricitinib in patients with severe alopecia areata during 2018.</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exercised our co-development options in rheumatoid arthritis, atopic dermatitis, psoriatic arthritis, alopecia areata, systematic lupus erythematosus and axial spondyloarthritis to fund 30% of future global development costs through regulatory approval, including post-launch studies required by a regulatory authority, in exchange for increased tiered royalties ranging up to the high twenties on potential future sales.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Capmatinib</w:t>
      </w:r>
    </w:p>
    <w:p>
      <w:pPr>
        <w:spacing w:after="0" w:line="225" w:lineRule="exact"/>
        <w:rPr>
          <w:sz w:val="20"/>
          <w:szCs w:val="20"/>
          <w:color w:val="auto"/>
        </w:rPr>
      </w:pPr>
    </w:p>
    <w:p>
      <w:pPr>
        <w:jc w:val="both"/>
        <w:ind w:firstLine="648"/>
        <w:spacing w:after="0" w:line="219" w:lineRule="exact"/>
        <w:rPr>
          <w:sz w:val="20"/>
          <w:szCs w:val="20"/>
          <w:color w:val="auto"/>
        </w:rPr>
      </w:pPr>
      <w:r>
        <w:rPr>
          <w:rFonts w:ascii="Arial" w:cs="Arial" w:eastAsia="Arial" w:hAnsi="Arial"/>
          <w:sz w:val="18"/>
          <w:szCs w:val="18"/>
          <w:color w:val="auto"/>
        </w:rPr>
        <w:t>Capmatinib is a potent and highly selective MET inhibitor. The investigational compound has demonstrated inhibitory activity in cell-based biochemical and functional assays that measure MET signaling and MET dependent cell proliferation, survival and migration. Under our agreement, Novartis received worldwide exclusive development and commercialization rights to capmatinib and certain back</w:t>
      </w:r>
      <w:r>
        <w:rPr>
          <w:rFonts w:ascii="MS PGothic" w:cs="MS PGothic" w:eastAsia="MS PGothic" w:hAnsi="MS PGothic"/>
          <w:sz w:val="18"/>
          <w:szCs w:val="18"/>
          <w:color w:val="auto"/>
        </w:rPr>
        <w:t>‑</w:t>
      </w:r>
      <w:r>
        <w:rPr>
          <w:rFonts w:ascii="Arial" w:cs="Arial" w:eastAsia="Arial" w:hAnsi="Arial"/>
          <w:sz w:val="18"/>
          <w:szCs w:val="18"/>
          <w:color w:val="auto"/>
        </w:rPr>
        <w:t>up compounds in all indications. Capmatinib is being evaluated in patients with hepatocellular carcinoma, non</w:t>
      </w:r>
      <w:r>
        <w:rPr>
          <w:rFonts w:ascii="MS PGothic" w:cs="MS PGothic" w:eastAsia="MS PGothic" w:hAnsi="MS PGothic"/>
          <w:sz w:val="18"/>
          <w:szCs w:val="18"/>
          <w:color w:val="auto"/>
        </w:rPr>
        <w:t>‑</w:t>
      </w:r>
      <w:r>
        <w:rPr>
          <w:rFonts w:ascii="Arial" w:cs="Arial" w:eastAsia="Arial" w:hAnsi="Arial"/>
          <w:sz w:val="18"/>
          <w:szCs w:val="18"/>
          <w:color w:val="auto"/>
        </w:rPr>
        <w:t>small cell lung cancer and other solid tumors, and may have potential utility as a combination agent.</w:t>
      </w:r>
    </w:p>
    <w:p>
      <w:pPr>
        <w:spacing w:after="0" w:line="20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MET is a clinically validated receptor kinase cancer target. Abnormal MET activation in cancer correlates with poor prognosis. Dysregulation of the MET pathway triggers tumor growth, formation of new blood vessels that supply the tumor with nutrients, and causes cancer to spread to other organs. Dysregulation of the MET pathway is seen in many types of cancers, including lung, kidney, liver, stomach, breast and brain.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575437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04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tcPr>
          <w:p>
            <w:pPr>
              <w:ind w:left="540"/>
              <w:spacing w:after="0"/>
              <w:rPr>
                <w:sz w:val="20"/>
                <w:szCs w:val="20"/>
                <w:color w:val="auto"/>
              </w:rPr>
            </w:pPr>
            <w:r>
              <w:rPr>
                <w:rFonts w:ascii="Arial" w:cs="Arial" w:eastAsia="Arial" w:hAnsi="Arial"/>
                <w:sz w:val="18"/>
                <w:szCs w:val="18"/>
                <w:b w:val="1"/>
                <w:bCs w:val="1"/>
                <w:color w:val="auto"/>
              </w:rPr>
              <w:t>Indication</w:t>
            </w:r>
          </w:p>
        </w:tc>
        <w:tc>
          <w:tcPr>
            <w:tcW w:w="4580" w:type="dxa"/>
            <w:vAlign w:val="bottom"/>
            <w:tcBorders>
              <w:bottom w:val="single" w:sz="8" w:color="auto"/>
            </w:tcBorders>
          </w:tcPr>
          <w:p>
            <w:pPr>
              <w:ind w:left="840"/>
              <w:spacing w:after="0"/>
              <w:rPr>
                <w:sz w:val="20"/>
                <w:szCs w:val="20"/>
                <w:color w:val="auto"/>
              </w:rPr>
            </w:pPr>
            <w:r>
              <w:rPr>
                <w:rFonts w:ascii="Arial" w:cs="Arial" w:eastAsia="Arial" w:hAnsi="Arial"/>
                <w:sz w:val="18"/>
                <w:szCs w:val="18"/>
                <w:b w:val="1"/>
                <w:bCs w:val="1"/>
                <w:color w:val="auto"/>
              </w:rPr>
              <w:t>Status Update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shd w:val="clear" w:color="auto" w:fill="CCEEFF"/>
          </w:tcPr>
          <w:p>
            <w:pPr>
              <w:spacing w:after="0" w:line="149" w:lineRule="exact"/>
              <w:rPr>
                <w:sz w:val="20"/>
                <w:szCs w:val="20"/>
                <w:color w:val="auto"/>
              </w:rPr>
            </w:pPr>
            <w:r>
              <w:rPr>
                <w:rFonts w:ascii="Arial" w:cs="Arial" w:eastAsia="Arial" w:hAnsi="Arial"/>
                <w:sz w:val="17"/>
                <w:szCs w:val="17"/>
                <w:b w:val="1"/>
                <w:bCs w:val="1"/>
                <w:color w:val="auto"/>
              </w:rPr>
              <w:t>Baricitinib (JAK1/JAK2)</w:t>
            </w:r>
            <w:r>
              <w:rPr>
                <w:rFonts w:ascii="Arial" w:cs="Arial" w:eastAsia="Arial" w:hAnsi="Arial"/>
                <w:sz w:val="8"/>
                <w:szCs w:val="8"/>
                <w:b w:val="1"/>
                <w:bCs w:val="1"/>
                <w:color w:val="auto"/>
              </w:rPr>
              <w:t>1</w:t>
            </w:r>
          </w:p>
        </w:tc>
        <w:tc>
          <w:tcPr>
            <w:tcW w:w="2420" w:type="dxa"/>
            <w:vAlign w:val="bottom"/>
            <w:shd w:val="clear" w:color="auto" w:fill="CCEEFF"/>
          </w:tcPr>
          <w:p>
            <w:pPr>
              <w:ind w:left="80"/>
              <w:spacing w:after="0" w:line="149" w:lineRule="exact"/>
              <w:rPr>
                <w:sz w:val="20"/>
                <w:szCs w:val="20"/>
                <w:color w:val="auto"/>
              </w:rPr>
            </w:pPr>
            <w:r>
              <w:rPr>
                <w:rFonts w:ascii="Arial" w:cs="Arial" w:eastAsia="Arial" w:hAnsi="Arial"/>
                <w:sz w:val="17"/>
                <w:szCs w:val="17"/>
                <w:color w:val="auto"/>
              </w:rPr>
              <w:t>Rheumatoid arthritis</w:t>
            </w:r>
          </w:p>
        </w:tc>
        <w:tc>
          <w:tcPr>
            <w:tcW w:w="4580" w:type="dxa"/>
            <w:vAlign w:val="bottom"/>
            <w:shd w:val="clear" w:color="auto" w:fill="CCEEFF"/>
          </w:tcPr>
          <w:p>
            <w:pPr>
              <w:ind w:left="180"/>
              <w:spacing w:after="0" w:line="149" w:lineRule="exact"/>
              <w:rPr>
                <w:sz w:val="20"/>
                <w:szCs w:val="20"/>
                <w:color w:val="auto"/>
              </w:rPr>
            </w:pPr>
            <w:r>
              <w:rPr>
                <w:rFonts w:ascii="Arial" w:cs="Arial" w:eastAsia="Arial" w:hAnsi="Arial"/>
                <w:sz w:val="17"/>
                <w:szCs w:val="17"/>
                <w:color w:val="auto"/>
              </w:rPr>
              <w:t>Approved in Europe and Japan at 2mg and 4mg doses;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40" w:type="dxa"/>
            <w:vAlign w:val="bottom"/>
            <w:shd w:val="clear" w:color="auto" w:fill="CCEEFF"/>
          </w:tcPr>
          <w:p>
            <w:pPr>
              <w:spacing w:after="0"/>
              <w:rPr>
                <w:sz w:val="20"/>
                <w:szCs w:val="20"/>
                <w:color w:val="auto"/>
              </w:rPr>
            </w:pPr>
          </w:p>
        </w:tc>
        <w:tc>
          <w:tcPr>
            <w:tcW w:w="2420" w:type="dxa"/>
            <w:vAlign w:val="bottom"/>
            <w:shd w:val="clear" w:color="auto" w:fill="CCEEFF"/>
          </w:tcPr>
          <w:p>
            <w:pPr>
              <w:spacing w:after="0"/>
              <w:rPr>
                <w:sz w:val="20"/>
                <w:szCs w:val="20"/>
                <w:color w:val="auto"/>
              </w:rPr>
            </w:pPr>
          </w:p>
        </w:tc>
        <w:tc>
          <w:tcPr>
            <w:tcW w:w="4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approved in U.S. at 2mg dose</w:t>
            </w:r>
          </w:p>
        </w:tc>
        <w:tc>
          <w:tcPr>
            <w:tcW w:w="0" w:type="dxa"/>
            <w:vAlign w:val="bottom"/>
          </w:tcPr>
          <w:p>
            <w:pPr>
              <w:spacing w:after="0"/>
              <w:rPr>
                <w:sz w:val="1"/>
                <w:szCs w:val="1"/>
                <w:color w:val="auto"/>
              </w:rPr>
            </w:pPr>
          </w:p>
        </w:tc>
      </w:tr>
      <w:tr>
        <w:trPr>
          <w:trHeight w:val="121"/>
        </w:trPr>
        <w:tc>
          <w:tcPr>
            <w:tcW w:w="20" w:type="dxa"/>
            <w:vAlign w:val="bottom"/>
            <w:vMerge w:val="restart"/>
          </w:tcPr>
          <w:p>
            <w:pPr>
              <w:spacing w:after="0"/>
              <w:rPr>
                <w:sz w:val="10"/>
                <w:szCs w:val="10"/>
                <w:color w:val="auto"/>
              </w:rPr>
            </w:pPr>
          </w:p>
        </w:tc>
        <w:tc>
          <w:tcPr>
            <w:tcW w:w="2040" w:type="dxa"/>
            <w:vAlign w:val="bottom"/>
            <w:shd w:val="clear" w:color="auto" w:fill="CCEEFF"/>
          </w:tcPr>
          <w:p>
            <w:pPr>
              <w:spacing w:after="0"/>
              <w:rPr>
                <w:sz w:val="10"/>
                <w:szCs w:val="10"/>
                <w:color w:val="auto"/>
              </w:rPr>
            </w:pPr>
          </w:p>
        </w:tc>
        <w:tc>
          <w:tcPr>
            <w:tcW w:w="2420" w:type="dxa"/>
            <w:vAlign w:val="bottom"/>
            <w:shd w:val="clear" w:color="auto" w:fill="CCEEFF"/>
          </w:tcPr>
          <w:p>
            <w:pPr>
              <w:spacing w:after="0"/>
              <w:rPr>
                <w:sz w:val="10"/>
                <w:szCs w:val="10"/>
                <w:color w:val="auto"/>
              </w:rPr>
            </w:pPr>
          </w:p>
        </w:tc>
        <w:tc>
          <w:tcPr>
            <w:tcW w:w="45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2040" w:type="dxa"/>
            <w:vAlign w:val="bottom"/>
          </w:tcPr>
          <w:p>
            <w:pPr>
              <w:spacing w:after="0"/>
              <w:rPr>
                <w:sz w:val="20"/>
                <w:szCs w:val="20"/>
                <w:color w:val="auto"/>
              </w:rPr>
            </w:pPr>
            <w:r>
              <w:rPr>
                <w:rFonts w:ascii="Arial" w:cs="Arial" w:eastAsia="Arial" w:hAnsi="Arial"/>
                <w:sz w:val="18"/>
                <w:szCs w:val="18"/>
                <w:b w:val="1"/>
                <w:bCs w:val="1"/>
                <w:color w:val="auto"/>
                <w:w w:val="97"/>
              </w:rPr>
              <w:t>Baricitinib (JAK1/JAK2)</w:t>
            </w:r>
            <w:r>
              <w:rPr>
                <w:rFonts w:ascii="Arial" w:cs="Arial" w:eastAsia="Arial" w:hAnsi="Arial"/>
                <w:sz w:val="8"/>
                <w:szCs w:val="8"/>
                <w:b w:val="1"/>
                <w:bCs w:val="1"/>
                <w:color w:val="auto"/>
                <w:w w:val="97"/>
              </w:rPr>
              <w:t>1</w:t>
            </w:r>
          </w:p>
        </w:tc>
        <w:tc>
          <w:tcPr>
            <w:tcW w:w="2420" w:type="dxa"/>
            <w:vAlign w:val="bottom"/>
          </w:tcPr>
          <w:p>
            <w:pPr>
              <w:ind w:left="80"/>
              <w:spacing w:after="0"/>
              <w:rPr>
                <w:sz w:val="20"/>
                <w:szCs w:val="20"/>
                <w:color w:val="auto"/>
              </w:rPr>
            </w:pPr>
            <w:r>
              <w:rPr>
                <w:rFonts w:ascii="Arial" w:cs="Arial" w:eastAsia="Arial" w:hAnsi="Arial"/>
                <w:sz w:val="18"/>
                <w:szCs w:val="18"/>
                <w:color w:val="auto"/>
              </w:rPr>
              <w:t>Atopic dermatitis</w:t>
            </w:r>
          </w:p>
        </w:tc>
        <w:tc>
          <w:tcPr>
            <w:tcW w:w="4580" w:type="dxa"/>
            <w:vAlign w:val="bottom"/>
          </w:tcPr>
          <w:p>
            <w:pPr>
              <w:ind w:left="180"/>
              <w:spacing w:after="0"/>
              <w:rPr>
                <w:sz w:val="20"/>
                <w:szCs w:val="20"/>
                <w:color w:val="auto"/>
              </w:rPr>
            </w:pPr>
            <w:r>
              <w:rPr>
                <w:rFonts w:ascii="Arial" w:cs="Arial" w:eastAsia="Arial" w:hAnsi="Arial"/>
                <w:sz w:val="18"/>
                <w:szCs w:val="18"/>
                <w:color w:val="auto"/>
              </w:rPr>
              <w:t>Phase III</w:t>
            </w:r>
          </w:p>
        </w:tc>
        <w:tc>
          <w:tcPr>
            <w:tcW w:w="0" w:type="dxa"/>
            <w:vAlign w:val="bottom"/>
          </w:tcPr>
          <w:p>
            <w:pPr>
              <w:spacing w:after="0"/>
              <w:rPr>
                <w:sz w:val="1"/>
                <w:szCs w:val="1"/>
                <w:color w:val="auto"/>
              </w:rPr>
            </w:pPr>
          </w:p>
        </w:tc>
      </w:tr>
      <w:tr>
        <w:trPr>
          <w:trHeight w:val="279"/>
        </w:trPr>
        <w:tc>
          <w:tcPr>
            <w:tcW w:w="20" w:type="dxa"/>
            <w:vAlign w:val="bottom"/>
            <w:vMerge w:val="restart"/>
          </w:tcPr>
          <w:p>
            <w:pPr>
              <w:spacing w:after="0"/>
              <w:rPr>
                <w:sz w:val="24"/>
                <w:szCs w:val="24"/>
                <w:color w:val="auto"/>
              </w:rPr>
            </w:pPr>
          </w:p>
        </w:tc>
        <w:tc>
          <w:tcPr>
            <w:tcW w:w="20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2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7"/>
              </w:rPr>
              <w:t>Baricitinib (JAK1/JAK2)</w:t>
            </w:r>
            <w:r>
              <w:rPr>
                <w:rFonts w:ascii="Arial" w:cs="Arial" w:eastAsia="Arial" w:hAnsi="Arial"/>
                <w:sz w:val="8"/>
                <w:szCs w:val="8"/>
                <w:b w:val="1"/>
                <w:bCs w:val="1"/>
                <w:color w:val="auto"/>
                <w:w w:val="97"/>
              </w:rPr>
              <w:t>1</w:t>
            </w:r>
          </w:p>
        </w:tc>
        <w:tc>
          <w:tcPr>
            <w:tcW w:w="2420" w:type="dxa"/>
            <w:vAlign w:val="bottom"/>
            <w:shd w:val="clear" w:color="auto" w:fill="CCEEFF"/>
          </w:tcPr>
          <w:p>
            <w:pPr>
              <w:ind w:left="80"/>
              <w:spacing w:after="0"/>
              <w:rPr>
                <w:sz w:val="20"/>
                <w:szCs w:val="20"/>
                <w:color w:val="auto"/>
              </w:rPr>
            </w:pPr>
            <w:r>
              <w:rPr>
                <w:rFonts w:ascii="Arial" w:cs="Arial" w:eastAsia="Arial" w:hAnsi="Arial"/>
                <w:sz w:val="18"/>
                <w:szCs w:val="18"/>
                <w:color w:val="auto"/>
              </w:rPr>
              <w:t>Psoriatic arthritis</w:t>
            </w:r>
          </w:p>
        </w:tc>
        <w:tc>
          <w:tcPr>
            <w:tcW w:w="4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Lilly expects the Phase III program to start in 2018</w:t>
            </w:r>
          </w:p>
        </w:tc>
        <w:tc>
          <w:tcPr>
            <w:tcW w:w="0" w:type="dxa"/>
            <w:vAlign w:val="bottom"/>
          </w:tcPr>
          <w:p>
            <w:pPr>
              <w:spacing w:after="0"/>
              <w:rPr>
                <w:sz w:val="1"/>
                <w:szCs w:val="1"/>
                <w:color w:val="auto"/>
              </w:rPr>
            </w:pPr>
          </w:p>
        </w:tc>
      </w:tr>
      <w:tr>
        <w:trPr>
          <w:trHeight w:val="279"/>
        </w:trPr>
        <w:tc>
          <w:tcPr>
            <w:tcW w:w="20" w:type="dxa"/>
            <w:vAlign w:val="bottom"/>
            <w:vMerge w:val="restart"/>
          </w:tcPr>
          <w:p>
            <w:pPr>
              <w:spacing w:after="0"/>
              <w:rPr>
                <w:sz w:val="24"/>
                <w:szCs w:val="24"/>
                <w:color w:val="auto"/>
              </w:rPr>
            </w:pPr>
          </w:p>
        </w:tc>
        <w:tc>
          <w:tcPr>
            <w:tcW w:w="2040" w:type="dxa"/>
            <w:vAlign w:val="bottom"/>
            <w:shd w:val="clear" w:color="auto" w:fill="CCEEFF"/>
          </w:tcPr>
          <w:p>
            <w:pPr>
              <w:spacing w:after="0"/>
              <w:rPr>
                <w:sz w:val="24"/>
                <w:szCs w:val="24"/>
                <w:color w:val="auto"/>
              </w:rPr>
            </w:pPr>
          </w:p>
        </w:tc>
        <w:tc>
          <w:tcPr>
            <w:tcW w:w="2420" w:type="dxa"/>
            <w:vAlign w:val="bottom"/>
            <w:shd w:val="clear" w:color="auto" w:fill="CCEEFF"/>
          </w:tcPr>
          <w:p>
            <w:pPr>
              <w:spacing w:after="0"/>
              <w:rPr>
                <w:sz w:val="24"/>
                <w:szCs w:val="24"/>
                <w:color w:val="auto"/>
              </w:rPr>
            </w:pPr>
          </w:p>
        </w:tc>
        <w:tc>
          <w:tcPr>
            <w:tcW w:w="45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2040" w:type="dxa"/>
            <w:vAlign w:val="bottom"/>
          </w:tcPr>
          <w:p>
            <w:pPr>
              <w:spacing w:after="0"/>
              <w:rPr>
                <w:sz w:val="20"/>
                <w:szCs w:val="20"/>
                <w:color w:val="auto"/>
              </w:rPr>
            </w:pPr>
            <w:r>
              <w:rPr>
                <w:rFonts w:ascii="Arial" w:cs="Arial" w:eastAsia="Arial" w:hAnsi="Arial"/>
                <w:sz w:val="18"/>
                <w:szCs w:val="18"/>
                <w:b w:val="1"/>
                <w:bCs w:val="1"/>
                <w:color w:val="auto"/>
                <w:w w:val="97"/>
              </w:rPr>
              <w:t>Baricitinib (JAK1/JAK2)</w:t>
            </w:r>
            <w:r>
              <w:rPr>
                <w:rFonts w:ascii="Arial" w:cs="Arial" w:eastAsia="Arial" w:hAnsi="Arial"/>
                <w:sz w:val="8"/>
                <w:szCs w:val="8"/>
                <w:b w:val="1"/>
                <w:bCs w:val="1"/>
                <w:color w:val="auto"/>
                <w:w w:val="97"/>
              </w:rPr>
              <w:t>1</w:t>
            </w:r>
          </w:p>
        </w:tc>
        <w:tc>
          <w:tcPr>
            <w:tcW w:w="2420" w:type="dxa"/>
            <w:vAlign w:val="bottom"/>
          </w:tcPr>
          <w:p>
            <w:pPr>
              <w:ind w:left="80"/>
              <w:spacing w:after="0"/>
              <w:rPr>
                <w:sz w:val="20"/>
                <w:szCs w:val="20"/>
                <w:color w:val="auto"/>
              </w:rPr>
            </w:pPr>
            <w:r>
              <w:rPr>
                <w:rFonts w:ascii="Arial" w:cs="Arial" w:eastAsia="Arial" w:hAnsi="Arial"/>
                <w:sz w:val="18"/>
                <w:szCs w:val="18"/>
                <w:color w:val="auto"/>
                <w:w w:val="95"/>
              </w:rPr>
              <w:t>Systemic lupus erythematosus</w:t>
            </w:r>
          </w:p>
        </w:tc>
        <w:tc>
          <w:tcPr>
            <w:tcW w:w="4580" w:type="dxa"/>
            <w:vAlign w:val="bottom"/>
          </w:tcPr>
          <w:p>
            <w:pPr>
              <w:ind w:left="180"/>
              <w:spacing w:after="0"/>
              <w:rPr>
                <w:sz w:val="20"/>
                <w:szCs w:val="20"/>
                <w:color w:val="auto"/>
              </w:rPr>
            </w:pPr>
            <w:r>
              <w:rPr>
                <w:rFonts w:ascii="Arial" w:cs="Arial" w:eastAsia="Arial" w:hAnsi="Arial"/>
                <w:sz w:val="18"/>
                <w:szCs w:val="18"/>
                <w:color w:val="auto"/>
              </w:rPr>
              <w:t>Lilly expects the Phase III program to start in 2018</w:t>
            </w:r>
          </w:p>
        </w:tc>
        <w:tc>
          <w:tcPr>
            <w:tcW w:w="0" w:type="dxa"/>
            <w:vAlign w:val="bottom"/>
          </w:tcPr>
          <w:p>
            <w:pPr>
              <w:spacing w:after="0"/>
              <w:rPr>
                <w:sz w:val="1"/>
                <w:szCs w:val="1"/>
                <w:color w:val="auto"/>
              </w:rPr>
            </w:pPr>
          </w:p>
        </w:tc>
      </w:tr>
      <w:tr>
        <w:trPr>
          <w:trHeight w:val="279"/>
        </w:trPr>
        <w:tc>
          <w:tcPr>
            <w:tcW w:w="20" w:type="dxa"/>
            <w:vAlign w:val="bottom"/>
            <w:vMerge w:val="restart"/>
          </w:tcPr>
          <w:p>
            <w:pPr>
              <w:spacing w:after="0"/>
              <w:rPr>
                <w:sz w:val="24"/>
                <w:szCs w:val="24"/>
                <w:color w:val="auto"/>
              </w:rPr>
            </w:pPr>
          </w:p>
        </w:tc>
        <w:tc>
          <w:tcPr>
            <w:tcW w:w="20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2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7"/>
              </w:rPr>
              <w:t>Baricitinib (JAK1/JAK2)</w:t>
            </w:r>
            <w:r>
              <w:rPr>
                <w:rFonts w:ascii="Arial" w:cs="Arial" w:eastAsia="Arial" w:hAnsi="Arial"/>
                <w:sz w:val="8"/>
                <w:szCs w:val="8"/>
                <w:b w:val="1"/>
                <w:bCs w:val="1"/>
                <w:color w:val="auto"/>
                <w:w w:val="97"/>
              </w:rPr>
              <w:t>1</w:t>
            </w:r>
          </w:p>
        </w:tc>
        <w:tc>
          <w:tcPr>
            <w:tcW w:w="2420" w:type="dxa"/>
            <w:vAlign w:val="bottom"/>
            <w:shd w:val="clear" w:color="auto" w:fill="CCEEFF"/>
          </w:tcPr>
          <w:p>
            <w:pPr>
              <w:ind w:left="80"/>
              <w:spacing w:after="0"/>
              <w:rPr>
                <w:sz w:val="20"/>
                <w:szCs w:val="20"/>
                <w:color w:val="auto"/>
              </w:rPr>
            </w:pPr>
            <w:r>
              <w:rPr>
                <w:rFonts w:ascii="Arial" w:cs="Arial" w:eastAsia="Arial" w:hAnsi="Arial"/>
                <w:sz w:val="18"/>
                <w:szCs w:val="18"/>
                <w:color w:val="auto"/>
              </w:rPr>
              <w:t>Severe alopecia areata</w:t>
            </w:r>
          </w:p>
        </w:tc>
        <w:tc>
          <w:tcPr>
            <w:tcW w:w="4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Lilly expects the Phase II/III trial to start in 2018</w:t>
            </w:r>
          </w:p>
        </w:tc>
        <w:tc>
          <w:tcPr>
            <w:tcW w:w="0" w:type="dxa"/>
            <w:vAlign w:val="bottom"/>
          </w:tcPr>
          <w:p>
            <w:pPr>
              <w:spacing w:after="0"/>
              <w:rPr>
                <w:sz w:val="1"/>
                <w:szCs w:val="1"/>
                <w:color w:val="auto"/>
              </w:rPr>
            </w:pPr>
          </w:p>
        </w:tc>
      </w:tr>
      <w:tr>
        <w:trPr>
          <w:trHeight w:val="279"/>
        </w:trPr>
        <w:tc>
          <w:tcPr>
            <w:tcW w:w="20" w:type="dxa"/>
            <w:vAlign w:val="bottom"/>
            <w:vMerge w:val="restart"/>
          </w:tcPr>
          <w:p>
            <w:pPr>
              <w:spacing w:after="0"/>
              <w:rPr>
                <w:sz w:val="24"/>
                <w:szCs w:val="24"/>
                <w:color w:val="auto"/>
              </w:rPr>
            </w:pPr>
          </w:p>
        </w:tc>
        <w:tc>
          <w:tcPr>
            <w:tcW w:w="2040" w:type="dxa"/>
            <w:vAlign w:val="bottom"/>
            <w:shd w:val="clear" w:color="auto" w:fill="CCEEFF"/>
          </w:tcPr>
          <w:p>
            <w:pPr>
              <w:spacing w:after="0"/>
              <w:rPr>
                <w:sz w:val="24"/>
                <w:szCs w:val="24"/>
                <w:color w:val="auto"/>
              </w:rPr>
            </w:pPr>
          </w:p>
        </w:tc>
        <w:tc>
          <w:tcPr>
            <w:tcW w:w="2420" w:type="dxa"/>
            <w:vAlign w:val="bottom"/>
            <w:shd w:val="clear" w:color="auto" w:fill="CCEEFF"/>
          </w:tcPr>
          <w:p>
            <w:pPr>
              <w:spacing w:after="0"/>
              <w:rPr>
                <w:sz w:val="24"/>
                <w:szCs w:val="24"/>
                <w:color w:val="auto"/>
              </w:rPr>
            </w:pPr>
          </w:p>
        </w:tc>
        <w:tc>
          <w:tcPr>
            <w:tcW w:w="45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040" w:type="dxa"/>
            <w:vAlign w:val="bottom"/>
          </w:tcPr>
          <w:p>
            <w:pPr>
              <w:spacing w:after="0" w:line="162" w:lineRule="exact"/>
              <w:rPr>
                <w:sz w:val="20"/>
                <w:szCs w:val="20"/>
                <w:color w:val="auto"/>
              </w:rPr>
            </w:pPr>
            <w:r>
              <w:rPr>
                <w:rFonts w:ascii="Arial" w:cs="Arial" w:eastAsia="Arial" w:hAnsi="Arial"/>
                <w:sz w:val="18"/>
                <w:szCs w:val="18"/>
                <w:b w:val="1"/>
                <w:bCs w:val="1"/>
                <w:color w:val="auto"/>
              </w:rPr>
              <w:t>Capmatinib (MET)</w:t>
            </w:r>
            <w:r>
              <w:rPr>
                <w:rFonts w:ascii="Arial" w:cs="Arial" w:eastAsia="Arial" w:hAnsi="Arial"/>
                <w:sz w:val="8"/>
                <w:szCs w:val="8"/>
                <w:b w:val="1"/>
                <w:bCs w:val="1"/>
                <w:color w:val="auto"/>
              </w:rPr>
              <w:t>2</w:t>
            </w:r>
          </w:p>
        </w:tc>
        <w:tc>
          <w:tcPr>
            <w:tcW w:w="2420" w:type="dxa"/>
            <w:vAlign w:val="bottom"/>
          </w:tcPr>
          <w:p>
            <w:pPr>
              <w:ind w:left="80"/>
              <w:spacing w:after="0" w:line="162" w:lineRule="exact"/>
              <w:rPr>
                <w:sz w:val="20"/>
                <w:szCs w:val="20"/>
                <w:color w:val="auto"/>
              </w:rPr>
            </w:pPr>
            <w:r>
              <w:rPr>
                <w:rFonts w:ascii="Arial" w:cs="Arial" w:eastAsia="Arial" w:hAnsi="Arial"/>
                <w:sz w:val="18"/>
                <w:szCs w:val="18"/>
                <w:color w:val="auto"/>
              </w:rPr>
              <w:t>NSCLC, liver cancer</w:t>
            </w:r>
          </w:p>
        </w:tc>
        <w:tc>
          <w:tcPr>
            <w:tcW w:w="4580" w:type="dxa"/>
            <w:vAlign w:val="bottom"/>
          </w:tcPr>
          <w:p>
            <w:pPr>
              <w:ind w:left="180"/>
              <w:spacing w:after="0" w:line="162" w:lineRule="exact"/>
              <w:rPr>
                <w:sz w:val="20"/>
                <w:szCs w:val="20"/>
                <w:color w:val="auto"/>
              </w:rPr>
            </w:pPr>
            <w:r>
              <w:rPr>
                <w:rFonts w:ascii="Arial" w:cs="Arial" w:eastAsia="Arial" w:hAnsi="Arial"/>
                <w:sz w:val="18"/>
                <w:szCs w:val="18"/>
                <w:color w:val="auto"/>
                <w:w w:val="94"/>
              </w:rPr>
              <w:t>Phase II in EGFR wild-type ALK negative NSCLC patients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4580" w:type="dxa"/>
            <w:vAlign w:val="bottom"/>
          </w:tcPr>
          <w:p>
            <w:pPr>
              <w:ind w:left="180"/>
              <w:spacing w:after="0"/>
              <w:rPr>
                <w:sz w:val="20"/>
                <w:szCs w:val="20"/>
                <w:color w:val="auto"/>
              </w:rPr>
            </w:pPr>
            <w:r>
              <w:rPr>
                <w:rFonts w:ascii="Arial" w:cs="Arial" w:eastAsia="Arial" w:hAnsi="Arial"/>
                <w:sz w:val="18"/>
                <w:szCs w:val="18"/>
                <w:color w:val="auto"/>
              </w:rPr>
              <w:t>with MET amplification and mutation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575437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754370" cy="8890"/>
                    </a:xfrm>
                    <a:prstGeom prst="rect">
                      <a:avLst/>
                    </a:prstGeom>
                    <a:noFill/>
                  </pic:spPr>
                </pic:pic>
              </a:graphicData>
            </a:graphic>
          </wp:anchor>
        </w:drawing>
      </w:r>
    </w:p>
    <w:p>
      <w:pPr>
        <w:spacing w:after="0" w:line="208" w:lineRule="exact"/>
        <w:rPr>
          <w:sz w:val="20"/>
          <w:szCs w:val="20"/>
          <w:color w:val="auto"/>
        </w:rPr>
      </w:pPr>
    </w:p>
    <w:p>
      <w:pPr>
        <w:ind w:left="120" w:hanging="117"/>
        <w:spacing w:after="0"/>
        <w:tabs>
          <w:tab w:leader="none" w:pos="120" w:val="left"/>
        </w:tabs>
        <w:numPr>
          <w:ilvl w:val="0"/>
          <w:numId w:val="21"/>
        </w:numPr>
        <w:rPr>
          <w:rFonts w:ascii="Arial" w:cs="Arial" w:eastAsia="Arial" w:hAnsi="Arial"/>
          <w:sz w:val="9"/>
          <w:szCs w:val="9"/>
          <w:color w:val="auto"/>
        </w:rPr>
      </w:pPr>
      <w:r>
        <w:rPr>
          <w:rFonts w:ascii="Arial" w:cs="Arial" w:eastAsia="Arial" w:hAnsi="Arial"/>
          <w:sz w:val="18"/>
          <w:szCs w:val="18"/>
          <w:color w:val="auto"/>
        </w:rPr>
        <w:t>Baricitinib licensed to Lilly</w:t>
      </w:r>
    </w:p>
    <w:p>
      <w:pPr>
        <w:spacing w:after="0" w:line="117" w:lineRule="exact"/>
        <w:rPr>
          <w:rFonts w:ascii="Arial" w:cs="Arial" w:eastAsia="Arial" w:hAnsi="Arial"/>
          <w:sz w:val="9"/>
          <w:szCs w:val="9"/>
          <w:color w:val="auto"/>
        </w:rPr>
      </w:pPr>
    </w:p>
    <w:p>
      <w:pPr>
        <w:ind w:left="120" w:hanging="117"/>
        <w:spacing w:after="0"/>
        <w:tabs>
          <w:tab w:leader="none" w:pos="120" w:val="left"/>
        </w:tabs>
        <w:numPr>
          <w:ilvl w:val="0"/>
          <w:numId w:val="21"/>
        </w:numPr>
        <w:rPr>
          <w:rFonts w:ascii="Arial" w:cs="Arial" w:eastAsia="Arial" w:hAnsi="Arial"/>
          <w:sz w:val="9"/>
          <w:szCs w:val="9"/>
          <w:color w:val="auto"/>
        </w:rPr>
      </w:pPr>
      <w:r>
        <w:rPr>
          <w:rFonts w:ascii="Arial" w:cs="Arial" w:eastAsia="Arial" w:hAnsi="Arial"/>
          <w:sz w:val="18"/>
          <w:szCs w:val="18"/>
          <w:color w:val="auto"/>
        </w:rPr>
        <w:t>Capmatinib licensed to Novartis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Agreements and Business Relationships</w:t>
      </w:r>
    </w:p>
    <w:p>
      <w:pPr>
        <w:spacing w:after="0" w:line="229" w:lineRule="exact"/>
        <w:rPr>
          <w:sz w:val="20"/>
          <w:szCs w:val="20"/>
          <w:color w:val="auto"/>
        </w:rPr>
      </w:pPr>
    </w:p>
    <w:p>
      <w:pPr>
        <w:jc w:val="both"/>
        <w:ind w:firstLine="767"/>
        <w:spacing w:after="0" w:line="257" w:lineRule="auto"/>
        <w:rPr>
          <w:sz w:val="20"/>
          <w:szCs w:val="20"/>
          <w:color w:val="auto"/>
        </w:rPr>
      </w:pPr>
      <w:r>
        <w:rPr>
          <w:rFonts w:ascii="Arial" w:cs="Arial" w:eastAsia="Arial" w:hAnsi="Arial"/>
          <w:sz w:val="18"/>
          <w:szCs w:val="18"/>
          <w:color w:val="auto"/>
        </w:rPr>
        <w:t>As part of our business strategy, we establish business relationships, including collaborative arrangements with other companies and medical research institutions to assist in the clinical development and/or commercialization of certain of our drugs and drug candidates and to provide support for our research programs. We also evaluate opportunities for acquiring products or rights to products and technologies that are complementary to our business from other companies and medical research institutions.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6" w:name="page47"/>
    <w:bookmarkEnd w:id="4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Below is a brief description of our significant business relationships and collaborations and related license agreements that expand our pipeline and provide us with certain rights to existing and potential new products and technologies.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Novartis</w:t>
      </w:r>
    </w:p>
    <w:p>
      <w:pPr>
        <w:spacing w:after="0" w:line="225" w:lineRule="exact"/>
        <w:rPr>
          <w:sz w:val="20"/>
          <w:szCs w:val="20"/>
          <w:color w:val="auto"/>
        </w:rPr>
      </w:pPr>
    </w:p>
    <w:p>
      <w:pPr>
        <w:jc w:val="both"/>
        <w:ind w:firstLine="648"/>
        <w:spacing w:after="0" w:line="218" w:lineRule="exact"/>
        <w:rPr>
          <w:sz w:val="20"/>
          <w:szCs w:val="20"/>
          <w:color w:val="auto"/>
        </w:rPr>
      </w:pPr>
      <w:r>
        <w:rPr>
          <w:rFonts w:ascii="Arial" w:cs="Arial" w:eastAsia="Arial" w:hAnsi="Arial"/>
          <w:sz w:val="17"/>
          <w:szCs w:val="17"/>
          <w:color w:val="auto"/>
        </w:rPr>
        <w:t>In November 2009, we entered into a Collaboration and License Agreement with Novartis. Under the terms of the agreement, Novartis received exclusive development and commercialization rights outside of the United States to ruxolitinib and certain back</w:t>
      </w:r>
      <w:r>
        <w:rPr>
          <w:rFonts w:ascii="MS PGothic" w:cs="MS PGothic" w:eastAsia="MS PGothic" w:hAnsi="MS PGothic"/>
          <w:sz w:val="17"/>
          <w:szCs w:val="17"/>
          <w:color w:val="auto"/>
        </w:rPr>
        <w:t>‑</w:t>
      </w:r>
      <w:r>
        <w:rPr>
          <w:rFonts w:ascii="Arial" w:cs="Arial" w:eastAsia="Arial" w:hAnsi="Arial"/>
          <w:sz w:val="17"/>
          <w:szCs w:val="17"/>
          <w:color w:val="auto"/>
        </w:rPr>
        <w:t>up compounds for hematologic and oncology indications, including all hematological malignancies, solid tumors and myeloproliferative diseases. We retained exclusive development and commercialization rights to JAKAFI (ruxolitinib) in the United States and in certain other indications. Novartis also received worldwide exclusive development and commercialization rights to our MET inhibitor compound capmatinib and certain back</w:t>
      </w:r>
      <w:r>
        <w:rPr>
          <w:rFonts w:ascii="MS PGothic" w:cs="MS PGothic" w:eastAsia="MS PGothic" w:hAnsi="MS PGothic"/>
          <w:sz w:val="17"/>
          <w:szCs w:val="17"/>
          <w:color w:val="auto"/>
        </w:rPr>
        <w:t>‑</w:t>
      </w:r>
      <w:r>
        <w:rPr>
          <w:rFonts w:ascii="Arial" w:cs="Arial" w:eastAsia="Arial" w:hAnsi="Arial"/>
          <w:sz w:val="17"/>
          <w:szCs w:val="17"/>
          <w:color w:val="auto"/>
        </w:rPr>
        <w:t>up compounds in all indications. We retained options to co</w:t>
      </w:r>
      <w:r>
        <w:rPr>
          <w:rFonts w:ascii="MS PGothic" w:cs="MS PGothic" w:eastAsia="MS PGothic" w:hAnsi="MS PGothic"/>
          <w:sz w:val="17"/>
          <w:szCs w:val="17"/>
          <w:color w:val="auto"/>
        </w:rPr>
        <w:t>‑</w:t>
      </w:r>
      <w:r>
        <w:rPr>
          <w:rFonts w:ascii="Arial" w:cs="Arial" w:eastAsia="Arial" w:hAnsi="Arial"/>
          <w:sz w:val="17"/>
          <w:szCs w:val="17"/>
          <w:color w:val="auto"/>
        </w:rPr>
        <w:t>develop and to co</w:t>
      </w:r>
      <w:r>
        <w:rPr>
          <w:rFonts w:ascii="MS PGothic" w:cs="MS PGothic" w:eastAsia="MS PGothic" w:hAnsi="MS PGothic"/>
          <w:sz w:val="17"/>
          <w:szCs w:val="17"/>
          <w:color w:val="auto"/>
        </w:rPr>
        <w:t>‑</w:t>
      </w:r>
      <w:r>
        <w:rPr>
          <w:rFonts w:ascii="Arial" w:cs="Arial" w:eastAsia="Arial" w:hAnsi="Arial"/>
          <w:sz w:val="17"/>
          <w:szCs w:val="17"/>
          <w:color w:val="auto"/>
        </w:rPr>
        <w:t>promote capmatinib in the United States.</w:t>
      </w:r>
    </w:p>
    <w:p>
      <w:pPr>
        <w:spacing w:after="0" w:line="206" w:lineRule="exact"/>
        <w:rPr>
          <w:sz w:val="20"/>
          <w:szCs w:val="20"/>
          <w:color w:val="auto"/>
        </w:rPr>
      </w:pPr>
    </w:p>
    <w:p>
      <w:pPr>
        <w:jc w:val="both"/>
        <w:ind w:firstLine="648"/>
        <w:spacing w:after="0" w:line="218" w:lineRule="exact"/>
        <w:rPr>
          <w:sz w:val="20"/>
          <w:szCs w:val="20"/>
          <w:color w:val="auto"/>
        </w:rPr>
      </w:pPr>
      <w:r>
        <w:rPr>
          <w:rFonts w:ascii="Arial" w:cs="Arial" w:eastAsia="Arial" w:hAnsi="Arial"/>
          <w:sz w:val="18"/>
          <w:szCs w:val="18"/>
          <w:color w:val="auto"/>
        </w:rPr>
        <w:t>Under this agreement, we received an upfront payment and immediate milestone payment totaling $210.0 million and were initially eligible to receive additional payments of up to approximately $1.2 billion if defined development and commercialization milestones are achieved. We are also eligible to receive tiered, double</w:t>
      </w:r>
      <w:r>
        <w:rPr>
          <w:rFonts w:ascii="MS PGothic" w:cs="MS PGothic" w:eastAsia="MS PGothic" w:hAnsi="MS PGothic"/>
          <w:sz w:val="18"/>
          <w:szCs w:val="18"/>
          <w:color w:val="auto"/>
        </w:rPr>
        <w:t>‑</w:t>
      </w:r>
      <w:r>
        <w:rPr>
          <w:rFonts w:ascii="Arial" w:cs="Arial" w:eastAsia="Arial" w:hAnsi="Arial"/>
          <w:sz w:val="18"/>
          <w:szCs w:val="18"/>
          <w:color w:val="auto"/>
        </w:rPr>
        <w:t>digit royalties ranging from the upper</w:t>
      </w:r>
      <w:r>
        <w:rPr>
          <w:rFonts w:ascii="MS PGothic" w:cs="MS PGothic" w:eastAsia="MS PGothic" w:hAnsi="MS PGothic"/>
          <w:sz w:val="18"/>
          <w:szCs w:val="18"/>
          <w:color w:val="auto"/>
        </w:rPr>
        <w:t>‑</w:t>
      </w:r>
      <w:r>
        <w:rPr>
          <w:rFonts w:ascii="Arial" w:cs="Arial" w:eastAsia="Arial" w:hAnsi="Arial"/>
          <w:sz w:val="18"/>
          <w:szCs w:val="18"/>
          <w:color w:val="auto"/>
        </w:rPr>
        <w:t>teens to the mid</w:t>
      </w:r>
      <w:r>
        <w:rPr>
          <w:rFonts w:ascii="MS PGothic" w:cs="MS PGothic" w:eastAsia="MS PGothic" w:hAnsi="MS PGothic"/>
          <w:sz w:val="18"/>
          <w:szCs w:val="18"/>
          <w:color w:val="auto"/>
        </w:rPr>
        <w:t>‑</w:t>
      </w:r>
      <w:r>
        <w:rPr>
          <w:rFonts w:ascii="Arial" w:cs="Arial" w:eastAsia="Arial" w:hAnsi="Arial"/>
          <w:sz w:val="18"/>
          <w:szCs w:val="18"/>
          <w:color w:val="auto"/>
        </w:rPr>
        <w:t>twenties percent on future ruxolitinib net sales outside of the United States, and tiered, worldwide royalties on future capmatinib net sales that range from 12% to 14%. In addition, Novartis has received reimbursement and pricing approval for ruxolitinib in a specified number of countries, and we are now obligated to pay to Novartis tiered royalties in the low single-digits on future ruxolitinib net sales within the United States. Each company is responsible for costs relating to the development and commercialization of ruxolitinib in its respective territories, with costs of collaborative studies shared equally. Novartis is also responsible for all costs relating to the development and commercialization of capmatinib.</w:t>
      </w:r>
    </w:p>
    <w:p>
      <w:pPr>
        <w:spacing w:after="0" w:line="20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April 2016, we amended this agreement to provide that Novartis has exclusive research, development and commercialization rights outside of the United States to ruxolitinib (excluding topical formulations) in the GVHD field. Under this amendment, we received a $5.0 million payment in exchange for the development and commercialization rights to ruxolitinib in GVHD outside of the United States and became eligible to receive up to $75.0 million of additional potential development and regulatory milestones relating to GVHD. In March 2017, we recognized a $25.0 million milestone for the first patient first visit in a GVHD study and in December 2017, we recognized a $40.0 million milestone for Novartis achieving annual net sales of a JAK licensed product of $600.0 million.</w:t>
      </w:r>
    </w:p>
    <w:p>
      <w:pPr>
        <w:spacing w:after="0" w:line="178" w:lineRule="exact"/>
        <w:rPr>
          <w:sz w:val="20"/>
          <w:szCs w:val="20"/>
          <w:color w:val="auto"/>
        </w:rPr>
      </w:pPr>
    </w:p>
    <w:p>
      <w:pPr>
        <w:jc w:val="both"/>
        <w:ind w:firstLine="648"/>
        <w:spacing w:after="0" w:line="218" w:lineRule="exact"/>
        <w:rPr>
          <w:sz w:val="20"/>
          <w:szCs w:val="20"/>
          <w:color w:val="auto"/>
        </w:rPr>
      </w:pPr>
      <w:r>
        <w:rPr>
          <w:rFonts w:ascii="Arial" w:cs="Arial" w:eastAsia="Arial" w:hAnsi="Arial"/>
          <w:sz w:val="16"/>
          <w:szCs w:val="16"/>
          <w:color w:val="auto"/>
        </w:rPr>
        <w:t>The Novartis agreement will continue on a program</w:t>
      </w:r>
      <w:r>
        <w:rPr>
          <w:rFonts w:ascii="MS PGothic" w:cs="MS PGothic" w:eastAsia="MS PGothic" w:hAnsi="MS PGothic"/>
          <w:sz w:val="16"/>
          <w:szCs w:val="16"/>
          <w:color w:val="auto"/>
        </w:rPr>
        <w:t>‑</w:t>
      </w:r>
      <w:r>
        <w:rPr>
          <w:rFonts w:ascii="Arial" w:cs="Arial" w:eastAsia="Arial" w:hAnsi="Arial"/>
          <w:sz w:val="16"/>
          <w:szCs w:val="16"/>
          <w:color w:val="auto"/>
        </w:rPr>
        <w:t>by</w:t>
      </w:r>
      <w:r>
        <w:rPr>
          <w:rFonts w:ascii="MS PGothic" w:cs="MS PGothic" w:eastAsia="MS PGothic" w:hAnsi="MS PGothic"/>
          <w:sz w:val="16"/>
          <w:szCs w:val="16"/>
          <w:color w:val="auto"/>
        </w:rPr>
        <w:t>‑</w:t>
      </w:r>
      <w:r>
        <w:rPr>
          <w:rFonts w:ascii="Arial" w:cs="Arial" w:eastAsia="Arial" w:hAnsi="Arial"/>
          <w:sz w:val="16"/>
          <w:szCs w:val="16"/>
          <w:color w:val="auto"/>
        </w:rPr>
        <w:t>program basis until Novartis has no royalty payment obligations with respect to such program or, if earlier, the termination of the agreement or any program in accordance with the terms of the agreement. Royalties are payable by Novartis on a product</w:t>
      </w:r>
      <w:r>
        <w:rPr>
          <w:rFonts w:ascii="MS PGothic" w:cs="MS PGothic" w:eastAsia="MS PGothic" w:hAnsi="MS PGothic"/>
          <w:sz w:val="16"/>
          <w:szCs w:val="16"/>
          <w:color w:val="auto"/>
        </w:rPr>
        <w:t>‑</w:t>
      </w:r>
      <w:r>
        <w:rPr>
          <w:rFonts w:ascii="Arial" w:cs="Arial" w:eastAsia="Arial" w:hAnsi="Arial"/>
          <w:sz w:val="16"/>
          <w:szCs w:val="16"/>
          <w:color w:val="auto"/>
        </w:rPr>
        <w:t>by</w:t>
      </w:r>
      <w:r>
        <w:rPr>
          <w:rFonts w:ascii="MS PGothic" w:cs="MS PGothic" w:eastAsia="MS PGothic" w:hAnsi="MS PGothic"/>
          <w:sz w:val="16"/>
          <w:szCs w:val="16"/>
          <w:color w:val="auto"/>
        </w:rPr>
        <w:t>‑</w:t>
      </w:r>
      <w:r>
        <w:rPr>
          <w:rFonts w:ascii="Arial" w:cs="Arial" w:eastAsia="Arial" w:hAnsi="Arial"/>
          <w:sz w:val="16"/>
          <w:szCs w:val="16"/>
          <w:color w:val="auto"/>
        </w:rPr>
        <w:t>product and country</w:t>
      </w:r>
      <w:r>
        <w:rPr>
          <w:rFonts w:ascii="MS PGothic" w:cs="MS PGothic" w:eastAsia="MS PGothic" w:hAnsi="MS PGothic"/>
          <w:sz w:val="16"/>
          <w:szCs w:val="16"/>
          <w:color w:val="auto"/>
        </w:rPr>
        <w:t>‑</w:t>
      </w:r>
      <w:r>
        <w:rPr>
          <w:rFonts w:ascii="Arial" w:cs="Arial" w:eastAsia="Arial" w:hAnsi="Arial"/>
          <w:sz w:val="16"/>
          <w:szCs w:val="16"/>
          <w:color w:val="auto"/>
        </w:rPr>
        <w:t>by</w:t>
      </w:r>
      <w:r>
        <w:rPr>
          <w:rFonts w:ascii="MS PGothic" w:cs="MS PGothic" w:eastAsia="MS PGothic" w:hAnsi="MS PGothic"/>
          <w:sz w:val="16"/>
          <w:szCs w:val="16"/>
          <w:color w:val="auto"/>
        </w:rPr>
        <w:t>‑</w:t>
      </w:r>
      <w:r>
        <w:rPr>
          <w:rFonts w:ascii="Arial" w:cs="Arial" w:eastAsia="Arial" w:hAnsi="Arial"/>
          <w:sz w:val="16"/>
          <w:szCs w:val="16"/>
          <w:color w:val="auto"/>
        </w:rPr>
        <w:t>country basis until the latest to occur of (i) the expiration of the last valid claim of the licensed patent rights covering the licensed product in the relevant country, (ii) the expiration of regulatory exclusivity for the licensed product in such country and (iii) a specified period from first commercial sale in such country of the licensed product by Novartis or its affiliates or sublicensees. The agreement may be terminated in its entirety or on a program</w:t>
      </w:r>
      <w:r>
        <w:rPr>
          <w:rFonts w:ascii="MS PGothic" w:cs="MS PGothic" w:eastAsia="MS PGothic" w:hAnsi="MS PGothic"/>
          <w:sz w:val="16"/>
          <w:szCs w:val="16"/>
          <w:color w:val="auto"/>
        </w:rPr>
        <w:t>‑</w:t>
      </w:r>
      <w:r>
        <w:rPr>
          <w:rFonts w:ascii="Arial" w:cs="Arial" w:eastAsia="Arial" w:hAnsi="Arial"/>
          <w:sz w:val="16"/>
          <w:szCs w:val="16"/>
          <w:color w:val="auto"/>
        </w:rPr>
        <w:t>by</w:t>
      </w:r>
      <w:r>
        <w:rPr>
          <w:rFonts w:ascii="MS PGothic" w:cs="MS PGothic" w:eastAsia="MS PGothic" w:hAnsi="MS PGothic"/>
          <w:sz w:val="16"/>
          <w:szCs w:val="16"/>
          <w:color w:val="auto"/>
        </w:rPr>
        <w:t>‑</w:t>
      </w:r>
      <w:r>
        <w:rPr>
          <w:rFonts w:ascii="Arial" w:cs="Arial" w:eastAsia="Arial" w:hAnsi="Arial"/>
          <w:sz w:val="16"/>
          <w:szCs w:val="16"/>
          <w:color w:val="auto"/>
        </w:rPr>
        <w:t>program basis by Novartis for convenience. The agreement may also be terminated by either party under certain other circumstances, including material breach.</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Lilly</w:t>
      </w:r>
    </w:p>
    <w:p>
      <w:pPr>
        <w:spacing w:after="0" w:line="225" w:lineRule="exact"/>
        <w:rPr>
          <w:sz w:val="20"/>
          <w:szCs w:val="20"/>
          <w:color w:val="auto"/>
        </w:rPr>
      </w:pPr>
    </w:p>
    <w:p>
      <w:pPr>
        <w:jc w:val="both"/>
        <w:ind w:firstLine="648"/>
        <w:spacing w:after="0" w:line="219" w:lineRule="exact"/>
        <w:rPr>
          <w:sz w:val="20"/>
          <w:szCs w:val="20"/>
          <w:color w:val="auto"/>
        </w:rPr>
      </w:pPr>
      <w:r>
        <w:rPr>
          <w:rFonts w:ascii="Arial" w:cs="Arial" w:eastAsia="Arial" w:hAnsi="Arial"/>
          <w:sz w:val="18"/>
          <w:szCs w:val="18"/>
          <w:color w:val="auto"/>
        </w:rPr>
        <w:t>In December 2009, we entered into a License, Development and Commercialization Agreement with Lilly. Under the terms of the agreement, Lilly received exclusive worldwide development and commercialization rights to baricitinib and certain back</w:t>
      </w:r>
      <w:r>
        <w:rPr>
          <w:rFonts w:ascii="MS PGothic" w:cs="MS PGothic" w:eastAsia="MS PGothic" w:hAnsi="MS PGothic"/>
          <w:sz w:val="18"/>
          <w:szCs w:val="18"/>
          <w:color w:val="auto"/>
        </w:rPr>
        <w:t>‑</w:t>
      </w:r>
      <w:r>
        <w:rPr>
          <w:rFonts w:ascii="Arial" w:cs="Arial" w:eastAsia="Arial" w:hAnsi="Arial"/>
          <w:sz w:val="18"/>
          <w:szCs w:val="18"/>
          <w:color w:val="auto"/>
        </w:rPr>
        <w:t>up compounds for inflammatory and autoimmune diseases. We received an initial payment of $90.0 million, and were initially eligible to receive additional payments of up to $665.0 million based on the achievement of defined development, regulatory and commercialization milestones.</w:t>
      </w:r>
    </w:p>
    <w:p>
      <w:pPr>
        <w:spacing w:after="0" w:line="206"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We retained options to co-develop our JAK1/JAK2 inhibitors with Lilly on a compound-by-compound and indication-by-indication basis. Lilly is responsible for all costs relating to the development and commercialization of the compounds unless we elect to co-develop any compounds or indications. If we elect to co-develop any compounds and/or</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7" w:name="page48"/>
    <w:bookmarkEnd w:id="4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indications, we would be responsible for funding 30% of the associated future global development costs from the initiation of a Phase IIb trial through regulatory approval, including post-launch studies required by a regulatory authority. We would receive an incremental royalty rate increase across all tiers resulting in effective royalty rates ranging up to the high twenties on potential future global net sales for compounds and/or indications that we elect to co-develop. For indications that we elect not to co-develop, we would receive tiered, double-digit royalty payments on future global net sales with rates ranging up to 20% if the product is successfully commercialized. We previously had retained an option to co-promote products in the United States but, in March 2016, we waived our co-promotion option as part of an amendment to the agreement.</w:t>
      </w:r>
    </w:p>
    <w:p>
      <w:pPr>
        <w:spacing w:after="0" w:line="16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July 2010, we elected to co-develop baricitinib with Lilly in rheumatoid arthritis and we are responsible for funding 30% of the associated future global development costs for this indication from the initiation of the Phase IIb trial through regulatory approval, including post-launch studies required by a regulatory authority. We also elected to co-develop baricitinib with Lilly in psoriatic arthritis, atopic dermatitis, alopecia areata, systemic lupus erythematosus and axial spondyloarthritis.</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March 2016, we entered into an amendment to the agreement with Lilly that allows us to engage in the development and commercialization of ruxolitinib in the GVHD field. We paid Lilly an upfront payment of $35.0 million and Lilly is eligible to receive up to $40.0 million in additional regulatory milestone payments relating to ruxolitinib in the GVHD field.</w:t>
      </w:r>
    </w:p>
    <w:p>
      <w:pPr>
        <w:spacing w:after="0" w:line="18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February 2017, the European Commission announced the approval of baricitinib as OLUMIANT, triggering a $65.0 million milestone payment from Lilly. In July 2017, Japan's MHLW granted marketing approval for OLUMIANT, triggering a $15.0 million milestone payment from Lilly. In December 2017, we recognized a $30.0 million milestone payment for the first patient treated in the atopic dermatitis Phase III program for baricitinib. In June 2018, the FDA approved the 2mg dose of OLUMIANT, triggering a $100.0 million milestone payment from Lilly.</w:t>
      </w:r>
    </w:p>
    <w:p>
      <w:pPr>
        <w:spacing w:after="0" w:line="173" w:lineRule="exact"/>
        <w:rPr>
          <w:sz w:val="20"/>
          <w:szCs w:val="20"/>
          <w:color w:val="auto"/>
        </w:rPr>
      </w:pPr>
    </w:p>
    <w:p>
      <w:pPr>
        <w:jc w:val="both"/>
        <w:ind w:firstLine="648"/>
        <w:spacing w:after="0" w:line="218" w:lineRule="exact"/>
        <w:rPr>
          <w:sz w:val="20"/>
          <w:szCs w:val="20"/>
          <w:color w:val="auto"/>
        </w:rPr>
      </w:pPr>
      <w:r>
        <w:rPr>
          <w:rFonts w:ascii="Arial" w:cs="Arial" w:eastAsia="Arial" w:hAnsi="Arial"/>
          <w:sz w:val="18"/>
          <w:szCs w:val="18"/>
          <w:color w:val="auto"/>
        </w:rPr>
        <w:t>The Lilly agreement will continue until Lilly no longer has any royalty payment obligations or, if earlier, the termination of the agreement in accordance with its terms. Royalties are payable by Lilly on a product</w:t>
      </w:r>
      <w:r>
        <w:rPr>
          <w:rFonts w:ascii="MS PGothic" w:cs="MS PGothic" w:eastAsia="MS PGothic" w:hAnsi="MS PGothic"/>
          <w:sz w:val="18"/>
          <w:szCs w:val="18"/>
          <w:color w:val="auto"/>
        </w:rPr>
        <w:t>‑</w:t>
      </w:r>
      <w:r>
        <w:rPr>
          <w:rFonts w:ascii="Arial" w:cs="Arial" w:eastAsia="Arial" w:hAnsi="Arial"/>
          <w:sz w:val="18"/>
          <w:szCs w:val="18"/>
          <w:color w:val="auto"/>
        </w:rPr>
        <w:t>by</w:t>
      </w:r>
      <w:r>
        <w:rPr>
          <w:rFonts w:ascii="MS PGothic" w:cs="MS PGothic" w:eastAsia="MS PGothic" w:hAnsi="MS PGothic"/>
          <w:sz w:val="18"/>
          <w:szCs w:val="18"/>
          <w:color w:val="auto"/>
        </w:rPr>
        <w:t>‑</w:t>
      </w:r>
      <w:r>
        <w:rPr>
          <w:rFonts w:ascii="Arial" w:cs="Arial" w:eastAsia="Arial" w:hAnsi="Arial"/>
          <w:sz w:val="18"/>
          <w:szCs w:val="18"/>
          <w:color w:val="auto"/>
        </w:rPr>
        <w:t>product and country</w:t>
      </w:r>
      <w:r>
        <w:rPr>
          <w:rFonts w:ascii="MS PGothic" w:cs="MS PGothic" w:eastAsia="MS PGothic" w:hAnsi="MS PGothic"/>
          <w:sz w:val="18"/>
          <w:szCs w:val="18"/>
          <w:color w:val="auto"/>
        </w:rPr>
        <w:t>‑</w:t>
      </w:r>
      <w:r>
        <w:rPr>
          <w:rFonts w:ascii="Arial" w:cs="Arial" w:eastAsia="Arial" w:hAnsi="Arial"/>
          <w:sz w:val="18"/>
          <w:szCs w:val="18"/>
          <w:color w:val="auto"/>
        </w:rPr>
        <w:t>by</w:t>
      </w:r>
      <w:r>
        <w:rPr>
          <w:rFonts w:ascii="MS PGothic" w:cs="MS PGothic" w:eastAsia="MS PGothic" w:hAnsi="MS PGothic"/>
          <w:sz w:val="18"/>
          <w:szCs w:val="18"/>
          <w:color w:val="auto"/>
        </w:rPr>
        <w:t>‑</w:t>
      </w:r>
      <w:r>
        <w:rPr>
          <w:rFonts w:ascii="Arial" w:cs="Arial" w:eastAsia="Arial" w:hAnsi="Arial"/>
          <w:sz w:val="18"/>
          <w:szCs w:val="18"/>
          <w:color w:val="auto"/>
        </w:rPr>
        <w:t>country basis until the latest to occur of (i) the expiration of the last valid claim of the licensed patent rights covering the licensed product in the relevant country, (ii) the expiration of regulatory exclusivity for the licensed product in such country and (iii) a specified period from first commercial sale in such country of the licensed product by Lilly or its affiliates or sublicensees. The agreement may be terminated by Lilly for convenience, and may also be terminated under certain other circumstances, including material breach.</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Agenus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January 2015, we entered into a License, Development and Commercialization Agreement with Agenus Inc. and its wholly-owned subsidiary, 4-Antibody AG (now known as Agenus Switzerland Inc.), which we collectively refer to as Agenus. Under this agreement, the parties have agreed to collaborate on the discovery of novel immuno-therapeutics using Agenus’ antibody discovery platforms. In February 2017, we and Agenus amended this agreement.</w:t>
      </w:r>
    </w:p>
    <w:p>
      <w:pPr>
        <w:spacing w:after="0" w:line="17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Under the terms of this agreement, as amended, we received exclusive worldwide development and commercialization rights to four checkpoint modulators directed against GITR, OX40, LAG-3 and TIM-3. In addition to the initial four program targets, we and Agenus have the option to jointly nominate and pursue additional targets within the framework of the collaboration, and in November 2015, three more targets were added. Targets may be designated profit-share programs, where all costs and profits are shared equally by us and Agenus, or royalty-bearing programs, where we are responsible for all costs associated with discovery, preclinical, clinical development and commercialization activities. The programs relating to GITR and OX40 and two of the undisclosed targets were profit-share programs until February 2017, while the other targets currently under collaboration are royalty-bearing programs. The February 2017 amendment converted the programs relating to GITR and OX40 to royalty-bearing programs and removed from the collaboration the profit-share programs relating to the two undisclosed targets, with one reverting to us and one reverting to Agenus. Should any of those removed programs be successfully developed by a party, the other party will be eligible to receive the same milestone payments as the royalty-bearing programs and royalties at a 15% rate on global net sales. There are currently no profit-share programs. For each royalty-bearing product other than GITR and OX40, Agenus will be eligible to receive tiered royalties on global net sales ranging from 6% to 12%. For GITR and OX40, Agenus will be</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8" w:name="page49"/>
    <w:bookmarkEnd w:id="4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eligible to receive 15% royalties on global net sales. Under the February 2017 amendment, we paid Agenus $20.0 million in accelerated milestones relating to the clinical development of the GITR and OX40 programs. Agenus is eligible to receive up to an additional $510.0 million in future contingent development, regulatory and commercialization milestones across all programs in the collaboration. The agreement may be terminated by us for convenience upon 12 months’ notice and may also be terminated under certain other circumstances, including material breach.</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Takeda (ARIAD)</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June 2016, we acquired from ARIAD Pharmaceuticals, Inc. all of the outstanding shares of ARIAD Pharmaceuticals (Luxembourg) S.à.r.l., the parent company of ARIAD’s European subsidiaries responsible for the development and commercialization of ICLUSIG in the European Union and other countries. We obtained an exclusive license to develop and commercialize ICLUSIG in Europe and other select countries. ARIAD was subsequently acquired by Takeda Pharmaceutical Company Limited in 2017. As such, Takeda will be eligible to receive from us tiered royalties on net sales of ICLUSIG in our territory and up to $135.0 million in potential future oncology development and regulatory approval milestone payments, together with additional milestone payments for non-oncology indications, if approved, in our territory.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Merus</w:t>
      </w:r>
    </w:p>
    <w:p>
      <w:pPr>
        <w:spacing w:after="0" w:line="225"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In December 2016, we entered into a Collaboration and License Agreement with Merus N.V. Under this agreement, which became effective in January 2017, the parties have agreed to collaborate with respect to the research, discovery and development of bispecific antibodies utilizing Merus’ technology platform. The collaboration encompasses up to eleven independent programs, including two of Merus’ current preclinical immuno-oncology discovery programs. We received exclusive development and commercialization rights outside of the United States to products and product candidates resulting from one of Merus’ current preclinical discovery programs, referred to as “Program 1.” We also received worldwide exclusive development and commercialization rights to products and product candidates resulting from the other current Merus preclinical discovery program that is subject to the collaboration and to up to nine additional programs. Merus retained exclusive development and commercialization rights in the United States to products and product candidates resulting from Program 1 and options, subject to certain conditions, to co-fund development of products resulting from two other programs in exchange for a share of profits in the United States. Merus will also have the right to participate in a specified proportion of detailing activities in the United States for one of those co-developed programs. Should Program 1 fail to successfully complete IND-enabling toxicology studies, Merus would be granted an additional option to co-fund development of a program in exchange for a share of profits in the United States. All costs related to the collaboration are subject to joint research and development plans. Each party will share equally the costs of mutually agreed global development activities for Program 1, and fund itself any independent development activities in its territory. We will be responsible for all research, development and commercialization costs relating to all other programs, subject to Merus’ election to co-fund development and co-detail described above. If Merus exercises its co-funding option for a program, Merus would be responsible for funding 35% of the associated future global development costs and, for certain of such programs, would be responsible for reimbursing us for certain development costs incurred prior to the option exercise. All products as to which Merus has exercised its option to co-fund development would be subject to joint development plans and overseen by a joint development committee, but we will have final determination as to such plans in cases of dispute.</w:t>
      </w:r>
    </w:p>
    <w:p>
      <w:pPr>
        <w:spacing w:after="0" w:line="398"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In February 2017, we paid Merus an upfront non-refundable payment of $120.0 million. For each program as to which Merus does not have commercialization or co-development rights, Merus will be eligible to receive up to $100.0 million in future contingent development and regulatory milestones and up to $250.0 million in commercialization milestones as well as tiered royalties ranging from 6% to 10% of global net sales. For each program as to which Merus exercises its option to co-fund development, Merus will be eligible to receive a 50% share of profits (or sustain 50% of any losses) in the United States and be eligible to receive tiered royalties ranging from 6% to 10% of net sales of products outside of the United States. If Merus opts to cease co-funding a program as to which it exercised its co-development option, then Merus will no longer receive a share of profits in the United States but will be eligible to receive the same milestones from the co-funding termination date and the same tiered royalties described above with respect to non-co-developed programs and, depending on the stage at which Merus chose to cease co-funding development costs, additional</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9" w:name="page50"/>
    <w:bookmarkEnd w:id="4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royalties ranging up to 4% of net sales in the United States. For Program 1, we and Merus will each be eligible to receive tiered royalties on net sales in the other party’s territory at rates ranging from 6% to 10%.</w:t>
      </w:r>
    </w:p>
    <w:p>
      <w:pPr>
        <w:spacing w:after="0" w:line="17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Merus agreement will continue on a program-by-program basis until we have no royalty payment obligations with respect to such program or, if earlier, the termination of the agreement or any program in accordance with the terms of the agreement. The agreement may be terminated in its entirety or on a program-by-program basis by us for convenience. The agreement may also be terminated by either party under certain other circumstances, including material breach, as set forth in the agreement. If the agreement is terminated with respect to one or more programs, all rights in the terminated programs revert to Merus, subject to payment to us of a reverse royalty of up to 4% on sales of future products, if Merus elects to pursue development and commercialization of products arising from the terminated programs.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Calithera</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In January 2017, we entered into a Collaboration and License Agreement with Calithera Biosciences, Inc. Under this agreement, we received an exclusive, worldwide license to develop and commercialize small molecule arginase inhibitors, including INCB01158 (CB-1158), which is currently in Phase I clinical trials, for hematology and oncology indications. We have agreed to co-fund 70% of the global development costs for the development of the licensed products for hematology and oncology indications. Calithera will have the right to conduct certain clinical development under the collaboration, including combination studies of a licensed product with a proprietary compound of Calithera. We will be entitled to 60% of the profits and losses from net sales of licensed product in the United States, and Calithera will have the right to co-detail licensed products in the United States, and we have agreed to pay Calithera tiered royalties ranging from the low to mid-double digits on net sales of licensed products outside the United States. Calithera may opt out of its co-funding obligation, in which case the U.S. profit sharing will no longer be in effect, and we have agreed to pay Calithera tiered royalties ranging from the low to mid-double digits on net sales of licensed products both in the United States and outside the United States, and additional royalties to reimburse Calithera for previously incurred development costs.</w:t>
      </w:r>
    </w:p>
    <w:p>
      <w:pPr>
        <w:spacing w:after="0" w:line="169" w:lineRule="exact"/>
        <w:rPr>
          <w:sz w:val="20"/>
          <w:szCs w:val="20"/>
          <w:color w:val="auto"/>
        </w:rPr>
      </w:pPr>
    </w:p>
    <w:p>
      <w:pPr>
        <w:jc w:val="both"/>
        <w:ind w:firstLine="441"/>
        <w:spacing w:after="0" w:line="264" w:lineRule="auto"/>
        <w:rPr>
          <w:sz w:val="20"/>
          <w:szCs w:val="20"/>
          <w:color w:val="auto"/>
        </w:rPr>
      </w:pPr>
      <w:r>
        <w:rPr>
          <w:rFonts w:ascii="Arial" w:cs="Arial" w:eastAsia="Arial" w:hAnsi="Arial"/>
          <w:sz w:val="18"/>
          <w:szCs w:val="18"/>
          <w:color w:val="auto"/>
        </w:rPr>
        <w:t>Calithera retains rights to certain arginase inhibitors that are not part of the collaboration for specific orphan indications outside of hematology and oncology, subject to our rights to negotiate a license for any such programs under specified circumstances if Calithera elects to out-license them.</w:t>
      </w:r>
    </w:p>
    <w:p>
      <w:pPr>
        <w:spacing w:after="0" w:line="181" w:lineRule="exact"/>
        <w:rPr>
          <w:sz w:val="20"/>
          <w:szCs w:val="20"/>
          <w:color w:val="auto"/>
        </w:rPr>
      </w:pPr>
    </w:p>
    <w:p>
      <w:pPr>
        <w:jc w:val="both"/>
        <w:ind w:firstLine="441"/>
        <w:spacing w:after="0" w:line="264" w:lineRule="auto"/>
        <w:rPr>
          <w:sz w:val="20"/>
          <w:szCs w:val="20"/>
          <w:color w:val="auto"/>
        </w:rPr>
      </w:pPr>
      <w:r>
        <w:rPr>
          <w:rFonts w:ascii="Arial" w:cs="Arial" w:eastAsia="Arial" w:hAnsi="Arial"/>
          <w:sz w:val="18"/>
          <w:szCs w:val="18"/>
          <w:color w:val="auto"/>
        </w:rPr>
        <w:t>In January 2017, we paid Calithera an upfront license fee of $45.0 million and have agreed to pay potential development, regulatory and sales milestone payments of over $430.0 million if the profit share is in effect, or $750.0 million if the profit share terminates.</w:t>
      </w:r>
    </w:p>
    <w:p>
      <w:pPr>
        <w:spacing w:after="0" w:line="181" w:lineRule="exact"/>
        <w:rPr>
          <w:sz w:val="20"/>
          <w:szCs w:val="20"/>
          <w:color w:val="auto"/>
        </w:rPr>
      </w:pPr>
    </w:p>
    <w:p>
      <w:pPr>
        <w:jc w:val="both"/>
        <w:ind w:firstLine="441"/>
        <w:spacing w:after="0" w:line="272" w:lineRule="auto"/>
        <w:rPr>
          <w:sz w:val="20"/>
          <w:szCs w:val="20"/>
          <w:color w:val="auto"/>
        </w:rPr>
      </w:pPr>
      <w:r>
        <w:rPr>
          <w:rFonts w:ascii="Arial" w:cs="Arial" w:eastAsia="Arial" w:hAnsi="Arial"/>
          <w:sz w:val="17"/>
          <w:szCs w:val="17"/>
          <w:color w:val="auto"/>
        </w:rPr>
        <w:t>The Calithera agreement will continue on a product-by-product and country-by-country basis for so long as we are developing or commercializing products in the United States (if the parties are sharing profits in the United States) and until we have no further royalty payment obligations, unless earlier terminated according to the terms of the agreement. The agreement may be terminated in its entirety or on a product-by-product and/or a country-by-country basis by us for convenience. The agreement may also be terminated by us for Calithera’s uncured material breach, by Calithera for our uncured material breach and by either party for bankruptcy or patent challenge. If the agreement is terminated early with respect to one or more products or countries, all rights in the terminated products and countries revert to Calithera.</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MacroGenics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October 2017, we entered into a Global Collaboration and License Agreement with MacroGenics. Under this agreement, we received exclusive development and commercialization rights worldwide to MacroGenics’ INCMGA0012, an investigational monoclonal antibody that inhibits PD-1. Except as set forth in the succeeding sentence, we will have sole authority over and bear all costs and expenses in connection with the development and commercialization of INCMGA0012 in all indications, whether as a monotherapy or as part of a combination regimen. MacroGenics has retained the right to develop and commercialize, at its cost and expense, its pipeline assets in combination with INCMGA0012. In addition, MacroGenics has the right to manufacture a portion of both companies’ global clinical and commercial supply needs of INCMGA0012. In December 2017, we paid MacroGenics an upfront payment of $150.0 million. MacroGenics will be eligible to receive up to $420.0 million in future contingent development and regulatory</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0" w:name="page51"/>
    <w:bookmarkEnd w:id="5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milestones, and up to $330.0 million in commercial milestones as well as tiered royalties ranging from 15% to 24% of global net sales.</w:t>
      </w:r>
    </w:p>
    <w:p>
      <w:pPr>
        <w:spacing w:after="0" w:line="17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MacroGenics agreement will continue until we are no longer commercializing, developing or manufacturing INCMGA0012 or, if earlier, the termination of the agreement in accordance with its terms. The agreement may be terminated in its entirety or on a licensed product by licensed product basis by us for convenience. The agreement may also be terminated by either party under certain other circumstances, including material breach, as set forth in the agreement.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Syros</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January 2018, we entered into a target discovery, research collaboration and option agreement with Syros Pharmaceuticals, Inc. Under this agreement, Syros will use its proprietary gene control platform to identify novel therapeutic targets with a focus in myeloproliferative neoplasms and we have received options to obtain exclusive worldwide rights to intellectual property resulting from the collaboration for up to seven validated targets. We will have exclusive worldwide rights to develop and commercialize any therapies under the collaboration that modulate those validated targets. We paid Syros $2.5 million in cash for access to proprietary technology and $7.5 million in cash for research and development services. We have agreed to pay Syros up to $54.0 million in target selection and option exercise fees should we decide to exercise all of our options under the agreement. For products resulting from the collaboration against each of the seven selected and validated targets, we have agreed to pay up to $50.0 million in potential development and regulatory milestones and up to $65.0 million in potential commercial milestones. Syros is also eligible to receive low single-digit royalties on net sales of products resulting from the collaboration.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Estimates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preparation of financial statements requires us to make estimates, assumptions and judgments that affect the reported amounts of assets, liabilities, revenues and expenses, and related disclosures of contingent assets and liabilities. On an ongoing basis, we evaluate our estimates. We base our estimates on historical experience and various other assumptions that we believe to be reasonable under the circumstances, the results of which form our basis for making judgments about the carrying values of assets and liabilities that are not readily apparent from other sources. Actual results may differ from those estimates under different assumptions or conditions.</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believe the following critical accounting policies affect the more significant judgments and estimates used in the preparation of our condensed consolidated financial statements:</w:t>
      </w:r>
    </w:p>
    <w:p>
      <w:pPr>
        <w:spacing w:after="0" w:line="170" w:lineRule="exact"/>
        <w:rPr>
          <w:sz w:val="20"/>
          <w:szCs w:val="20"/>
          <w:color w:val="auto"/>
        </w:rPr>
      </w:pPr>
    </w:p>
    <w:p>
      <w:pPr>
        <w:ind w:left="980" w:hanging="329"/>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Revenue recognition;</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Research and development costs;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Stock compensation;</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Income taxes;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Acquisition-related contingent consideration; and</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Long term investments.</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b w:val="1"/>
          <w:bCs w:val="1"/>
          <w:i w:val="1"/>
          <w:iCs w:val="1"/>
          <w:color w:val="auto"/>
        </w:rPr>
        <w:t xml:space="preserve">Revenue Recognition. </w:t>
      </w:r>
      <w:r>
        <w:rPr>
          <w:rFonts w:ascii="Arial" w:cs="Arial" w:eastAsia="Arial" w:hAnsi="Arial"/>
          <w:sz w:val="16"/>
          <w:szCs w:val="16"/>
          <w:color w:val="auto"/>
        </w:rPr>
        <w:t>The new accounting standard for the recognition of revenue, ASC 606,</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Revenue from</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Contracts with Customers</w:t>
      </w:r>
      <w:r>
        <w:rPr>
          <w:rFonts w:ascii="Arial" w:cs="Arial" w:eastAsia="Arial" w:hAnsi="Arial"/>
          <w:sz w:val="16"/>
          <w:szCs w:val="16"/>
          <w:color w:val="auto"/>
        </w:rPr>
        <w:t>, was adopted for the fiscal year beginning on January 1, 2018. Per the new standard, revenue-generating contracts are assessed to identify distinct performance obligations, allocating transaction prices to those performance obligations, and criteria for satisfaction of a performance obligation. The new standard allows for recognition of revenue only when we have satisfied a performance obligation through transferring control of the promised good or service to a customer. Control, in this instance, may mean the ability to prevent other entities from directing the use of,</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1" w:name="page52"/>
    <w:bookmarkEnd w:id="5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and receiving benefit from, a good or service. The standard indicates that an entity must determine at contract inception whether it will transfer control of a promised good or service over time or satisfy the performance obligation at a point in time through analysis of the following criteria: (i) the entity has a present right to payment, (ii) the customer has legal title,</w:t>
      </w:r>
    </w:p>
    <w:p>
      <w:pPr>
        <w:jc w:val="both"/>
        <w:ind w:firstLine="3"/>
        <w:spacing w:after="0" w:line="269" w:lineRule="auto"/>
        <w:tabs>
          <w:tab w:leader="none" w:pos="33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customer has physical possession, (iv) the customer has the significant risks and rewards of ownership and (v) the customer has accepted the asset. We assess collectability based primarily on the customer’s payment history and on the creditworthiness of the customer. The new standard has been applied to contracts for which performance had not been completed as of the date of adoption. For those contracts that were modified prior to the date of adoption, we reflected the aggregate effect of those modifications when determining the appropriate accounting under the new standard. We do not believe the effect of applying this practical expedient resulted in material differences. Overall, adoption of the new standard did not significantly alter our methodology for recognition of revenue.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Product Revenues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product revenues consist of U.S. sales of JAKAFI and European sales of ICLUSIG. Product revenues are recognized once we meet the revenue recognition criteria described above. In November 2011, we began shipping JAKAFI to our customers in the U.S., which include specialty pharmacies and wholesalers. In June 2016, we acquired the right to and began shipping ICLUSIG to our customers in the European Union and certain other jurisdictions, which include retail pharmacies, hospital pharmacies and distributors.</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recognize revenues for product received by our customers net of allowances for customer credits, including estimated rebates, chargebacks, discounts, returns, distribution service fees, patient assistance programs, and government rebates, such as Medicare Part D coverage gap reimbursements in the U.S. Product shipping and handling costs are included in cost of product revenues.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Customer Credits: </w:t>
      </w:r>
      <w:r>
        <w:rPr>
          <w:rFonts w:ascii="Arial" w:cs="Arial" w:eastAsia="Arial" w:hAnsi="Arial"/>
          <w:sz w:val="18"/>
          <w:szCs w:val="18"/>
          <w:color w:val="auto"/>
        </w:rPr>
        <w:t>Our customers are offered various forms of consideration, including allowances, service fees and</w:t>
      </w:r>
      <w:r>
        <w:rPr>
          <w:rFonts w:ascii="Arial" w:cs="Arial" w:eastAsia="Arial" w:hAnsi="Arial"/>
          <w:sz w:val="18"/>
          <w:szCs w:val="18"/>
          <w:i w:val="1"/>
          <w:iCs w:val="1"/>
          <w:color w:val="auto"/>
        </w:rPr>
        <w:t xml:space="preserve"> </w:t>
      </w:r>
      <w:r>
        <w:rPr>
          <w:rFonts w:ascii="Arial" w:cs="Arial" w:eastAsia="Arial" w:hAnsi="Arial"/>
          <w:sz w:val="18"/>
          <w:szCs w:val="18"/>
          <w:color w:val="auto"/>
        </w:rPr>
        <w:t>prompt payment discounts. We expect our customers will earn prompt payment discounts and, therefore, we deduct the full amount of these discounts from total product sales when revenues are recognized. Service fees are also deducted from total product sales as they are earned.</w:t>
      </w:r>
    </w:p>
    <w:p>
      <w:pPr>
        <w:spacing w:after="0" w:line="18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i w:val="1"/>
          <w:iCs w:val="1"/>
          <w:color w:val="auto"/>
        </w:rPr>
        <w:t xml:space="preserve">Rebates and Discounts: </w:t>
      </w:r>
      <w:r>
        <w:rPr>
          <w:rFonts w:ascii="Arial" w:cs="Arial" w:eastAsia="Arial" w:hAnsi="Arial"/>
          <w:sz w:val="17"/>
          <w:szCs w:val="17"/>
          <w:color w:val="auto"/>
        </w:rPr>
        <w:t>Allowances for rebates include mandated discounts under the Medicaid Drug Rebate</w:t>
      </w:r>
      <w:r>
        <w:rPr>
          <w:rFonts w:ascii="Arial" w:cs="Arial" w:eastAsia="Arial" w:hAnsi="Arial"/>
          <w:sz w:val="17"/>
          <w:szCs w:val="17"/>
          <w:i w:val="1"/>
          <w:iCs w:val="1"/>
          <w:color w:val="auto"/>
        </w:rPr>
        <w:t xml:space="preserve"> </w:t>
      </w:r>
      <w:r>
        <w:rPr>
          <w:rFonts w:ascii="Arial" w:cs="Arial" w:eastAsia="Arial" w:hAnsi="Arial"/>
          <w:sz w:val="17"/>
          <w:szCs w:val="17"/>
          <w:color w:val="auto"/>
        </w:rPr>
        <w:t>Program in the U.S. and mandated discounts in Europe in markets where government-sponsored healthcare systems are the primary payers for healthcare. Rebate amounts are based upon contractual agreements or legal requirements with public sector benefit providers. Rebates are amounts owed after the final dispensing of the product to a benefit plan participant and are based upon contractual agreements or legal requirements with public sector benefit providers. The accrual for rebates is based on statutory discount rates and expected utilization as well as historical data we have accumulated since product launch. Our estimates for expected utilization of rebates are based on data received from our customers. Rebates are generally invoiced and paid in arrears so that the accrual balance consists of an estimate of the amount expected to be incurred for the current quarter’s activity, plus an accrual balance for known prior quarters’ unpaid rebates. If actual future rebates vary from estimates, we may need to adjust prior period accruals, which would affect revenue in the period of adjustment.</w:t>
      </w:r>
    </w:p>
    <w:p>
      <w:pPr>
        <w:spacing w:after="0" w:line="18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i w:val="1"/>
          <w:iCs w:val="1"/>
          <w:color w:val="auto"/>
        </w:rPr>
        <w:t xml:space="preserve">Chargebacks: </w:t>
      </w:r>
      <w:r>
        <w:rPr>
          <w:rFonts w:ascii="Arial" w:cs="Arial" w:eastAsia="Arial" w:hAnsi="Arial"/>
          <w:sz w:val="17"/>
          <w:szCs w:val="17"/>
          <w:color w:val="auto"/>
        </w:rPr>
        <w:t>Chargebacks are discounts that occur when certain contracted customers, which currently consist</w:t>
      </w:r>
      <w:r>
        <w:rPr>
          <w:rFonts w:ascii="Arial" w:cs="Arial" w:eastAsia="Arial" w:hAnsi="Arial"/>
          <w:sz w:val="17"/>
          <w:szCs w:val="17"/>
          <w:i w:val="1"/>
          <w:iCs w:val="1"/>
          <w:color w:val="auto"/>
        </w:rPr>
        <w:t xml:space="preserve"> </w:t>
      </w:r>
      <w:r>
        <w:rPr>
          <w:rFonts w:ascii="Arial" w:cs="Arial" w:eastAsia="Arial" w:hAnsi="Arial"/>
          <w:sz w:val="17"/>
          <w:szCs w:val="17"/>
          <w:color w:val="auto"/>
        </w:rPr>
        <w:t>primarily of group purchasing organizations, Public Health Service institutions, non-profit clinics, and Federal government entities purchasing via the Federal Supply Schedule, purchase directly from our wholesalers. Contracted customers generally purchase the product at a discounted price. The wholesalers, in turn, charges back to us the difference between the price initially paid by the wholesalers and the discounted price paid by the contracted customers. In addition to actual chargebacks received, we maintain an accrual for chargebacks based on the estimated contractual discounts on the inventory levels on hand in our distribution channel. If actual future chargebacks vary from these estimates, we may need to adjust prior period accruals, which would affect revenue in the period of adjustment.</w:t>
      </w:r>
    </w:p>
    <w:p>
      <w:pPr>
        <w:spacing w:after="0" w:line="17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i w:val="1"/>
          <w:iCs w:val="1"/>
          <w:color w:val="auto"/>
        </w:rPr>
        <w:t xml:space="preserve">Medicare Part D Coverage Gap: </w:t>
      </w:r>
      <w:r>
        <w:rPr>
          <w:rFonts w:ascii="Arial" w:cs="Arial" w:eastAsia="Arial" w:hAnsi="Arial"/>
          <w:sz w:val="16"/>
          <w:szCs w:val="16"/>
          <w:color w:val="auto"/>
        </w:rPr>
        <w:t>Medicare Part D prescription drug benefit mandates manufacturers to fund 50%</w:t>
      </w:r>
      <w:r>
        <w:rPr>
          <w:rFonts w:ascii="Arial" w:cs="Arial" w:eastAsia="Arial" w:hAnsi="Arial"/>
          <w:sz w:val="16"/>
          <w:szCs w:val="16"/>
          <w:i w:val="1"/>
          <w:iCs w:val="1"/>
          <w:color w:val="auto"/>
        </w:rPr>
        <w:t xml:space="preserve"> </w:t>
      </w:r>
      <w:r>
        <w:rPr>
          <w:rFonts w:ascii="Arial" w:cs="Arial" w:eastAsia="Arial" w:hAnsi="Arial"/>
          <w:sz w:val="16"/>
          <w:szCs w:val="16"/>
          <w:color w:val="auto"/>
        </w:rPr>
        <w:t>of the Medicare Part D insurance coverage gap for prescription drugs sold to eligible patients. Our estimates for the expected Medicare Part D coverage gap are based on historical invoices received and in part from data received from our customers. Funding of the coverage gap is generally invoiced and paid in arrears so that the accrual balance consists of an</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2" w:name="page53"/>
    <w:bookmarkEnd w:id="5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estimate of the amount expected to be incurred for the current quarter’s activity, plus an accrual balance for known prior quarters. If actual future funding varies from estimates, we may need to adjust prior period accruals, which would affect revenue in the period of adjustment.</w:t>
      </w:r>
    </w:p>
    <w:p>
      <w:pPr>
        <w:spacing w:after="0" w:line="18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i w:val="1"/>
          <w:iCs w:val="1"/>
          <w:color w:val="auto"/>
        </w:rPr>
        <w:t xml:space="preserve">Co-payment Assistance: </w:t>
      </w:r>
      <w:r>
        <w:rPr>
          <w:rFonts w:ascii="Arial" w:cs="Arial" w:eastAsia="Arial" w:hAnsi="Arial"/>
          <w:sz w:val="17"/>
          <w:szCs w:val="17"/>
          <w:color w:val="auto"/>
        </w:rPr>
        <w:t>Patients who have commercial insurance and meet certain eligibility requirements may</w:t>
      </w:r>
      <w:r>
        <w:rPr>
          <w:rFonts w:ascii="Arial" w:cs="Arial" w:eastAsia="Arial" w:hAnsi="Arial"/>
          <w:sz w:val="17"/>
          <w:szCs w:val="17"/>
          <w:i w:val="1"/>
          <w:iCs w:val="1"/>
          <w:color w:val="auto"/>
        </w:rPr>
        <w:t xml:space="preserve"> </w:t>
      </w:r>
      <w:r>
        <w:rPr>
          <w:rFonts w:ascii="Arial" w:cs="Arial" w:eastAsia="Arial" w:hAnsi="Arial"/>
          <w:sz w:val="17"/>
          <w:szCs w:val="17"/>
          <w:color w:val="auto"/>
        </w:rPr>
        <w:t>receive co-payment assistance. We accrue a liability for co-payment assistance based on actual program participation and estimates of program redemption using data provided by third-party administrators.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Product Royalty Revenues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Royalty revenues on commercial sales for JAKAVI by Novartis are estimated based on information provided by Novartis. Royalty revenues on commercial sales for OLUMIANT by Lilly are estimated based on information provided by Lilly. We exercise judgment in determining whether the information provided is sufficiently reliable for us to base our royalty revenue recognition thereon. If actual royalties vary from estimates, we may need to adjust the prior period, which would affect royalty revenue in the period of adjustment.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Cost of Product Revenues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Cost of product revenues includes all JAKAFI related product costs as well as ICLUSIG related product costs. The ICLUSIG inventories were recorded at fair value less costs to sell in connection with the acquisition of ARIAD Pharmaceuticals (Luxembourg) S.à.r.l. (the “Acquisition”), which resulted in a higher cost of ICLUSIG product revenues over a one year period from the acquisition date. In addition, cost of product revenues include low single-digit royalties under our collaboration and license agreement to Novartis on all future sales of JAKAFI in the United States. Subsequent to the Acquisition on June 1, 2016, cost of product revenues also includes the amortization of our licensed intellectual property for ICLUSIG using the straight-line method over the estimated useful life of 12.5 years.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Contract and License Revenues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Our typical customer arrangements, which fall within the scope of ASC 606, </w:t>
      </w:r>
      <w:r>
        <w:rPr>
          <w:rFonts w:ascii="Arial" w:cs="Arial" w:eastAsia="Arial" w:hAnsi="Arial"/>
          <w:sz w:val="18"/>
          <w:szCs w:val="18"/>
          <w:i w:val="1"/>
          <w:iCs w:val="1"/>
          <w:color w:val="auto"/>
        </w:rPr>
        <w:t>Revenue from Contracts with</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Customers, </w:t>
      </w:r>
      <w:r>
        <w:rPr>
          <w:rFonts w:ascii="Arial" w:cs="Arial" w:eastAsia="Arial" w:hAnsi="Arial"/>
          <w:sz w:val="18"/>
          <w:szCs w:val="18"/>
          <w:color w:val="auto"/>
        </w:rPr>
        <w:t>include distinct drug compound out-licensing, collection of upfront payments, milestones or royalty revenues</w:t>
      </w:r>
      <w:r>
        <w:rPr>
          <w:rFonts w:ascii="Arial" w:cs="Arial" w:eastAsia="Arial" w:hAnsi="Arial"/>
          <w:sz w:val="18"/>
          <w:szCs w:val="18"/>
          <w:i w:val="1"/>
          <w:iCs w:val="1"/>
          <w:color w:val="auto"/>
        </w:rPr>
        <w:t xml:space="preserve"> </w:t>
      </w:r>
      <w:r>
        <w:rPr>
          <w:rFonts w:ascii="Arial" w:cs="Arial" w:eastAsia="Arial" w:hAnsi="Arial"/>
          <w:sz w:val="18"/>
          <w:szCs w:val="18"/>
          <w:color w:val="auto"/>
        </w:rPr>
        <w:t>from a counterparty, and provision of commercially available products to suppliers. Our agreements often include contractual milestones, which typically relate to the achievement of pre-specified development, regulatory and commercialization events outside of our control, such as regulatory approval of a compound, first patient dosing or achievement of sales-based thresholds. For such cases, we believe that revenue related to these events should not be recognized until the milestone has been achieved.</w:t>
      </w:r>
    </w:p>
    <w:p>
      <w:pPr>
        <w:spacing w:after="0" w:line="18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Some contracts form collaborative arrangements of various types with third-parties. We assess whether the nature of the arrangement is within the scope of ASC 808, </w:t>
      </w:r>
      <w:r>
        <w:rPr>
          <w:rFonts w:ascii="Arial" w:cs="Arial" w:eastAsia="Arial" w:hAnsi="Arial"/>
          <w:sz w:val="16"/>
          <w:szCs w:val="16"/>
          <w:i w:val="1"/>
          <w:iCs w:val="1"/>
          <w:color w:val="auto"/>
        </w:rPr>
        <w:t>Collaborative Arrangements</w:t>
      </w:r>
      <w:r>
        <w:rPr>
          <w:rFonts w:ascii="Arial" w:cs="Arial" w:eastAsia="Arial" w:hAnsi="Arial"/>
          <w:sz w:val="16"/>
          <w:szCs w:val="16"/>
          <w:color w:val="auto"/>
        </w:rPr>
        <w:t>, in conjunction with the new revenue guidance to determine the nature of the performance obligations and associated transaction prices. A collaborative relationship may exist when we participate in an activity or process with another party, such as performance of research and development services or the exchange of intellectual property for use in clinical trials, when both parties share in the risks and rewards that result from the activity or participate and govern contract activities through a joint steering committee.</w:t>
      </w:r>
    </w:p>
    <w:p>
      <w:pPr>
        <w:spacing w:after="0" w:line="16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regulatory review and approval process, which includes preclinical testing and clinical trials of each drug candidate, is lengthy, expensive and uncertain. Securing approval by the U.S. Food and Drug Administration (FDA) requires the submission of extensive preclinical and clinical data and supporting information to the FDA for each indication to establish a drug candidate’s safety and efficacy. The approval process takes many years, requires the expenditure of substantial resources, involves post-marketing surveillance and may involve ongoing requirements for post-marketing studies. Before commencing clinical investigations of a drug candidate in humans, we must submit an Investigational New Drug application (IND), which must be reviewed by the FDA.</w:t>
      </w:r>
    </w:p>
    <w:p>
      <w:pPr>
        <w:spacing w:after="0" w:line="18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steps generally required before a drug may be marketed in the United States include preclinical laboratory tests, animal studies and formulation studies, submission to the FDA of an IND for human clinical testing, performance of</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3" w:name="page54"/>
    <w:bookmarkEnd w:id="5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adequate and well-controlled clinical trials in three phases, as described below, to establish the safety and efficacy of the drug for each indication, submission of a new drug application (NDA) or biologics license application (BLA) to the FDA for review and FDA approval of the NDA or BLA.</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Similar requirements exist within foreign regulatory agencies as well. The time required satisfying the FDA requirements or similar requirements of foreign regulatory agencies may vary substantially based on the type, complexity and novelty of the product or the targeted disease.</w:t>
      </w:r>
    </w:p>
    <w:p>
      <w:pPr>
        <w:spacing w:after="0" w:line="181"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Preclinical testing includes laboratory evaluation of product pharmacology, drug metabolism, and toxicity, which includes animal studies, to assess potential safety and efficacy, as well as product chemistry, stability, formulation, development, and testing. The results of the preclinical tests, together with manufacturing information and analytical data, are submitted to the FDA as part of an IND. The FDA may raise safety concerns or questions about the conduct of the clinical trials included in the IND, and any of these concerns or questions must be resolved before clinical trials can proceed. We cannot be sure that submission of an IND will result in the FDA allowing clinical trials to commence. Clinical trials involve the administration of the investigational drug or the marketed drug to human subjects under the supervision of qualified investigators and in accordance with good clinical practices regulations covering the protection of human subjects. Clinical trials typically are conducted in three sequential phases, but the phases may overlap or be combined. Phase I usually involves the initial introduction of the investigational drug into healthy volunteers to evaluate its safety, dosage tolerance, absorption, metabolism, distribution and excretion. Phase II usually involves clinical trials in a limited patient population to evaluate dosage tolerance and optimal dosage, identify possible adverse effects and safety risks, and evaluate and gain preliminary evidence of the efficacy of the drug for specific indications. Phase III clinical trials usually further evaluate clinical efficacy and safety by testing the drug in its final form in an expanded patient population, providing statistical evidence of efficacy and safety, and providing an adequate basis for labeling. We cannot guarantee that Phase I, Phase II or Phase III testing will be completed successfully within any specified period of time, if at all. Furthermore, we, the institutional review board for a trial, or the FDA may suspend clinical trials at any time on various grounds, including a finding that the subjects or patients are being exposed to an unacceptable health risk.</w:t>
      </w:r>
    </w:p>
    <w:p>
      <w:pPr>
        <w:spacing w:after="0" w:line="19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Generally, the milestone events contained in our collaboration agreements coincide with the progression of our drugs from development, to regulatory approval and then to commercialization. The process of successfully discovering a new development candidate, having it approved and successfully commercialized is highly uncertain. As such, the milestone payments we may earn from our partners involve a significant degree of risk to achieve. Therefore, as a drug candidate progresses through the stages of its life-cycle, the value of the drug candidate generally increases.</w:t>
      </w:r>
    </w:p>
    <w:p>
      <w:pPr>
        <w:spacing w:after="0" w:line="17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b w:val="1"/>
          <w:bCs w:val="1"/>
          <w:i w:val="1"/>
          <w:iCs w:val="1"/>
          <w:color w:val="auto"/>
        </w:rPr>
        <w:t xml:space="preserve">Research and Development Costs. </w:t>
      </w:r>
      <w:r>
        <w:rPr>
          <w:rFonts w:ascii="Arial" w:cs="Arial" w:eastAsia="Arial" w:hAnsi="Arial"/>
          <w:sz w:val="17"/>
          <w:szCs w:val="17"/>
          <w:color w:val="auto"/>
        </w:rPr>
        <w:t>Our policy is to expense research and development costs as incurred. We often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contract with clinical research organizations (CROs) to facilitate, coordinate and perform agreed upon research and development of a new drug. To ensure that research and development costs are expensed as incurred, we record monthly accruals for clinical trials and preclinical testing costs based on the work performed under the contract.</w:t>
      </w:r>
    </w:p>
    <w:p>
      <w:pPr>
        <w:spacing w:after="0" w:line="17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These CRO contracts typically call for the payment of fees for services at the initiation of the contract and/or upon the achievement of certain clinical trial milestones. In the event that we prepay CRO fees, we record the prepayment as a prepaid asset and amortize the asset into research and development expense over the period of time the contracted research and development services are performed. Most professional fees, including project and clinical management, data management, monitoring, and medical writing fees are incurred throughout the contract period. These professional fees are expensed based on their percentage of completion at a particular date. Our CRO contracts generally include pass through fees. Pass through fees include, but are not limited to, regulatory expenses, investigator fees, travel costs, and other miscellaneous costs, including shipping and printing fees. We expense the costs of pass through fees under our CRO contracts as they are incurred, based on the best information available to us at the time. The estimates of the pass through fees incurred are based on the amount of work completed for the clinical trial and are monitored through correspondence with the CROs, internal reviews and a review of contractual terms. The factors utilized to derive the estimates include the number of patients enrolled, duration of the clinical trial, estimated patient attrition, screening rate and length of the dosing regimen. CRO fees incurred to set up the clinical trial are expensed during the setup period.</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4" w:name="page55"/>
    <w:bookmarkEnd w:id="5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Under our clinical trial collaboration agreements, we may be reimbursed for certain development costs incurred. Such costs are recorded as a reduction of research and development expense in the period in which the related expense is incurred.</w:t>
      </w:r>
    </w:p>
    <w:p>
      <w:pPr>
        <w:spacing w:after="0" w:line="18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b w:val="1"/>
          <w:bCs w:val="1"/>
          <w:i w:val="1"/>
          <w:iCs w:val="1"/>
          <w:color w:val="auto"/>
        </w:rPr>
        <w:t xml:space="preserve">Stock Compensation. </w:t>
      </w:r>
      <w:r>
        <w:rPr>
          <w:rFonts w:ascii="Arial" w:cs="Arial" w:eastAsia="Arial" w:hAnsi="Arial"/>
          <w:sz w:val="17"/>
          <w:szCs w:val="17"/>
          <w:color w:val="auto"/>
        </w:rPr>
        <w:t>Share-based payment transactions with employees, which include stock options, restricted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stock units (RSUs) and performance shares (PSUs), are recognized as compensation expense over the requisite service period based on their estimated fair values as well as expected forfeiture rates. The stock compensation process requires significant judgment and the use of estimates, particularly surrounding Black-Scholes assumptions such as stock price volatility over the option term and expected option lives, as well as expected forfeiture rates and the probability of PSUs vesting. The fair value of stock options, which are subject to graded vesting, are recognized as compensation expense over the requisite service period using the accelerated attribution method. The fair value of RSUs that are subject to cliff vesting are recognized as compensation expense over the requisite service period using the straight-line attribution method, and the fair value of RSUs that are subject to graded vesting are recognized as compensation expense over the requisite service period using the accelerated attribution method. The fair value of PSUs are recognized as compensation expense beginning at the time in which the performance conditions are deemed probable of achievement, which we assess at each reporting period. Once a performance condition is considered probable, we record compensation expense based on the portion of the service period elapsed to date with respect to that award, with a cumulative catch-up, net of estimated forfeitures, and recognize any remaining compensation expense, if any, over the remaining requisite service period using the straight-line attribution method for PSUs that are subject to cliff vesting and using the accelerated attribution method for PSUs that are subject to graded vesting.</w:t>
      </w:r>
    </w:p>
    <w:p>
      <w:pPr>
        <w:spacing w:after="0" w:line="18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b w:val="1"/>
          <w:bCs w:val="1"/>
          <w:i w:val="1"/>
          <w:iCs w:val="1"/>
          <w:color w:val="auto"/>
        </w:rPr>
        <w:t xml:space="preserve">Income Taxes. </w:t>
      </w:r>
      <w:r>
        <w:rPr>
          <w:rFonts w:ascii="Arial" w:cs="Arial" w:eastAsia="Arial" w:hAnsi="Arial"/>
          <w:sz w:val="16"/>
          <w:szCs w:val="16"/>
          <w:color w:val="auto"/>
        </w:rPr>
        <w:t>We account for income taxes using an asset and liability approach to financial accounting for income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taxes. Under this method, deferred tax assets and liabilities are determined based on the difference between the financial statement carrying amounts and tax bases of assets and liabilities using enacted tax rates in effect for years in which the basis differences are expected to reverse. We periodically assess the likelihood of the realization of deferred tax assets, and reduce the carrying amount of these deferred tax assets to an amount that is considered to be more-likely-than-not to be realizable. Our assessment considers recent cumulative earnings experience, projections of future taxable income (losses) and ongoing prudent and feasible tax planning strategies. When performing our assessment on projections of future taxable income (losses), we consider factors such as the likelihood of regulatory approval and commercial success of products currently under development, among other factors. Significant judgment is required in making this assessment and, to the extent that a reversal of any portion of our valuation allowance against our deferred tax assets is deemed appropriate, a tax benefit will be recognized against our income tax provision in the period of such reversal.</w:t>
      </w:r>
    </w:p>
    <w:p>
      <w:pPr>
        <w:spacing w:after="0" w:line="173"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do not recognize a tax benefit for an uncertain tax position unless it is more-likely-than-not that the position will be sustained upon examination based on the technical merits of the position. The tax benefit that is recorded for these positions is measured at the largest amount of benefit that is greater than 50 percent likely of being realized upon ultimate settlement. We adjust the level of the liability to reflect any subsequent changes in the relevant facts surrounding the uncertain positions. Any interest and penalties on uncertain tax positions are included within the tax provision.</w:t>
      </w:r>
    </w:p>
    <w:p>
      <w:pPr>
        <w:spacing w:after="0" w:line="15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On December 22, 2017, the Tax Cuts and Jobs Act of 2017 was signed into law, making significant changes to the Internal Revenue Code. These changes include a federal corporate tax rate decrease from 35% to 21% for tax years beginning after December 31, 2017, the transition of U.S. international taxation from a worldwide tax system to a territorial system, and temporary full expensing of certain business assets. We recognized in our financial statements for the year ended December 31, 2017 the provisional tax impacts related to the revaluation of deferred tax assets and liabilities as well as the temporary full-expensing of certain business assets. We continue to monitor and analyze further issued guidance, however, no additional tax effects of the Act were required to be recorded for the six months ended June 30, 2018. The financial statement impact is expected to be complete when the 2017 U.S. corporate income tax return is filed in 2018.</w:t>
      </w:r>
    </w:p>
    <w:p>
      <w:pPr>
        <w:spacing w:after="0" w:line="16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b w:val="1"/>
          <w:bCs w:val="1"/>
          <w:i w:val="1"/>
          <w:iCs w:val="1"/>
          <w:color w:val="auto"/>
        </w:rPr>
        <w:t xml:space="preserve">Acquisition-related contingent consideration. </w:t>
      </w:r>
      <w:r>
        <w:rPr>
          <w:rFonts w:ascii="Arial" w:cs="Arial" w:eastAsia="Arial" w:hAnsi="Arial"/>
          <w:sz w:val="17"/>
          <w:szCs w:val="17"/>
          <w:color w:val="auto"/>
        </w:rPr>
        <w:t>Acquisition-related contingent consideration, which consists of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future royalty and certain potential milestone obligations to ARIAD/Takeda, was recorded on the acquisition date at the estimated fair value of the obligation, in accordance with the acquisition method of accounting. The fair value of the contingent consideration was determined using an income approach based on estimated ICLUSIG revenues in the European Union and other countries for the approved third line treatment. As the fair value measurement is based on significant inputs that are unobservable in the market, this represents a Level 3 measurement.</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5" w:name="page56"/>
    <w:bookmarkEnd w:id="5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fair value of the acquisition-related contingent consideration is remeasured each reporting period, with changes in fair value recorded in the consolidated statements of operations. Changes in the fair value of the acquisition-related contingent consideration can result from changes to one or multiple inputs including projected revenues and discount rates. These inputs are analyzed on a quarterly basis as changes to the inputs could have a material impact on the amount of acquisition-related contingent consideration recorded during the reporting period.</w:t>
      </w:r>
    </w:p>
    <w:p>
      <w:pPr>
        <w:spacing w:after="0" w:line="173"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b w:val="1"/>
          <w:bCs w:val="1"/>
          <w:i w:val="1"/>
          <w:iCs w:val="1"/>
          <w:color w:val="auto"/>
        </w:rPr>
        <w:t xml:space="preserve">Long term investments. </w:t>
      </w:r>
      <w:r>
        <w:rPr>
          <w:rFonts w:ascii="Arial" w:cs="Arial" w:eastAsia="Arial" w:hAnsi="Arial"/>
          <w:sz w:val="16"/>
          <w:szCs w:val="16"/>
          <w:color w:val="auto"/>
        </w:rPr>
        <w:t>Our long term equity investments consist of investments in common stock of publicly-held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companies with whom we have entered into collaboration and license agreements. We classify all of our equity investments in common stock of publicly-held companies as long term investments. Our equity investments are accounted for at fair value using readily determinable pricing available on a securities exchange on our condensed consolidated balance sheets as a long term investment. All changes in fair value are reported in our condensed consolidated statements of operations as an unrealized gain (loss) on long term investments, upon the adoption of ASU No. 2016-01 effective January 1, 2018.</w:t>
      </w:r>
    </w:p>
    <w:p>
      <w:pPr>
        <w:spacing w:after="0" w:line="16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assessing whether we exercise significant influence over any of the companies in which we hold equity investments, we consider the nature and magnitude of our investment, any voting and protective rights we hold, any participation in the governance of the other company, and other relevant factors such as the presence of a collaboration or other business relationship. Currently, none of our equity investments in publicly-held companies are considered relationships in which we are able to assert control. In the event or circumstance in which we gain significant influence, but not control, of an equity investee, we will utilize the equity method of accounting, in which our share of income or loss of the equity investee will be reported within our results of operations.</w:t>
      </w:r>
    </w:p>
    <w:p>
      <w:pPr>
        <w:spacing w:after="0" w:line="18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perform an initial and ongoing evaluation of the entities with which we have variable interests, such as equity ownership, in order to identify entities (i) that do not have sufficient equity investment at risk to permit the entity to finance its activities without additional subordinated financial support or (ii) in which the equity investors lack an essential characteristic of a controlling financial interest as variable interest entities (“VIE” or “VIEs”). If an entity is identified as a VIE, we perform an assessment to determine whether we have both (i) the power to direct activities that most significantly impact the VIE’s economic performance and (ii) have the obligation to absorb losses from or the right to receive benefits of the VIE that could potentially be significant to the VIE. If both of these criteria are satisfied, we are identified as the primary beneficiary of the VIE. As of June 30, 2018, there were no entities in which we held a variable interest which we determined to be VIEs.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May 2014, the Financial Accounting Standards Board (“FASB”) issued Accounting Standards Update (“ASU”) No. 2014-09, “Revenue from Contracts with Customers,” which replaced numerous requirements in U.S. GAAP, including industry-specific requirements. This guidance provides a five step model to be applied to all contracts with customers, with an underlying principle that an entity will recognize revenue to depict the transfer of goods or services to customers at an amount that the entity expects to be entitled to in exchange for those goods or services.</w:t>
      </w:r>
    </w:p>
    <w:p>
      <w:pPr>
        <w:spacing w:after="0" w:line="17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We performed an impact assessment which consisted of a review of a representative sample of contracts, discussions with key stakeholders, and cataloging of potential impacts on our financial statements, accounting policies, financial controls, and operations. The guidance did not have a material impact on our revenue recognition practices for product and royalty revenues. The adoption only impacted two areas in our recognition methodology for milestone and contract revenues generated by our collaborative research and license agreements:</w:t>
      </w:r>
    </w:p>
    <w:p>
      <w:pPr>
        <w:spacing w:after="0" w:line="173" w:lineRule="exact"/>
        <w:rPr>
          <w:sz w:val="20"/>
          <w:szCs w:val="20"/>
          <w:color w:val="auto"/>
        </w:rPr>
      </w:pPr>
    </w:p>
    <w:p>
      <w:pPr>
        <w:jc w:val="both"/>
        <w:ind w:left="660" w:hanging="9"/>
        <w:spacing w:after="0" w:line="302" w:lineRule="auto"/>
        <w:tabs>
          <w:tab w:leader="none" w:pos="1478" w:val="left"/>
        </w:tabs>
        <w:numPr>
          <w:ilvl w:val="0"/>
          <w:numId w:val="24"/>
        </w:numPr>
        <w:rPr>
          <w:rFonts w:ascii="Arial" w:cs="Arial" w:eastAsia="Arial" w:hAnsi="Arial"/>
          <w:sz w:val="16"/>
          <w:szCs w:val="16"/>
          <w:color w:val="auto"/>
        </w:rPr>
      </w:pPr>
      <w:r>
        <w:rPr>
          <w:rFonts w:ascii="Arial" w:cs="Arial" w:eastAsia="Arial" w:hAnsi="Arial"/>
          <w:sz w:val="16"/>
          <w:szCs w:val="16"/>
          <w:color w:val="auto"/>
        </w:rPr>
        <w:t>Changes in the model for distinct licenses of functional intellectual property which may result in a timing difference of revenue recognition. Whereas revenue from these arrangements was previously recognized over a period of time pursuant to revenue recognition guidance that was in place for our arrangements at the time such arrangements commenced, revenue from new arrangements we enter into may now be recognized at a point in time.</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6" w:name="page57"/>
    <w:bookmarkEnd w:id="5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660" w:hanging="9"/>
        <w:spacing w:after="0" w:line="264" w:lineRule="auto"/>
        <w:tabs>
          <w:tab w:leader="none" w:pos="1528" w:val="left"/>
        </w:tabs>
        <w:numPr>
          <w:ilvl w:val="0"/>
          <w:numId w:val="25"/>
        </w:numPr>
        <w:rPr>
          <w:rFonts w:ascii="Arial" w:cs="Arial" w:eastAsia="Arial" w:hAnsi="Arial"/>
          <w:sz w:val="18"/>
          <w:szCs w:val="18"/>
          <w:color w:val="auto"/>
        </w:rPr>
      </w:pPr>
      <w:r>
        <w:rPr>
          <w:rFonts w:ascii="Arial" w:cs="Arial" w:eastAsia="Arial" w:hAnsi="Arial"/>
          <w:sz w:val="18"/>
          <w:szCs w:val="18"/>
          <w:color w:val="auto"/>
        </w:rPr>
        <w:t>Assessments of milestone payments linked to events that are in our control, may result in variable consideration that may be recognized at an earlier point in time, when it is probable that the milestone will be achieved without a significant future reversal of cumulative revenue expected.</w:t>
      </w:r>
    </w:p>
    <w:p>
      <w:pPr>
        <w:spacing w:after="0" w:line="18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adopted the new standard for the fiscal period beginning January 1, 2018, utilizing the “modified retrospective” adoption methodology on all contracts for which performance had not been completed as of the date of adoption, and applied the guidance to report new disclosures surrounding our recognition of revenues. There was no cumulative effect of adopting the standard at the date of initial application in retained earnings. We have implemented a controls process to identify and evaluate all revenue-generating contracts with third-party customers on an on-going basis and have provided enhanced disclosures within this Form 10-Q to provide greater detail on our revenue-generating activities, see Notes 3 and 9 to the Condensed Consolidated Financial Statements.</w:t>
      </w:r>
    </w:p>
    <w:p>
      <w:pPr>
        <w:spacing w:after="0" w:line="17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January 2016, the FASB issued ASU No. 2016-01, “Financial Instruments-Overall (Subtopic 825-10): Recognition and Measurement of Financial Assets and Financial Liabilities.” The standard requires several changes including that equity investments (except those accounted for under the equity method of accounting, or those that result in consolidation of the investee) be measured at fair value with changes in fair value recognized in results of operations. These provisions will not impact the accounting for our investments in corporate debt and U.S. government securities. The new guidance also changes certain disclosure requirements and other aspects of current U.S. GAAP. Amendments are to be applied as a cumulative-effect adjustment to the balance sheet as of the beginning of the fiscal year of adoption. The adoption of this standard resulted in a $2.8 million decrease in our accumulated deficit as of January 1, 2018 related to our investment in Calithera Biosciences, Inc.</w:t>
      </w:r>
    </w:p>
    <w:p>
      <w:pPr>
        <w:spacing w:after="0" w:line="19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February 2016, the FASB issued ASU No. 2016-02, “Leases,” that requires lessees to recognize assets and liabilities on the balance sheet for most leases including operating leases. Lessees will classify leases as either finance or operating leases and lessors classify all leases as sales-type, direct financing or operating leases. The statement of operations presentation and expense recognition for lessees for finance leases is similar to that of capital leases under Accounting Standards Codification (“ASC”) 840 with separate interest and amortization expense with higher periodic expense in the earlier periods of a lease. For operating leases, the statement of operations presentation and expense recognition is similar to that of operating leases under ASC 840 with single lease cost recognized on a straight-line basis. This guidance is to be applied using a modified retrospective approach at the beginning of the earliest comparative period presented in the financial statements and is effective for annual periods beginning after December 15, 2018 and interim periods therein. We are currently analyzing the impact of ASU No. 2016-02 and, at this time, are unable to determine the impact of the new standard, on our consolidated financial statements.</w:t>
      </w:r>
    </w:p>
    <w:p>
      <w:pPr>
        <w:spacing w:after="0" w:line="183"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In November 2016, the FASB issued ASU No. 2016-18, “Restricted Cash,” which requires entities to show the changes in total of cash, cash equivalents, restricted cash and restricted cash equivalents in the statement of cash flows. As a result, entities will no longer present transfers between cash and cash equivalents and restricted cash in the statement of cash flows. When cash, cash equivalents, restricted cash and restricted cash equivalents are presented in more than one line item on the balance sheet, the new guidance requires a reconciliation of the totals in the statement of cash flows to the related captions on the balance sheet. The reconciliation can be presented either on the face of the statement of cash flows or in the notes to the financial statements. We adopted the new standard for the period beginning January 1, 2018. Due to the retrospective adoption of the standard, the cash flows from financing activities for the year ended December 31, 2017 and interim periods therein, no longer present the transfer of restricted investments to cash and cash equivalents. The change in total cash, cash equivalents, restricted cash and investments is now presented in the consolidated statement of cash flows and reconciles to the related captions on the consolidated balance sheet.</w:t>
      </w:r>
    </w:p>
    <w:p>
      <w:pPr>
        <w:spacing w:after="0" w:line="17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January 2017, the FASB issued ASU No. 2017-04, “Intangibles–Goodwill and Other,” which eliminates the requirement to calculate the implied fair value of goodwill to measure a goodwill impairment charge. Under the new standard, entities will record an impairment charge based on the excess of a reporting unit’s carrying amount over its fair value. The new standard is effective for public business entities that are SEC filers for annual or any interim goodwill impairment tests in fiscal years beginning after December 15, 2019. Early adoption is permitted for interim or annual goodwill impairment tests performed on testing dates after January 1, 2017. The standard is to be applied on a prospective basis. We are currently analyzing the impact of ASU No. 2017-04 on our consolidated financial statements.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7" w:name="page58"/>
    <w:bookmarkEnd w:id="5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March 2017, the FASB issued ASU No. 2017-07, “Compensation–Retirement Benefits,” which requires the service cost component of net periodic benefit cost to be presented in the same income statement line as other employee compensation costs arising from services rendered during the period and the other components of net periodic benefit cost to be presented separately from the income statement lines that include service cost and outside of any subtotal of operating income. We adopted the new standard for the period beginning January 1, 2018, resulting in no change in presentation of the service cost component of net periodic benefit cost, which has historically been reported in research and development and selling, general and administrative expenses along with other employee compensation costs. The retrospective adoption resulted in a change in presentation of the other components of net periodic benefit cost for the year ended December 31, 2017, and interim periods therein, which reclassed these costs out of operating income and into other income (expense), net on the consolidated statements of operations. The components of net periodic benefit cost are presented separately within our employee benefit plans footnote.</w:t>
      </w:r>
    </w:p>
    <w:p>
      <w:pPr>
        <w:spacing w:after="0" w:line="18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December 2017, the SEC issued Staff Accounting Bulletin No. 118 (“SAB 118”) to address the application of U.S. GAAP in situations when a registrant does not have the necessary information available, prepared, or analyzed (including computations) in reasonable detail to complete the accounting for certain income tax effects of the Tax Cuts and Jobs Act of 2017 (the “Act”). In accordance with SAB 118, we recorded provisional tax impacts related to the revaluation of deferred tax assets and liabilities as well as the temporary full expensing of certain business assets in our consolidated financial statements for the year ended December 31, 2017. We continue to monitor and analyze further issued guidance, however no additional tax effects of the Act were required to be recorded for the three and six months ended June 30, 2018. The financial statement impact is expected to be complete when the 2017 U.S. corporate income tax return is filed in 2018.</w:t>
      </w:r>
    </w:p>
    <w:p>
      <w:pPr>
        <w:spacing w:after="0" w:line="19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January 2018, the FASB released guidance on the accounting for tax on the global intangible low-taxed income ("GILTI") provisions of the Act. The GILTI provisions impose a tax on foreign income in excess of a deemed return on tangible assets of foreign corporations. The guidance indicates that either accounting for deferred taxes related to GILTI inclusions or to treat any taxes on GILTI inclusions as period cost are both acceptable methods subject to an accounting policy election. Effective the first quarter of 2018, we have elected to treat any potential GILTI inclusions as a period charge in the future period in which it is incurred. We have determined there to be no impact associated with GILTI on our condensed consolidated financial statements as of and for the three and six months ended June 30, 2018.</w:t>
      </w:r>
    </w:p>
    <w:p>
      <w:pPr>
        <w:spacing w:after="0" w:line="16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In February 2018, the FASB issued ASU No. 2018-02, “Income Statement – Reporting Comprehensive Income,” which allows reclassification of certain tax effects created as a result of changing methodologies, laws and tax rates legislated in the Act. This new standard allows for stranded income tax effects resulting from the Act to be reclassified into retained earnings to allow for their tax effect to reflect the appropriate tax rate. Due to the full valuation allowance on our U.S. net deferred tax assets, a reclassification of stranded tax effects to retained earnings was not required.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recorded net income of $52.4 million and basic net income per share of $0.25 and diluted net income per share of $0.24 for the three months ended June 30, 2018, as compared to net loss of $12.5 million and basic and diluted net loss per share of $0.06 in the corresponding period in 2017. We recorded net income of $11.3 million and basic and diluted net income per share of $0.05 for the six months ended June 30, 2018, as compared to net loss of $199.6 million and basic and diluted net loss per share of $1.00 in the corresponding period in 2017.</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8" w:name="page59"/>
    <w:bookmarkEnd w:id="5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0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3"/>
              </w:rPr>
              <w:t>For the Three Months Ended,</w:t>
            </w:r>
          </w:p>
        </w:tc>
        <w:tc>
          <w:tcPr>
            <w:tcW w:w="220" w:type="dxa"/>
            <w:vAlign w:val="bottom"/>
          </w:tcPr>
          <w:p>
            <w:pPr>
              <w:spacing w:after="0"/>
              <w:rPr>
                <w:sz w:val="14"/>
                <w:szCs w:val="14"/>
                <w:color w:val="auto"/>
              </w:rPr>
            </w:pPr>
          </w:p>
        </w:tc>
        <w:tc>
          <w:tcPr>
            <w:tcW w:w="228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3"/>
              </w:rPr>
              <w:t>For the Six Months Ended,</w:t>
            </w:r>
          </w:p>
        </w:tc>
      </w:tr>
      <w:tr>
        <w:trPr>
          <w:trHeight w:val="171"/>
        </w:trPr>
        <w:tc>
          <w:tcPr>
            <w:tcW w:w="3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center"/>
              <w:ind w:left="476"/>
              <w:spacing w:after="0"/>
              <w:rPr>
                <w:sz w:val="20"/>
                <w:szCs w:val="20"/>
                <w:color w:val="auto"/>
              </w:rPr>
            </w:pPr>
            <w:r>
              <w:rPr>
                <w:rFonts w:ascii="Arial" w:cs="Arial" w:eastAsia="Arial" w:hAnsi="Arial"/>
                <w:sz w:val="14"/>
                <w:szCs w:val="14"/>
                <w:b w:val="1"/>
                <w:bCs w:val="1"/>
                <w:color w:val="auto"/>
                <w:w w:val="89"/>
              </w:rPr>
              <w:t>June 30,</w:t>
            </w:r>
          </w:p>
        </w:tc>
        <w:tc>
          <w:tcPr>
            <w:tcW w:w="7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center"/>
              <w:ind w:left="436"/>
              <w:spacing w:after="0"/>
              <w:rPr>
                <w:sz w:val="20"/>
                <w:szCs w:val="20"/>
                <w:color w:val="auto"/>
              </w:rPr>
            </w:pPr>
            <w:r>
              <w:rPr>
                <w:rFonts w:ascii="Arial" w:cs="Arial" w:eastAsia="Arial" w:hAnsi="Arial"/>
                <w:sz w:val="14"/>
                <w:szCs w:val="14"/>
                <w:b w:val="1"/>
                <w:bCs w:val="1"/>
                <w:color w:val="auto"/>
                <w:w w:val="89"/>
              </w:rPr>
              <w:t>June 30,</w:t>
            </w:r>
          </w:p>
        </w:tc>
        <w:tc>
          <w:tcPr>
            <w:tcW w:w="7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42"/>
        </w:trPr>
        <w:tc>
          <w:tcPr>
            <w:tcW w:w="3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96"/>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12"/>
              <w:spacing w:after="0" w:line="142" w:lineRule="exact"/>
              <w:rPr>
                <w:sz w:val="20"/>
                <w:szCs w:val="20"/>
                <w:color w:val="auto"/>
              </w:rPr>
            </w:pPr>
            <w:r>
              <w:rPr>
                <w:rFonts w:ascii="Arial" w:cs="Arial" w:eastAsia="Arial" w:hAnsi="Arial"/>
                <w:sz w:val="14"/>
                <w:szCs w:val="14"/>
                <w:b w:val="1"/>
                <w:bCs w:val="1"/>
                <w:color w:val="auto"/>
                <w:w w:val="96"/>
              </w:rPr>
              <w:t>2017</w:t>
            </w:r>
          </w:p>
        </w:tc>
        <w:tc>
          <w:tcPr>
            <w:tcW w:w="1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96"/>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2"/>
                <w:szCs w:val="12"/>
                <w:color w:val="auto"/>
              </w:rPr>
            </w:pPr>
          </w:p>
        </w:tc>
      </w:tr>
      <w:tr>
        <w:trPr>
          <w:trHeight w:val="142"/>
        </w:trPr>
        <w:tc>
          <w:tcPr>
            <w:tcW w:w="3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3"/>
          </w:tcPr>
          <w:p>
            <w:pPr>
              <w:jc w:val="center"/>
              <w:ind w:left="476"/>
              <w:spacing w:after="0" w:line="142" w:lineRule="exact"/>
              <w:rPr>
                <w:sz w:val="20"/>
                <w:szCs w:val="20"/>
                <w:color w:val="auto"/>
              </w:rPr>
            </w:pPr>
            <w:r>
              <w:rPr>
                <w:rFonts w:ascii="Arial" w:cs="Arial" w:eastAsia="Arial" w:hAnsi="Arial"/>
                <w:sz w:val="14"/>
                <w:szCs w:val="14"/>
                <w:b w:val="1"/>
                <w:bCs w:val="1"/>
                <w:color w:val="auto"/>
                <w:w w:val="94"/>
              </w:rPr>
              <w:t>(in millions)</w:t>
            </w: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gridSpan w:val="3"/>
          </w:tcPr>
          <w:p>
            <w:pPr>
              <w:jc w:val="center"/>
              <w:ind w:left="436"/>
              <w:spacing w:after="0" w:line="142" w:lineRule="exact"/>
              <w:rPr>
                <w:sz w:val="20"/>
                <w:szCs w:val="20"/>
                <w:color w:val="auto"/>
              </w:rPr>
            </w:pPr>
            <w:r>
              <w:rPr>
                <w:rFonts w:ascii="Arial" w:cs="Arial" w:eastAsia="Arial" w:hAnsi="Arial"/>
                <w:sz w:val="14"/>
                <w:szCs w:val="14"/>
                <w:b w:val="1"/>
                <w:bCs w:val="1"/>
                <w:color w:val="auto"/>
                <w:w w:val="94"/>
              </w:rPr>
              <w:t>(in millions)</w:t>
            </w: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JAKAFI revenues, net</w:t>
            </w:r>
          </w:p>
        </w:tc>
        <w:tc>
          <w:tcPr>
            <w:tcW w:w="82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345.6</w:t>
            </w:r>
          </w:p>
        </w:tc>
        <w:tc>
          <w:tcPr>
            <w:tcW w:w="52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276.0</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659.3</w:t>
            </w:r>
          </w:p>
        </w:tc>
        <w:tc>
          <w:tcPr>
            <w:tcW w:w="52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527.1</w:t>
            </w:r>
          </w:p>
        </w:tc>
        <w:tc>
          <w:tcPr>
            <w:tcW w:w="180" w:type="dxa"/>
            <w:vAlign w:val="bottom"/>
            <w:shd w:val="clear" w:color="auto" w:fill="CCEEFF"/>
          </w:tcPr>
          <w:p>
            <w:pPr>
              <w:spacing w:after="0"/>
              <w:rPr>
                <w:sz w:val="18"/>
                <w:szCs w:val="18"/>
                <w:color w:val="auto"/>
              </w:rPr>
            </w:pPr>
          </w:p>
        </w:tc>
      </w:tr>
      <w:tr>
        <w:trPr>
          <w:trHeight w:val="216"/>
        </w:trPr>
        <w:tc>
          <w:tcPr>
            <w:tcW w:w="3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ICLUSIG revenues, net</w:t>
            </w:r>
          </w:p>
        </w:tc>
        <w:tc>
          <w:tcPr>
            <w:tcW w:w="6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w:t>
            </w:r>
          </w:p>
        </w:tc>
        <w:tc>
          <w:tcPr>
            <w:tcW w:w="1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w:t>
            </w:r>
          </w:p>
        </w:tc>
        <w:tc>
          <w:tcPr>
            <w:tcW w:w="1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w:t>
            </w:r>
          </w:p>
        </w:tc>
        <w:tc>
          <w:tcPr>
            <w:tcW w:w="180" w:type="dxa"/>
            <w:vAlign w:val="bottom"/>
            <w:tcBorders>
              <w:bottom w:val="single" w:sz="8" w:color="CCEEFF"/>
            </w:tcBorders>
          </w:tcPr>
          <w:p>
            <w:pPr>
              <w:spacing w:after="0"/>
              <w:rPr>
                <w:sz w:val="18"/>
                <w:szCs w:val="18"/>
                <w:color w:val="auto"/>
              </w:rPr>
            </w:pPr>
          </w:p>
        </w:tc>
      </w:tr>
      <w:tr>
        <w:trPr>
          <w:trHeight w:val="210"/>
        </w:trPr>
        <w:tc>
          <w:tcPr>
            <w:tcW w:w="3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product revenues, net</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365.5</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291.7</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556.5</w:t>
            </w:r>
          </w:p>
        </w:tc>
        <w:tc>
          <w:tcPr>
            <w:tcW w:w="180" w:type="dxa"/>
            <w:vAlign w:val="bottom"/>
            <w:shd w:val="clear" w:color="auto" w:fill="CCEEFF"/>
          </w:tcPr>
          <w:p>
            <w:pPr>
              <w:spacing w:after="0"/>
              <w:rPr>
                <w:sz w:val="18"/>
                <w:szCs w:val="18"/>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JAKAVI product royalty revenues</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47.1</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33.9</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88.4</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62.7</w:t>
            </w:r>
          </w:p>
        </w:tc>
        <w:tc>
          <w:tcPr>
            <w:tcW w:w="180" w:type="dxa"/>
            <w:vAlign w:val="bottom"/>
          </w:tcPr>
          <w:p>
            <w:pPr>
              <w:spacing w:after="0"/>
              <w:rPr>
                <w:sz w:val="18"/>
                <w:szCs w:val="18"/>
                <w:color w:val="auto"/>
              </w:rPr>
            </w:pP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OLUMIANT product royalty revenues</w:t>
            </w:r>
          </w:p>
        </w:tc>
        <w:tc>
          <w:tcPr>
            <w:tcW w:w="6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6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6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CEEFF"/>
          </w:tcPr>
          <w:p>
            <w:pPr>
              <w:spacing w:after="0"/>
              <w:rPr>
                <w:sz w:val="18"/>
                <w:szCs w:val="18"/>
                <w:color w:val="auto"/>
              </w:rPr>
            </w:pPr>
          </w:p>
        </w:tc>
      </w:tr>
      <w:tr>
        <w:trPr>
          <w:trHeight w:val="210"/>
        </w:trPr>
        <w:tc>
          <w:tcPr>
            <w:tcW w:w="3440" w:type="dxa"/>
            <w:vAlign w:val="bottom"/>
          </w:tcPr>
          <w:p>
            <w:pPr>
              <w:ind w:left="120"/>
              <w:spacing w:after="0"/>
              <w:rPr>
                <w:sz w:val="20"/>
                <w:szCs w:val="20"/>
                <w:color w:val="auto"/>
              </w:rPr>
            </w:pPr>
            <w:r>
              <w:rPr>
                <w:rFonts w:ascii="Arial" w:cs="Arial" w:eastAsia="Arial" w:hAnsi="Arial"/>
                <w:sz w:val="18"/>
                <w:szCs w:val="18"/>
                <w:color w:val="auto"/>
              </w:rPr>
              <w:t>Total product royalty revenues</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56.0</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34.8</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103.7</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64.0</w:t>
            </w:r>
          </w:p>
        </w:tc>
        <w:tc>
          <w:tcPr>
            <w:tcW w:w="180" w:type="dxa"/>
            <w:vAlign w:val="bottom"/>
          </w:tcPr>
          <w:p>
            <w:pPr>
              <w:spacing w:after="0"/>
              <w:rPr>
                <w:sz w:val="18"/>
                <w:szCs w:val="18"/>
                <w:color w:val="auto"/>
              </w:rPr>
            </w:pP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Milestone revenues</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180" w:type="dxa"/>
            <w:vAlign w:val="bottom"/>
            <w:shd w:val="clear" w:color="auto" w:fill="CCEEFF"/>
          </w:tcPr>
          <w:p>
            <w:pPr>
              <w:spacing w:after="0"/>
              <w:rPr>
                <w:sz w:val="18"/>
                <w:szCs w:val="18"/>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Other revenues</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0.1</w:t>
            </w:r>
          </w:p>
        </w:tc>
        <w:tc>
          <w:tcPr>
            <w:tcW w:w="180" w:type="dxa"/>
            <w:vAlign w:val="bottom"/>
          </w:tcPr>
          <w:p>
            <w:pPr>
              <w:spacing w:after="0"/>
              <w:rPr>
                <w:sz w:val="18"/>
                <w:szCs w:val="18"/>
                <w:color w:val="auto"/>
              </w:rPr>
            </w:pPr>
          </w:p>
        </w:tc>
      </w:tr>
      <w:tr>
        <w:trPr>
          <w:trHeight w:val="217"/>
        </w:trPr>
        <w:tc>
          <w:tcPr>
            <w:tcW w:w="344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revenues</w:t>
            </w:r>
          </w:p>
        </w:tc>
        <w:tc>
          <w:tcPr>
            <w:tcW w:w="6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903.8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710.6</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r>
    </w:tbl>
    <w:p>
      <w:pPr>
        <w:spacing w:after="0" w:line="16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increase in JAKAFI product revenues for the three months ended June 30, 2018 as compared to the corresponding period in 2017 was comprised of a volume increase of $52.3 million and a price increase of $17.3 million. The increase in JAKAFI product revenues for the six months ended June 30, 2018 as compared to the corresponding period in 2017 was comprised of a volume increase of $83.5 million and a price increase of $48.7 million. Product revenues are recorded net of estimated product returns, pricing discounts including rebates offered pursuant to mandatory federal and state government programs and chargebacks, prompt pay discounts and distribution fees and co-pay assistance. Our revenue recognition policies require estimates of the aforementioned sales allowances each period.</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a summary of activity with respect to our sales allowances and accruals: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40" w:type="dxa"/>
            <w:vAlign w:val="bottom"/>
          </w:tcPr>
          <w:p>
            <w:pPr>
              <w:spacing w:after="0"/>
              <w:rPr>
                <w:sz w:val="14"/>
                <w:szCs w:val="14"/>
                <w:color w:val="auto"/>
              </w:rPr>
            </w:pPr>
          </w:p>
        </w:tc>
        <w:tc>
          <w:tcPr>
            <w:tcW w:w="1160" w:type="dxa"/>
            <w:vAlign w:val="bottom"/>
            <w:gridSpan w:val="4"/>
            <w:vMerge w:val="restart"/>
          </w:tcPr>
          <w:p>
            <w:pPr>
              <w:ind w:left="140"/>
              <w:spacing w:after="0"/>
              <w:rPr>
                <w:sz w:val="20"/>
                <w:szCs w:val="20"/>
                <w:color w:val="auto"/>
              </w:rPr>
            </w:pPr>
            <w:r>
              <w:rPr>
                <w:rFonts w:ascii="Arial" w:cs="Arial" w:eastAsia="Arial" w:hAnsi="Arial"/>
                <w:sz w:val="14"/>
                <w:szCs w:val="14"/>
                <w:b w:val="1"/>
                <w:bCs w:val="1"/>
                <w:color w:val="auto"/>
              </w:rPr>
              <w:t>Discounts and</w:t>
            </w:r>
          </w:p>
        </w:tc>
        <w:tc>
          <w:tcPr>
            <w:tcW w:w="9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Government</w:t>
            </w:r>
          </w:p>
        </w:tc>
        <w:tc>
          <w:tcPr>
            <w:tcW w:w="10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4"/>
                <w:szCs w:val="14"/>
                <w:b w:val="1"/>
                <w:bCs w:val="1"/>
                <w:color w:val="auto"/>
              </w:rPr>
              <w:t>Co-Pay</w:t>
            </w: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640" w:type="dxa"/>
            <w:vAlign w:val="bottom"/>
          </w:tcPr>
          <w:p>
            <w:pPr>
              <w:spacing w:after="0"/>
              <w:rPr>
                <w:sz w:val="12"/>
                <w:szCs w:val="12"/>
                <w:color w:val="auto"/>
              </w:rPr>
            </w:pPr>
          </w:p>
        </w:tc>
        <w:tc>
          <w:tcPr>
            <w:tcW w:w="1160" w:type="dxa"/>
            <w:vAlign w:val="bottom"/>
            <w:gridSpan w:val="4"/>
            <w:vMerge w:val="continue"/>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7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4"/>
              </w:rPr>
              <w:t>Assistance</w:t>
            </w:r>
          </w:p>
        </w:tc>
        <w:tc>
          <w:tcPr>
            <w:tcW w:w="60" w:type="dxa"/>
            <w:vAlign w:val="bottom"/>
          </w:tcPr>
          <w:p>
            <w:pPr>
              <w:spacing w:after="0"/>
              <w:rPr>
                <w:sz w:val="12"/>
                <w:szCs w:val="12"/>
                <w:color w:val="auto"/>
              </w:rPr>
            </w:pPr>
          </w:p>
        </w:tc>
        <w:tc>
          <w:tcPr>
            <w:tcW w:w="7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Product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40" w:type="dxa"/>
            <w:vAlign w:val="bottom"/>
            <w:vMerge w:val="restart"/>
          </w:tcPr>
          <w:p>
            <w:pPr>
              <w:spacing w:after="0"/>
              <w:rPr>
                <w:sz w:val="20"/>
                <w:szCs w:val="20"/>
                <w:color w:val="auto"/>
              </w:rPr>
            </w:pPr>
            <w:r>
              <w:rPr>
                <w:rFonts w:ascii="Arial" w:cs="Arial" w:eastAsia="Arial" w:hAnsi="Arial"/>
                <w:sz w:val="14"/>
                <w:szCs w:val="14"/>
                <w:b w:val="1"/>
                <w:bCs w:val="1"/>
                <w:color w:val="auto"/>
              </w:rPr>
              <w:t>Six Months Ended June 30, 2018</w:t>
            </w:r>
          </w:p>
        </w:tc>
        <w:tc>
          <w:tcPr>
            <w:tcW w:w="140" w:type="dxa"/>
            <w:vAlign w:val="bottom"/>
          </w:tcPr>
          <w:p>
            <w:pPr>
              <w:spacing w:after="0"/>
              <w:rPr>
                <w:sz w:val="12"/>
                <w:szCs w:val="12"/>
                <w:color w:val="auto"/>
              </w:rPr>
            </w:pPr>
          </w:p>
        </w:tc>
        <w:tc>
          <w:tcPr>
            <w:tcW w:w="102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Distribution</w:t>
            </w:r>
          </w:p>
        </w:tc>
        <w:tc>
          <w:tcPr>
            <w:tcW w:w="9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Rebates and</w:t>
            </w:r>
          </w:p>
        </w:tc>
        <w:tc>
          <w:tcPr>
            <w:tcW w:w="7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and Other</w:t>
            </w:r>
          </w:p>
        </w:tc>
        <w:tc>
          <w:tcPr>
            <w:tcW w:w="6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6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Fees</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Chargebacks</w:t>
            </w:r>
          </w:p>
        </w:tc>
        <w:tc>
          <w:tcPr>
            <w:tcW w:w="720" w:type="dxa"/>
            <w:vAlign w:val="bottom"/>
            <w:gridSpan w:val="3"/>
          </w:tcPr>
          <w:p>
            <w:pPr>
              <w:ind w:left="20"/>
              <w:spacing w:after="0"/>
              <w:rPr>
                <w:sz w:val="20"/>
                <w:szCs w:val="20"/>
                <w:color w:val="auto"/>
              </w:rPr>
            </w:pPr>
            <w:r>
              <w:rPr>
                <w:rFonts w:ascii="Arial" w:cs="Arial" w:eastAsia="Arial" w:hAnsi="Arial"/>
                <w:sz w:val="14"/>
                <w:szCs w:val="14"/>
                <w:b w:val="1"/>
                <w:bCs w:val="1"/>
                <w:color w:val="auto"/>
              </w:rPr>
              <w:t>Discounts</w:t>
            </w:r>
          </w:p>
        </w:tc>
        <w:tc>
          <w:tcPr>
            <w:tcW w:w="60" w:type="dxa"/>
            <w:vAlign w:val="bottom"/>
          </w:tcPr>
          <w:p>
            <w:pPr>
              <w:spacing w:after="0"/>
              <w:rPr>
                <w:sz w:val="14"/>
                <w:szCs w:val="14"/>
                <w:color w:val="auto"/>
              </w:rPr>
            </w:pPr>
          </w:p>
        </w:tc>
        <w:tc>
          <w:tcPr>
            <w:tcW w:w="700" w:type="dxa"/>
            <w:vAlign w:val="bottom"/>
            <w:gridSpan w:val="2"/>
          </w:tcPr>
          <w:p>
            <w:pPr>
              <w:ind w:left="40"/>
              <w:spacing w:after="0"/>
              <w:rPr>
                <w:sz w:val="20"/>
                <w:szCs w:val="20"/>
                <w:color w:val="auto"/>
              </w:rPr>
            </w:pPr>
            <w:r>
              <w:rPr>
                <w:rFonts w:ascii="Arial" w:cs="Arial" w:eastAsia="Arial" w:hAnsi="Arial"/>
                <w:sz w:val="14"/>
                <w:szCs w:val="14"/>
                <w:b w:val="1"/>
                <w:bCs w:val="1"/>
                <w:color w:val="auto"/>
              </w:rPr>
              <w:t>Returns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at January 1, 2018</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4,080</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30,938</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$1,692</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37,048</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220"/>
              <w:spacing w:after="0"/>
              <w:rPr>
                <w:sz w:val="20"/>
                <w:szCs w:val="20"/>
                <w:color w:val="auto"/>
              </w:rPr>
            </w:pPr>
            <w:r>
              <w:rPr>
                <w:rFonts w:ascii="Arial" w:cs="Arial" w:eastAsia="Arial" w:hAnsi="Arial"/>
                <w:sz w:val="18"/>
                <w:szCs w:val="18"/>
                <w:color w:val="auto"/>
              </w:rPr>
              <w:t>Allowances for current period sales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19,728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95,771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4,113</w:t>
            </w:r>
          </w:p>
        </w:tc>
        <w:tc>
          <w:tcPr>
            <w:tcW w:w="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512</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9"/>
              </w:rPr>
              <w:t>120,124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Allowances for prior period sales</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220"/>
              <w:spacing w:after="0"/>
              <w:rPr>
                <w:sz w:val="20"/>
                <w:szCs w:val="20"/>
                <w:color w:val="auto"/>
              </w:rPr>
            </w:pPr>
            <w:r>
              <w:rPr>
                <w:rFonts w:ascii="Arial" w:cs="Arial" w:eastAsia="Arial" w:hAnsi="Arial"/>
                <w:sz w:val="18"/>
                <w:szCs w:val="18"/>
                <w:color w:val="auto"/>
              </w:rPr>
              <w:t>Credits/payments for current period sales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(16,731)</w:t>
            </w:r>
          </w:p>
        </w:tc>
        <w:tc>
          <w:tcPr>
            <w:tcW w:w="14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(52,463)</w:t>
            </w:r>
          </w:p>
        </w:tc>
        <w:tc>
          <w:tcPr>
            <w:tcW w:w="10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w w:val="91"/>
              </w:rPr>
              <w:t>(3,624)</w:t>
            </w:r>
          </w:p>
        </w:tc>
        <w:tc>
          <w:tcPr>
            <w:tcW w:w="760" w:type="dxa"/>
            <w:vAlign w:val="bottom"/>
            <w:gridSpan w:val="3"/>
          </w:tcPr>
          <w:p>
            <w:pPr>
              <w:jc w:val="right"/>
              <w:ind w:right="140"/>
              <w:spacing w:after="0"/>
              <w:rPr>
                <w:sz w:val="20"/>
                <w:szCs w:val="20"/>
                <w:color w:val="auto"/>
              </w:rPr>
            </w:pPr>
            <w:r>
              <w:rPr>
                <w:rFonts w:ascii="Arial" w:cs="Arial" w:eastAsia="Arial" w:hAnsi="Arial"/>
                <w:sz w:val="18"/>
                <w:szCs w:val="18"/>
                <w:color w:val="auto"/>
              </w:rPr>
              <w:t>(68)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(72,886)</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Credits/payments for prior period sales</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(2,590)</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(36,628)</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(378)</w:t>
            </w:r>
          </w:p>
        </w:tc>
        <w:tc>
          <w:tcPr>
            <w:tcW w:w="7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(436)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(40,032)</w:t>
            </w:r>
          </w:p>
        </w:tc>
        <w:tc>
          <w:tcPr>
            <w:tcW w:w="0" w:type="dxa"/>
            <w:vAlign w:val="bottom"/>
          </w:tcPr>
          <w:p>
            <w:pPr>
              <w:spacing w:after="0"/>
              <w:rPr>
                <w:sz w:val="1"/>
                <w:szCs w:val="1"/>
                <w:color w:val="auto"/>
              </w:rPr>
            </w:pPr>
          </w:p>
        </w:tc>
      </w:tr>
      <w:tr>
        <w:trPr>
          <w:trHeight w:val="217"/>
        </w:trPr>
        <w:tc>
          <w:tcPr>
            <w:tcW w:w="4640" w:type="dxa"/>
            <w:vAlign w:val="bottom"/>
          </w:tcPr>
          <w:p>
            <w:pPr>
              <w:spacing w:after="0"/>
              <w:rPr>
                <w:sz w:val="20"/>
                <w:szCs w:val="20"/>
                <w:color w:val="auto"/>
              </w:rPr>
            </w:pPr>
            <w:r>
              <w:rPr>
                <w:rFonts w:ascii="Arial" w:cs="Arial" w:eastAsia="Arial" w:hAnsi="Arial"/>
                <w:sz w:val="18"/>
                <w:szCs w:val="18"/>
                <w:color w:val="auto"/>
              </w:rPr>
              <w:t>Balance at June 30, 2018</w:t>
            </w:r>
          </w:p>
        </w:tc>
        <w:tc>
          <w:tcPr>
            <w:tcW w:w="14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4,520</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38,600</w:t>
            </w: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455</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1,865</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45,440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Government rebates and chargebacks are the most significant component of our sales allowances. Increases in certain government reimbursement rates are limited to a measure of inflation, and when the price of a drug increases faster than this measure of inflation it will result in a penalty adjustment factor that causes a larger sales allowance to those government related entities. We expect government rebates and chargebacks as a percentage of our gross product sales will continue to increase in connection with any future JAKAFI price increases greater than the rate of inflation, and any such increase in these government rebates and chargebacks will have a negative impact on our reported product revenues, net. We adjust our estimates for government rebates and chargebacks based on new information regarding actual rebates as it becomes available. Claims by third-party payors for rebates and chargebacks are frequently submitted after the period in which the related sales occurred, which may result in adjustments to prior period accrual balances in the period in which the new information becomes available. We also adjust our allowance for product returns based on new information regarding actual returns as it becomes available.</w:t>
      </w:r>
    </w:p>
    <w:p>
      <w:pPr>
        <w:spacing w:after="0" w:line="18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expect our sales allowances to fluctuate from quarter to quarter as a result of the Medicare Part D Coverage Gap, the volume of purchases eligible for government mandated discounts and rebates as well as changes in discount percentages which are impacted by potential future price increases, rate of inflation, and other factors.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9" w:name="page60"/>
    <w:bookmarkEnd w:id="5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Product royalty revenues on commercial sales of JAKAVI by Novartis are based on net sales of licensed products in licensed territories as provided by Novartis. Product royalty revenues on commercial sales of OLUMIANT by Lilly are based on net sales of licensed products in licensed territories as provided by Lilly.</w:t>
      </w:r>
    </w:p>
    <w:p>
      <w:pPr>
        <w:spacing w:after="0" w:line="18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Our milestone revenues are earned from our collaborative partners. During the six months ended June 30, 2018, under the Lilly agreement, we recognized a $100.0 million regulatory milestone payment for the approval of the 2mg dose of OLUMIANT for the treatment of moderately-to-severely active rheumatoid arthritis in adult patients by the FDA. During the six months ended June 30, 2017, under the Lilly agreement, we recognized a $65.0 million regulatory milestone payment for the approval of baricitinib for the treatment of moderate-to-severe rheumatoid arthritis in adult patients by the European Commission and under the Novartis agreement, we recognized a $25.0 million development milestone payment based on the formal initiation by Novartis of a Phase III clinical trial evaluating ruxolitinib in the GVHD field.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Product Revenues.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300" w:type="dxa"/>
            <w:vAlign w:val="bottom"/>
            <w:gridSpan w:val="5"/>
          </w:tcPr>
          <w:p>
            <w:pPr>
              <w:jc w:val="center"/>
              <w:spacing w:after="0"/>
              <w:rPr>
                <w:sz w:val="20"/>
                <w:szCs w:val="20"/>
                <w:color w:val="auto"/>
              </w:rPr>
            </w:pPr>
            <w:r>
              <w:rPr>
                <w:rFonts w:ascii="Arial" w:cs="Arial" w:eastAsia="Arial" w:hAnsi="Arial"/>
                <w:sz w:val="14"/>
                <w:szCs w:val="14"/>
                <w:b w:val="1"/>
                <w:bCs w:val="1"/>
                <w:color w:val="auto"/>
                <w:w w:val="93"/>
              </w:rPr>
              <w:t>For the Three Months Ended,</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80" w:type="dxa"/>
            <w:vAlign w:val="bottom"/>
            <w:gridSpan w:val="6"/>
          </w:tcPr>
          <w:p>
            <w:pPr>
              <w:jc w:val="center"/>
              <w:ind w:right="380"/>
              <w:spacing w:after="0"/>
              <w:rPr>
                <w:sz w:val="20"/>
                <w:szCs w:val="20"/>
                <w:color w:val="auto"/>
              </w:rPr>
            </w:pPr>
            <w:r>
              <w:rPr>
                <w:rFonts w:ascii="Arial" w:cs="Arial" w:eastAsia="Arial" w:hAnsi="Arial"/>
                <w:sz w:val="14"/>
                <w:szCs w:val="14"/>
                <w:b w:val="1"/>
                <w:bCs w:val="1"/>
                <w:color w:val="auto"/>
                <w:w w:val="93"/>
              </w:rPr>
              <w:t>For the Six Months Ended,</w:t>
            </w:r>
          </w:p>
        </w:tc>
      </w:tr>
      <w:tr>
        <w:trPr>
          <w:trHeight w:val="171"/>
        </w:trPr>
        <w:tc>
          <w:tcPr>
            <w:tcW w:w="3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9"/>
              </w:rPr>
              <w:t>June 30,</w:t>
            </w:r>
          </w:p>
        </w:tc>
        <w:tc>
          <w:tcPr>
            <w:tcW w:w="7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center"/>
              <w:ind w:left="439"/>
              <w:spacing w:after="0"/>
              <w:rPr>
                <w:sz w:val="20"/>
                <w:szCs w:val="20"/>
                <w:color w:val="auto"/>
              </w:rPr>
            </w:pPr>
            <w:r>
              <w:rPr>
                <w:rFonts w:ascii="Arial" w:cs="Arial" w:eastAsia="Arial" w:hAnsi="Arial"/>
                <w:sz w:val="14"/>
                <w:szCs w:val="14"/>
                <w:b w:val="1"/>
                <w:bCs w:val="1"/>
                <w:color w:val="auto"/>
                <w:w w:val="89"/>
              </w:rPr>
              <w:t>June 30,</w:t>
            </w:r>
          </w:p>
        </w:tc>
        <w:tc>
          <w:tcPr>
            <w:tcW w:w="7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42"/>
        </w:trPr>
        <w:tc>
          <w:tcPr>
            <w:tcW w:w="3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3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14"/>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99"/>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2"/>
                <w:szCs w:val="12"/>
                <w:color w:val="auto"/>
              </w:rPr>
            </w:pPr>
          </w:p>
        </w:tc>
      </w:tr>
      <w:tr>
        <w:trPr>
          <w:trHeight w:val="142"/>
        </w:trPr>
        <w:tc>
          <w:tcPr>
            <w:tcW w:w="3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gridSpan w:val="3"/>
          </w:tcPr>
          <w:p>
            <w:pPr>
              <w:jc w:val="center"/>
              <w:spacing w:after="0" w:line="142" w:lineRule="exact"/>
              <w:rPr>
                <w:sz w:val="20"/>
                <w:szCs w:val="20"/>
                <w:color w:val="auto"/>
              </w:rPr>
            </w:pPr>
            <w:r>
              <w:rPr>
                <w:rFonts w:ascii="Arial" w:cs="Arial" w:eastAsia="Arial" w:hAnsi="Arial"/>
                <w:sz w:val="14"/>
                <w:szCs w:val="14"/>
                <w:b w:val="1"/>
                <w:bCs w:val="1"/>
                <w:color w:val="auto"/>
                <w:w w:val="94"/>
              </w:rPr>
              <w:t>(in millions)</w:t>
            </w: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gridSpan w:val="4"/>
          </w:tcPr>
          <w:p>
            <w:pPr>
              <w:jc w:val="center"/>
              <w:ind w:left="439"/>
              <w:spacing w:after="0" w:line="142" w:lineRule="exact"/>
              <w:rPr>
                <w:sz w:val="20"/>
                <w:szCs w:val="20"/>
                <w:color w:val="auto"/>
              </w:rPr>
            </w:pPr>
            <w:r>
              <w:rPr>
                <w:rFonts w:ascii="Arial" w:cs="Arial" w:eastAsia="Arial" w:hAnsi="Arial"/>
                <w:sz w:val="14"/>
                <w:szCs w:val="14"/>
                <w:b w:val="1"/>
                <w:bCs w:val="1"/>
                <w:color w:val="auto"/>
                <w:w w:val="94"/>
              </w:rPr>
              <w:t>(in millions)</w:t>
            </w: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Product costs</w:t>
            </w:r>
          </w:p>
        </w:tc>
        <w:tc>
          <w:tcPr>
            <w:tcW w:w="1040" w:type="dxa"/>
            <w:vAlign w:val="bottom"/>
            <w:gridSpan w:val="2"/>
            <w:shd w:val="clear" w:color="auto" w:fill="CCEEFF"/>
          </w:tcPr>
          <w:p>
            <w:pPr>
              <w:jc w:val="right"/>
              <w:ind w:right="527"/>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50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3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80" w:type="dxa"/>
            <w:vAlign w:val="bottom"/>
            <w:shd w:val="clear" w:color="auto" w:fill="CCEEFF"/>
          </w:tcPr>
          <w:p>
            <w:pPr>
              <w:spacing w:after="0"/>
              <w:rPr>
                <w:sz w:val="18"/>
                <w:szCs w:val="18"/>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Royalty expense</w:t>
            </w: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85"/>
              </w:rPr>
              <w:t>16.9</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20.8</w:t>
            </w:r>
          </w:p>
        </w:tc>
        <w:tc>
          <w:tcPr>
            <w:tcW w:w="180" w:type="dxa"/>
            <w:vAlign w:val="bottom"/>
          </w:tcPr>
          <w:p>
            <w:pPr>
              <w:spacing w:after="0"/>
              <w:rPr>
                <w:sz w:val="18"/>
                <w:szCs w:val="18"/>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definite-lived intangible assets</w:t>
            </w:r>
          </w:p>
        </w:tc>
        <w:tc>
          <w:tcPr>
            <w:tcW w:w="36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80" w:type="dxa"/>
            <w:vAlign w:val="bottom"/>
            <w:shd w:val="clear" w:color="auto" w:fill="CCEEFF"/>
          </w:tcPr>
          <w:p>
            <w:pPr>
              <w:spacing w:after="0"/>
              <w:rPr>
                <w:sz w:val="18"/>
                <w:szCs w:val="18"/>
                <w:color w:val="auto"/>
              </w:rPr>
            </w:pPr>
          </w:p>
        </w:tc>
      </w:tr>
      <w:tr>
        <w:trPr>
          <w:trHeight w:val="217"/>
        </w:trPr>
        <w:tc>
          <w:tcPr>
            <w:tcW w:w="3740" w:type="dxa"/>
            <w:vAlign w:val="bottom"/>
          </w:tcPr>
          <w:p>
            <w:pPr>
              <w:ind w:left="120"/>
              <w:spacing w:after="0"/>
              <w:rPr>
                <w:sz w:val="20"/>
                <w:szCs w:val="20"/>
                <w:color w:val="auto"/>
              </w:rPr>
            </w:pPr>
            <w:r>
              <w:rPr>
                <w:rFonts w:ascii="Arial" w:cs="Arial" w:eastAsia="Arial" w:hAnsi="Arial"/>
                <w:sz w:val="18"/>
                <w:szCs w:val="18"/>
                <w:color w:val="auto"/>
              </w:rPr>
              <w:t>Total cost of product revenues</w:t>
            </w:r>
          </w:p>
        </w:tc>
        <w:tc>
          <w:tcPr>
            <w:tcW w:w="360" w:type="dxa"/>
            <w:vAlign w:val="bottom"/>
          </w:tcPr>
          <w:p>
            <w:pPr>
              <w:spacing w:after="0"/>
              <w:rPr>
                <w:sz w:val="18"/>
                <w:szCs w:val="18"/>
                <w:color w:val="auto"/>
              </w:rPr>
            </w:pPr>
          </w:p>
        </w:tc>
        <w:tc>
          <w:tcPr>
            <w:tcW w:w="680" w:type="dxa"/>
            <w:vAlign w:val="bottom"/>
            <w:tcBorders>
              <w:bottom w:val="single" w:sz="8" w:color="auto"/>
            </w:tcBorders>
          </w:tcPr>
          <w:p>
            <w:pPr>
              <w:jc w:val="right"/>
              <w:ind w:right="527"/>
              <w:spacing w:after="0"/>
              <w:rPr>
                <w:sz w:val="20"/>
                <w:szCs w:val="20"/>
                <w:color w:val="auto"/>
              </w:rPr>
            </w:pPr>
            <w:r>
              <w:rPr>
                <w:rFonts w:ascii="Arial" w:cs="Arial" w:eastAsia="Arial" w:hAnsi="Arial"/>
                <w:sz w:val="15"/>
                <w:szCs w:val="15"/>
                <w:color w:val="auto"/>
                <w:w w:val="71"/>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5"/>
              </w:rPr>
              <w:t>24.9</w:t>
            </w:r>
          </w:p>
        </w:tc>
        <w:tc>
          <w:tcPr>
            <w:tcW w:w="160" w:type="dxa"/>
            <w:vAlign w:val="bottom"/>
          </w:tcPr>
          <w:p>
            <w:pPr>
              <w:spacing w:after="0"/>
              <w:rPr>
                <w:sz w:val="18"/>
                <w:szCs w:val="18"/>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w:t>
            </w:r>
          </w:p>
        </w:tc>
        <w:tc>
          <w:tcPr>
            <w:tcW w:w="16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w:t>
            </w:r>
          </w:p>
        </w:tc>
        <w:tc>
          <w:tcPr>
            <w:tcW w:w="180" w:type="dxa"/>
            <w:vAlign w:val="bottom"/>
          </w:tcPr>
          <w:p>
            <w:pPr>
              <w:spacing w:after="0"/>
              <w:rPr>
                <w:sz w:val="18"/>
                <w:szCs w:val="18"/>
                <w:color w:val="auto"/>
              </w:rPr>
            </w:pPr>
          </w:p>
        </w:tc>
      </w:tr>
    </w:tbl>
    <w:p>
      <w:pPr>
        <w:spacing w:after="0" w:line="20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Cost of product revenues includes all JAKAFI related product costs, all ICLUSIG related product costs, low single-digit royalties to Novartis on all sales of JAKAFI in the United States and amortization of our licensed intellectual property for ICLUSIG using the straight-line method over the estimated useful life of 12.5 years. The ICLUSIG inventories were recorded at fair value less costs to sell in connection with the Acquisition, which resulted in a higher cost of ICLUSIG product revenues over a one year period from the acquisition date.</w:t>
      </w:r>
    </w:p>
    <w:p>
      <w:pPr>
        <w:spacing w:after="0" w:line="188"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increase in cost of product revenues for the three and six months ended June 30, 2018 as compared to the same periods in 2017 is due primarily to increased royalties to Novartis on all JAKAFI sales in the United States.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3"/>
              </w:rPr>
              <w:t>For the Three</w:t>
            </w:r>
          </w:p>
        </w:tc>
        <w:tc>
          <w:tcPr>
            <w:tcW w:w="140" w:type="dxa"/>
            <w:vAlign w:val="bottom"/>
          </w:tcPr>
          <w:p>
            <w:pPr>
              <w:spacing w:after="0"/>
              <w:rPr>
                <w:sz w:val="14"/>
                <w:szCs w:val="14"/>
                <w:color w:val="auto"/>
              </w:rPr>
            </w:pPr>
          </w:p>
        </w:tc>
        <w:tc>
          <w:tcPr>
            <w:tcW w:w="900" w:type="dxa"/>
            <w:vAlign w:val="bottom"/>
            <w:gridSpan w:val="3"/>
          </w:tcPr>
          <w:p>
            <w:pPr>
              <w:jc w:val="center"/>
              <w:ind w:left="279"/>
              <w:spacing w:after="0"/>
              <w:rPr>
                <w:sz w:val="20"/>
                <w:szCs w:val="20"/>
                <w:color w:val="auto"/>
              </w:rPr>
            </w:pPr>
            <w:r>
              <w:rPr>
                <w:rFonts w:ascii="Arial" w:cs="Arial" w:eastAsia="Arial" w:hAnsi="Arial"/>
                <w:sz w:val="14"/>
                <w:szCs w:val="14"/>
                <w:b w:val="1"/>
                <w:bCs w:val="1"/>
                <w:color w:val="auto"/>
                <w:w w:val="96"/>
              </w:rPr>
              <w:t>For the</w:t>
            </w: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49"/>
        </w:trPr>
        <w:tc>
          <w:tcPr>
            <w:tcW w:w="43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0" w:type="dxa"/>
            <w:vAlign w:val="bottom"/>
            <w:gridSpan w:val="5"/>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Months Ended,</w:t>
            </w:r>
          </w:p>
        </w:tc>
        <w:tc>
          <w:tcPr>
            <w:tcW w:w="140" w:type="dxa"/>
            <w:vAlign w:val="bottom"/>
          </w:tcPr>
          <w:p>
            <w:pPr>
              <w:spacing w:after="0"/>
              <w:rPr>
                <w:sz w:val="12"/>
                <w:szCs w:val="12"/>
                <w:color w:val="auto"/>
              </w:rPr>
            </w:pPr>
          </w:p>
        </w:tc>
        <w:tc>
          <w:tcPr>
            <w:tcW w:w="1580" w:type="dxa"/>
            <w:vAlign w:val="bottom"/>
            <w:gridSpan w:val="5"/>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Six Months Ended,</w:t>
            </w:r>
          </w:p>
        </w:tc>
      </w:tr>
      <w:tr>
        <w:trPr>
          <w:trHeight w:val="171"/>
        </w:trPr>
        <w:tc>
          <w:tcPr>
            <w:tcW w:w="4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3"/>
          </w:tcPr>
          <w:p>
            <w:pPr>
              <w:jc w:val="center"/>
              <w:ind w:left="299"/>
              <w:spacing w:after="0"/>
              <w:rPr>
                <w:sz w:val="20"/>
                <w:szCs w:val="20"/>
                <w:color w:val="auto"/>
              </w:rPr>
            </w:pPr>
            <w:r>
              <w:rPr>
                <w:rFonts w:ascii="Arial" w:cs="Arial" w:eastAsia="Arial" w:hAnsi="Arial"/>
                <w:sz w:val="14"/>
                <w:szCs w:val="14"/>
                <w:b w:val="1"/>
                <w:bCs w:val="1"/>
                <w:color w:val="auto"/>
                <w:w w:val="92"/>
              </w:rPr>
              <w:t>June 30,</w:t>
            </w:r>
          </w:p>
        </w:tc>
        <w:tc>
          <w:tcPr>
            <w:tcW w:w="5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3"/>
          </w:tcPr>
          <w:p>
            <w:pPr>
              <w:jc w:val="center"/>
              <w:ind w:left="279"/>
              <w:spacing w:after="0"/>
              <w:rPr>
                <w:sz w:val="20"/>
                <w:szCs w:val="20"/>
                <w:color w:val="auto"/>
              </w:rPr>
            </w:pPr>
            <w:r>
              <w:rPr>
                <w:rFonts w:ascii="Arial" w:cs="Arial" w:eastAsia="Arial" w:hAnsi="Arial"/>
                <w:sz w:val="14"/>
                <w:szCs w:val="14"/>
                <w:b w:val="1"/>
                <w:bCs w:val="1"/>
                <w:color w:val="auto"/>
                <w:w w:val="89"/>
              </w:rPr>
              <w:t>June 30,</w:t>
            </w:r>
          </w:p>
        </w:tc>
        <w:tc>
          <w:tcPr>
            <w:tcW w:w="5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42"/>
        </w:trPr>
        <w:tc>
          <w:tcPr>
            <w:tcW w:w="43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w w:val="96"/>
              </w:rPr>
              <w:t>2017</w:t>
            </w:r>
          </w:p>
        </w:tc>
        <w:tc>
          <w:tcPr>
            <w:tcW w:w="2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w w:val="89"/>
              </w:rPr>
              <w:t>2017</w:t>
            </w:r>
          </w:p>
        </w:tc>
        <w:tc>
          <w:tcPr>
            <w:tcW w:w="180" w:type="dxa"/>
            <w:vAlign w:val="bottom"/>
          </w:tcPr>
          <w:p>
            <w:pPr>
              <w:spacing w:after="0"/>
              <w:rPr>
                <w:sz w:val="12"/>
                <w:szCs w:val="12"/>
                <w:color w:val="auto"/>
              </w:rPr>
            </w:pPr>
          </w:p>
        </w:tc>
      </w:tr>
      <w:tr>
        <w:trPr>
          <w:trHeight w:val="142"/>
        </w:trPr>
        <w:tc>
          <w:tcPr>
            <w:tcW w:w="43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4"/>
          </w:tcPr>
          <w:p>
            <w:pPr>
              <w:jc w:val="center"/>
              <w:ind w:right="53"/>
              <w:spacing w:after="0" w:line="142" w:lineRule="exact"/>
              <w:rPr>
                <w:sz w:val="20"/>
                <w:szCs w:val="20"/>
                <w:color w:val="auto"/>
              </w:rPr>
            </w:pPr>
            <w:r>
              <w:rPr>
                <w:rFonts w:ascii="Arial" w:cs="Arial" w:eastAsia="Arial" w:hAnsi="Arial"/>
                <w:sz w:val="14"/>
                <w:szCs w:val="14"/>
                <w:b w:val="1"/>
                <w:bCs w:val="1"/>
                <w:color w:val="auto"/>
                <w:w w:val="94"/>
              </w:rPr>
              <w:t>(in millions)</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4"/>
          </w:tcPr>
          <w:p>
            <w:pPr>
              <w:jc w:val="center"/>
              <w:ind w:right="53"/>
              <w:spacing w:after="0" w:line="142" w:lineRule="exact"/>
              <w:rPr>
                <w:sz w:val="20"/>
                <w:szCs w:val="20"/>
                <w:color w:val="auto"/>
              </w:rPr>
            </w:pPr>
            <w:r>
              <w:rPr>
                <w:rFonts w:ascii="Arial" w:cs="Arial" w:eastAsia="Arial" w:hAnsi="Arial"/>
                <w:sz w:val="14"/>
                <w:szCs w:val="14"/>
                <w:b w:val="1"/>
                <w:bCs w:val="1"/>
                <w:color w:val="auto"/>
                <w:w w:val="94"/>
              </w:rPr>
              <w:t>(in millions)</w:t>
            </w:r>
          </w:p>
        </w:tc>
        <w:tc>
          <w:tcPr>
            <w:tcW w:w="180" w:type="dxa"/>
            <w:vAlign w:val="bottom"/>
          </w:tcPr>
          <w:p>
            <w:pPr>
              <w:spacing w:after="0"/>
              <w:rPr>
                <w:sz w:val="12"/>
                <w:szCs w:val="12"/>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Salary and benefits related</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w:t>
            </w:r>
          </w:p>
        </w:tc>
        <w:tc>
          <w:tcPr>
            <w:tcW w:w="180" w:type="dxa"/>
            <w:vAlign w:val="bottom"/>
            <w:shd w:val="clear" w:color="auto" w:fill="CCEEFF"/>
          </w:tcPr>
          <w:p>
            <w:pPr>
              <w:spacing w:after="0"/>
              <w:rPr>
                <w:sz w:val="18"/>
                <w:szCs w:val="18"/>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Stock compensation</w:t>
            </w: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24.8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22.9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49.0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44.4</w:t>
            </w:r>
          </w:p>
        </w:tc>
        <w:tc>
          <w:tcPr>
            <w:tcW w:w="180" w:type="dxa"/>
            <w:vAlign w:val="bottom"/>
          </w:tcPr>
          <w:p>
            <w:pPr>
              <w:spacing w:after="0"/>
              <w:rPr>
                <w:sz w:val="18"/>
                <w:szCs w:val="18"/>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Clinical research and outside services</w:t>
            </w: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113.6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395.1</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438.7</w:t>
            </w:r>
          </w:p>
        </w:tc>
        <w:tc>
          <w:tcPr>
            <w:tcW w:w="180" w:type="dxa"/>
            <w:vAlign w:val="bottom"/>
            <w:shd w:val="clear" w:color="auto" w:fill="CCEEFF"/>
          </w:tcPr>
          <w:p>
            <w:pPr>
              <w:spacing w:after="0"/>
              <w:rPr>
                <w:sz w:val="18"/>
                <w:szCs w:val="18"/>
                <w:color w:val="auto"/>
              </w:rPr>
            </w:pPr>
          </w:p>
        </w:tc>
      </w:tr>
      <w:tr>
        <w:trPr>
          <w:trHeight w:val="216"/>
        </w:trPr>
        <w:tc>
          <w:tcPr>
            <w:tcW w:w="43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Occupancy and all other costs</w:t>
            </w:r>
          </w:p>
        </w:tc>
        <w:tc>
          <w:tcPr>
            <w:tcW w:w="13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w:t>
            </w:r>
          </w:p>
        </w:tc>
        <w:tc>
          <w:tcPr>
            <w:tcW w:w="180" w:type="dxa"/>
            <w:vAlign w:val="bottom"/>
            <w:tcBorders>
              <w:bottom w:val="single" w:sz="8" w:color="CCEEFF"/>
            </w:tcBorders>
          </w:tcPr>
          <w:p>
            <w:pPr>
              <w:spacing w:after="0"/>
              <w:rPr>
                <w:sz w:val="18"/>
                <w:szCs w:val="18"/>
                <w:color w:val="auto"/>
              </w:rPr>
            </w:pPr>
          </w:p>
        </w:tc>
      </w:tr>
      <w:tr>
        <w:trPr>
          <w:trHeight w:val="217"/>
        </w:trPr>
        <w:tc>
          <w:tcPr>
            <w:tcW w:w="4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research and development expenses</w:t>
            </w:r>
          </w:p>
        </w:tc>
        <w:tc>
          <w:tcPr>
            <w:tcW w:w="13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298.1</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201.8</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601.2</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609.7</w:t>
            </w:r>
          </w:p>
        </w:tc>
        <w:tc>
          <w:tcPr>
            <w:tcW w:w="180" w:type="dxa"/>
            <w:vAlign w:val="bottom"/>
            <w:tcBorders>
              <w:bottom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currently account for research and development costs by natural expense line and not costs by project. Salary and benefits related expense increased from the three and six months ended June 30, 2017 to the three and six months ended June 30, 2018 due primarily to increased development headcount to sustain our development pipeline. Stock compensation expense may fluctuate from period to period based on the number of awards granted, stock price volatility and expected award lives, as well as expected award forfeiture rates which are used to value equity-based compensation.</w:t>
      </w:r>
    </w:p>
    <w:p>
      <w:pPr>
        <w:spacing w:after="0" w:line="158"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decrease in clinical research and outside services expense from the six months ended June 30, 2017 to the six months ended June 30, 2018 was primarily due to upfront and milestone expenses totaling $209.1 million related to our collaborative agreements with Agenus, Calithera and Merus recorded during 2017, partially offset by upfront and milestone</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0" w:name="page61"/>
    <w:bookmarkEnd w:id="6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17" w:lineRule="exact"/>
        <w:rPr>
          <w:sz w:val="20"/>
          <w:szCs w:val="20"/>
          <w:color w:val="auto"/>
        </w:rPr>
      </w:pPr>
      <w:r>
        <w:rPr>
          <w:rFonts w:ascii="Arial" w:cs="Arial" w:eastAsia="Arial" w:hAnsi="Arial"/>
          <w:sz w:val="17"/>
          <w:szCs w:val="17"/>
          <w:color w:val="auto"/>
        </w:rPr>
        <w:t>expenses totaling $32.4 million related to our collaborative agreements with Syros, Bristol-Myers Squibb and Agenus and an overall increase in development costs to advance our clinical pipeline during 2018. Research and development expenses for the three and six months ended June 30, 2018 and 2017 were net of $2.2 million, $4.5 million, $4.8 million and $9.1 million, respectively, of costs reimbursed by our collaborative partners. Research and development expenses may fluctuate from period to period depending upon the stage of certain projects and the level of pre</w:t>
      </w:r>
      <w:r>
        <w:rPr>
          <w:rFonts w:ascii="MS PGothic" w:cs="MS PGothic" w:eastAsia="MS PGothic" w:hAnsi="MS PGothic"/>
          <w:sz w:val="17"/>
          <w:szCs w:val="17"/>
          <w:color w:val="auto"/>
        </w:rPr>
        <w:t>‑</w:t>
      </w:r>
      <w:r>
        <w:rPr>
          <w:rFonts w:ascii="Arial" w:cs="Arial" w:eastAsia="Arial" w:hAnsi="Arial"/>
          <w:sz w:val="17"/>
          <w:szCs w:val="17"/>
          <w:color w:val="auto"/>
        </w:rPr>
        <w:t>clinical and clinical trial related activities. Many factors can affect the cost and timing of our clinical trials, including requests by regulatory agencies for more information, inconclusive results requiring additional clinical trials, slow patient enrollment, adverse side effects among patients, insufficient supplies for our clinical trials and real or perceived lack of effectiveness or safety of our investigational drugs in our clinical trials. In addition, the development of all of our products will be subject to extensive governmental regulation. These factors make it difficult for us to predict the timing and costs of the further development and approval of our products.</w:t>
      </w:r>
    </w:p>
    <w:p>
      <w:pPr>
        <w:spacing w:after="0" w:line="210" w:lineRule="exact"/>
        <w:rPr>
          <w:sz w:val="20"/>
          <w:szCs w:val="20"/>
          <w:color w:val="auto"/>
        </w:rPr>
      </w:pPr>
    </w:p>
    <w:p>
      <w:pPr>
        <w:jc w:val="both"/>
        <w:ind w:firstLine="648"/>
        <w:spacing w:after="0" w:line="217" w:lineRule="exact"/>
        <w:rPr>
          <w:sz w:val="20"/>
          <w:szCs w:val="20"/>
          <w:color w:val="auto"/>
        </w:rPr>
      </w:pPr>
      <w:r>
        <w:rPr>
          <w:rFonts w:ascii="Arial" w:cs="Arial" w:eastAsia="Arial" w:hAnsi="Arial"/>
          <w:sz w:val="16"/>
          <w:szCs w:val="16"/>
          <w:color w:val="auto"/>
        </w:rPr>
        <w:t>In July 2010, we elected to co</w:t>
      </w:r>
      <w:r>
        <w:rPr>
          <w:rFonts w:ascii="MS PGothic" w:cs="MS PGothic" w:eastAsia="MS PGothic" w:hAnsi="MS PGothic"/>
          <w:sz w:val="16"/>
          <w:szCs w:val="16"/>
          <w:color w:val="auto"/>
        </w:rPr>
        <w:t>‑</w:t>
      </w:r>
      <w:r>
        <w:rPr>
          <w:rFonts w:ascii="Arial" w:cs="Arial" w:eastAsia="Arial" w:hAnsi="Arial"/>
          <w:sz w:val="16"/>
          <w:szCs w:val="16"/>
          <w:color w:val="auto"/>
        </w:rPr>
        <w:t>develop baricitinib with Lilly in rheumatoid arthritis and we are responsible for funding 30% of the associated future global development costs for this indication from the initiation of the Phase IIb trial through regulatory approval. We also elected to co-develop baricitinib with Lilly in psoriatic arthritis, atopic dermatitis, alopecia areata, systemic lupus erythematosus and axial spondyloarthritis to fund 30% of future global development costs through regulatory approval, including post-launch studies required by a regulatory authority. Research and development expenses recorded under the Lilly agreement representing 30% of the global development costs for baricitinib for the treatment of rheumatoid arthritis, psoriatic arthritis, atopic dermatitis, alopecia areata, systematic lupus erythematosus and axial spondyloarthritis were $14.2 million and $26.7 million, respectively, for the three and six months ended June 30, 2018. Research and development expenses recorded under the Lilly agreement representing 30% of the global development costs for baricitinib for the treatment of rheumatoid arthritis, psoriatic arthritis and atopic dermatitis were $8.7 million and $18.1 million, respectively, for the three and six months ended June 30, 2017. We have retained certain mechanisms to give us cost protection as baricitinib advances in clinical development. We can defer our portion of co-development study costs by indication if they exceed a predetermined level. This deferment would be credited against future milestones or royalties and we would still be eligible for the full incremental royalties related to the co-development option. In addition, even if we have started co-development funding for any indication, we can at any time opt out, which will stop future co-development cost sharing. If we elect to do this we would still be eligible for our base royalties plus an incremental pro-rated royalty commensurate with our contribution to the total co-development cost for those indications for which we contributed funding.</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3"/>
              </w:rPr>
              <w:t>For the Three</w:t>
            </w:r>
          </w:p>
        </w:tc>
        <w:tc>
          <w:tcPr>
            <w:tcW w:w="140" w:type="dxa"/>
            <w:vAlign w:val="bottom"/>
          </w:tcPr>
          <w:p>
            <w:pPr>
              <w:spacing w:after="0"/>
              <w:rPr>
                <w:sz w:val="14"/>
                <w:szCs w:val="14"/>
                <w:color w:val="auto"/>
              </w:rPr>
            </w:pPr>
          </w:p>
        </w:tc>
        <w:tc>
          <w:tcPr>
            <w:tcW w:w="900" w:type="dxa"/>
            <w:vAlign w:val="bottom"/>
            <w:gridSpan w:val="4"/>
          </w:tcPr>
          <w:p>
            <w:pPr>
              <w:jc w:val="center"/>
              <w:ind w:left="280"/>
              <w:spacing w:after="0"/>
              <w:rPr>
                <w:sz w:val="20"/>
                <w:szCs w:val="20"/>
                <w:color w:val="auto"/>
              </w:rPr>
            </w:pPr>
            <w:r>
              <w:rPr>
                <w:rFonts w:ascii="Arial" w:cs="Arial" w:eastAsia="Arial" w:hAnsi="Arial"/>
                <w:sz w:val="14"/>
                <w:szCs w:val="14"/>
                <w:b w:val="1"/>
                <w:bCs w:val="1"/>
                <w:color w:val="auto"/>
                <w:w w:val="96"/>
              </w:rPr>
              <w:t>For the</w:t>
            </w: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49"/>
        </w:trPr>
        <w:tc>
          <w:tcPr>
            <w:tcW w:w="46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0" w:type="dxa"/>
            <w:vAlign w:val="bottom"/>
            <w:gridSpan w:val="5"/>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Months Ended,</w:t>
            </w:r>
          </w:p>
        </w:tc>
        <w:tc>
          <w:tcPr>
            <w:tcW w:w="140" w:type="dxa"/>
            <w:vAlign w:val="bottom"/>
          </w:tcPr>
          <w:p>
            <w:pPr>
              <w:spacing w:after="0"/>
              <w:rPr>
                <w:sz w:val="12"/>
                <w:szCs w:val="12"/>
                <w:color w:val="auto"/>
              </w:rPr>
            </w:pPr>
          </w:p>
        </w:tc>
        <w:tc>
          <w:tcPr>
            <w:tcW w:w="1580" w:type="dxa"/>
            <w:vAlign w:val="bottom"/>
            <w:gridSpan w:val="6"/>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Six Months Ended,</w:t>
            </w:r>
          </w:p>
        </w:tc>
      </w:tr>
      <w:tr>
        <w:trPr>
          <w:trHeight w:val="171"/>
        </w:trPr>
        <w:tc>
          <w:tcPr>
            <w:tcW w:w="46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3"/>
          </w:tcPr>
          <w:p>
            <w:pPr>
              <w:jc w:val="center"/>
              <w:ind w:left="300"/>
              <w:spacing w:after="0"/>
              <w:rPr>
                <w:sz w:val="20"/>
                <w:szCs w:val="20"/>
                <w:color w:val="auto"/>
              </w:rPr>
            </w:pPr>
            <w:r>
              <w:rPr>
                <w:rFonts w:ascii="Arial" w:cs="Arial" w:eastAsia="Arial" w:hAnsi="Arial"/>
                <w:sz w:val="14"/>
                <w:szCs w:val="14"/>
                <w:b w:val="1"/>
                <w:bCs w:val="1"/>
                <w:color w:val="auto"/>
                <w:w w:val="92"/>
              </w:rPr>
              <w:t>June 30,</w:t>
            </w:r>
          </w:p>
        </w:tc>
        <w:tc>
          <w:tcPr>
            <w:tcW w:w="5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4"/>
          </w:tcPr>
          <w:p>
            <w:pPr>
              <w:jc w:val="center"/>
              <w:ind w:left="280"/>
              <w:spacing w:after="0"/>
              <w:rPr>
                <w:sz w:val="20"/>
                <w:szCs w:val="20"/>
                <w:color w:val="auto"/>
              </w:rPr>
            </w:pPr>
            <w:r>
              <w:rPr>
                <w:rFonts w:ascii="Arial" w:cs="Arial" w:eastAsia="Arial" w:hAnsi="Arial"/>
                <w:sz w:val="14"/>
                <w:szCs w:val="14"/>
                <w:b w:val="1"/>
                <w:bCs w:val="1"/>
                <w:color w:val="auto"/>
                <w:w w:val="89"/>
              </w:rPr>
              <w:t>June 30,</w:t>
            </w:r>
          </w:p>
        </w:tc>
        <w:tc>
          <w:tcPr>
            <w:tcW w:w="5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42"/>
        </w:trPr>
        <w:tc>
          <w:tcPr>
            <w:tcW w:w="46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20"/>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w w:val="96"/>
              </w:rPr>
              <w:t>2017</w:t>
            </w:r>
          </w:p>
        </w:tc>
        <w:tc>
          <w:tcPr>
            <w:tcW w:w="2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20"/>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w w:val="89"/>
              </w:rPr>
              <w:t>2017</w:t>
            </w:r>
          </w:p>
        </w:tc>
        <w:tc>
          <w:tcPr>
            <w:tcW w:w="180" w:type="dxa"/>
            <w:vAlign w:val="bottom"/>
          </w:tcPr>
          <w:p>
            <w:pPr>
              <w:spacing w:after="0"/>
              <w:rPr>
                <w:sz w:val="12"/>
                <w:szCs w:val="12"/>
                <w:color w:val="auto"/>
              </w:rPr>
            </w:pPr>
          </w:p>
        </w:tc>
      </w:tr>
      <w:tr>
        <w:trPr>
          <w:trHeight w:val="142"/>
        </w:trPr>
        <w:tc>
          <w:tcPr>
            <w:tcW w:w="46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4"/>
          </w:tcPr>
          <w:p>
            <w:pPr>
              <w:jc w:val="center"/>
              <w:ind w:right="54"/>
              <w:spacing w:after="0" w:line="142" w:lineRule="exact"/>
              <w:rPr>
                <w:sz w:val="20"/>
                <w:szCs w:val="20"/>
                <w:color w:val="auto"/>
              </w:rPr>
            </w:pPr>
            <w:r>
              <w:rPr>
                <w:rFonts w:ascii="Arial" w:cs="Arial" w:eastAsia="Arial" w:hAnsi="Arial"/>
                <w:sz w:val="14"/>
                <w:szCs w:val="14"/>
                <w:b w:val="1"/>
                <w:bCs w:val="1"/>
                <w:color w:val="auto"/>
                <w:w w:val="94"/>
              </w:rPr>
              <w:t>(in millions)</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5"/>
          </w:tcPr>
          <w:p>
            <w:pPr>
              <w:jc w:val="center"/>
              <w:ind w:right="54"/>
              <w:spacing w:after="0" w:line="142" w:lineRule="exact"/>
              <w:rPr>
                <w:sz w:val="20"/>
                <w:szCs w:val="20"/>
                <w:color w:val="auto"/>
              </w:rPr>
            </w:pPr>
            <w:r>
              <w:rPr>
                <w:rFonts w:ascii="Arial" w:cs="Arial" w:eastAsia="Arial" w:hAnsi="Arial"/>
                <w:sz w:val="14"/>
                <w:szCs w:val="14"/>
                <w:b w:val="1"/>
                <w:bCs w:val="1"/>
                <w:color w:val="auto"/>
                <w:w w:val="94"/>
              </w:rPr>
              <w:t>(in millions)</w:t>
            </w:r>
          </w:p>
        </w:tc>
        <w:tc>
          <w:tcPr>
            <w:tcW w:w="180" w:type="dxa"/>
            <w:vAlign w:val="bottom"/>
          </w:tcPr>
          <w:p>
            <w:pPr>
              <w:spacing w:after="0"/>
              <w:rPr>
                <w:sz w:val="12"/>
                <w:szCs w:val="12"/>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Salary and benefits related</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w:t>
            </w:r>
          </w:p>
        </w:tc>
        <w:tc>
          <w:tcPr>
            <w:tcW w:w="1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180" w:type="dxa"/>
            <w:vAlign w:val="bottom"/>
            <w:shd w:val="clear" w:color="auto" w:fill="CCEEFF"/>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Stock compensation</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23.8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20.0</w:t>
            </w:r>
          </w:p>
        </w:tc>
        <w:tc>
          <w:tcPr>
            <w:tcW w:w="180" w:type="dxa"/>
            <w:vAlign w:val="bottom"/>
          </w:tcPr>
          <w:p>
            <w:pPr>
              <w:spacing w:after="0"/>
              <w:rPr>
                <w:sz w:val="18"/>
                <w:szCs w:val="18"/>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Other contract services and outside costs</w:t>
            </w:r>
          </w:p>
        </w:tc>
        <w:tc>
          <w:tcPr>
            <w:tcW w:w="10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147.6</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107.8</w:t>
            </w:r>
          </w:p>
        </w:tc>
        <w:tc>
          <w:tcPr>
            <w:tcW w:w="180" w:type="dxa"/>
            <w:vAlign w:val="bottom"/>
            <w:shd w:val="clear" w:color="auto" w:fill="CCEEFF"/>
          </w:tcPr>
          <w:p>
            <w:pPr>
              <w:spacing w:after="0"/>
              <w:rPr>
                <w:sz w:val="18"/>
                <w:szCs w:val="18"/>
                <w:color w:val="auto"/>
              </w:rPr>
            </w:pPr>
          </w:p>
        </w:tc>
      </w:tr>
      <w:tr>
        <w:trPr>
          <w:trHeight w:val="217"/>
        </w:trPr>
        <w:tc>
          <w:tcPr>
            <w:tcW w:w="4600" w:type="dxa"/>
            <w:vAlign w:val="bottom"/>
          </w:tcPr>
          <w:p>
            <w:pPr>
              <w:spacing w:after="0"/>
              <w:rPr>
                <w:sz w:val="20"/>
                <w:szCs w:val="20"/>
                <w:color w:val="auto"/>
              </w:rPr>
            </w:pPr>
            <w:r>
              <w:rPr>
                <w:rFonts w:ascii="Arial" w:cs="Arial" w:eastAsia="Arial" w:hAnsi="Arial"/>
                <w:sz w:val="18"/>
                <w:szCs w:val="18"/>
                <w:color w:val="auto"/>
              </w:rPr>
              <w:t>Total selling, general and administrative expenses</w:t>
            </w:r>
          </w:p>
        </w:tc>
        <w:tc>
          <w:tcPr>
            <w:tcW w:w="10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108.0</w:t>
            </w:r>
          </w:p>
        </w:tc>
        <w:tc>
          <w:tcPr>
            <w:tcW w:w="200" w:type="dxa"/>
            <w:vAlign w:val="bottom"/>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90.1</w:t>
            </w:r>
          </w:p>
        </w:tc>
        <w:tc>
          <w:tcPr>
            <w:tcW w:w="2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229.5</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177.3</w:t>
            </w:r>
          </w:p>
        </w:tc>
        <w:tc>
          <w:tcPr>
            <w:tcW w:w="180" w:type="dxa"/>
            <w:vAlign w:val="bottom"/>
          </w:tcPr>
          <w:p>
            <w:pPr>
              <w:spacing w:after="0"/>
              <w:rPr>
                <w:sz w:val="18"/>
                <w:szCs w:val="18"/>
                <w:color w:val="auto"/>
              </w:rPr>
            </w:pPr>
          </w:p>
        </w:tc>
      </w:tr>
    </w:tbl>
    <w:p>
      <w:pPr>
        <w:spacing w:after="0" w:line="202" w:lineRule="exact"/>
        <w:rPr>
          <w:sz w:val="20"/>
          <w:szCs w:val="20"/>
          <w:color w:val="auto"/>
        </w:rPr>
      </w:pPr>
    </w:p>
    <w:p>
      <w:pPr>
        <w:jc w:val="both"/>
        <w:ind w:firstLine="648"/>
        <w:spacing w:after="0" w:line="218" w:lineRule="exact"/>
        <w:rPr>
          <w:sz w:val="20"/>
          <w:szCs w:val="20"/>
          <w:color w:val="auto"/>
        </w:rPr>
      </w:pPr>
      <w:r>
        <w:rPr>
          <w:rFonts w:ascii="Arial" w:cs="Arial" w:eastAsia="Arial" w:hAnsi="Arial"/>
          <w:sz w:val="17"/>
          <w:szCs w:val="17"/>
          <w:color w:val="auto"/>
        </w:rPr>
        <w:t>Salary and benefits related expense increased from the three and six months ended June 30, 2017 to the three and six months ended June 30, 2018 due to increased headcount. This increased headcount was due primarily to the ongoing commercialization efforts related to JAKAFI for intermediate or high</w:t>
      </w:r>
      <w:r>
        <w:rPr>
          <w:rFonts w:ascii="MS PGothic" w:cs="MS PGothic" w:eastAsia="MS PGothic" w:hAnsi="MS PGothic"/>
          <w:sz w:val="17"/>
          <w:szCs w:val="17"/>
          <w:color w:val="auto"/>
        </w:rPr>
        <w:t>‑</w:t>
      </w:r>
      <w:r>
        <w:rPr>
          <w:rFonts w:ascii="Arial" w:cs="Arial" w:eastAsia="Arial" w:hAnsi="Arial"/>
          <w:sz w:val="17"/>
          <w:szCs w:val="17"/>
          <w:color w:val="auto"/>
        </w:rPr>
        <w:t>risk myelofibrosis and uncontrolled polycythemia vera, as well as increased headcount related to our European operations. Stock compensation expense may fluctuate from period to period based on the number of awards granted, stock price volatility and expected award lives, as well as expected award forfeiture rates which are used to value equity</w:t>
      </w:r>
      <w:r>
        <w:rPr>
          <w:rFonts w:ascii="MS PGothic" w:cs="MS PGothic" w:eastAsia="MS PGothic" w:hAnsi="MS PGothic"/>
          <w:sz w:val="17"/>
          <w:szCs w:val="17"/>
          <w:color w:val="auto"/>
        </w:rPr>
        <w:t>‑</w:t>
      </w:r>
      <w:r>
        <w:rPr>
          <w:rFonts w:ascii="Arial" w:cs="Arial" w:eastAsia="Arial" w:hAnsi="Arial"/>
          <w:sz w:val="17"/>
          <w:szCs w:val="17"/>
          <w:color w:val="auto"/>
        </w:rPr>
        <w:t>based compensation. The increase in other contract services and outside costs was primarily the result of an increase in donations to independent non-profit patient assistance organizations in the United States and additional costs related to the commercialization of JAKAFI.</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Change in fair value of acquisition-related contingent consideration</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Acquisition-related contingent consideration, which consists of our future royalty and certain potential milestone obligations to Takeda, was recorded on the acquisition date, June 1, 2016, at the estimated fair value of the obligation, in</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1" w:name="page62"/>
    <w:bookmarkEnd w:id="6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accordance with the acquisition method of accounting. The fair value of the acquisition-related contingent consideration is remeasured quarterly. The change in fair value of the acquisition-related contingent consideration for the three and six months ended June 30, 2018 was $7.3 million and $14.0 million, respectively, which is recorded in change in fair value of acquisition-related contingent consideration on the condensed consolidated statements of operations. The change in fair value of the acquisition-related contingent consideration for the three and six months ended June 30, 2017 was $7.1 million and $14.4 million, respectively, which is recorded in change in fair value of acquisition-related contingent consideration on the condensed consolidated statements of operations. The change in fair value for the three and six months ended June 30, 2018 and 2017 was due primarily to the passage of time as there were no other significant changes in the key assumptions during the periods.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i w:val="1"/>
          <w:iCs w:val="1"/>
          <w:color w:val="auto"/>
        </w:rPr>
        <w:t xml:space="preserve">Other income (expense), net. </w:t>
      </w:r>
      <w:r>
        <w:rPr>
          <w:rFonts w:ascii="Arial" w:cs="Arial" w:eastAsia="Arial" w:hAnsi="Arial"/>
          <w:sz w:val="17"/>
          <w:szCs w:val="17"/>
          <w:color w:val="auto"/>
        </w:rPr>
        <w:t>Other income (expense), net for the three and six months ended June 30, 2018 was</w:t>
      </w:r>
      <w:r>
        <w:rPr>
          <w:rFonts w:ascii="Arial" w:cs="Arial" w:eastAsia="Arial" w:hAnsi="Arial"/>
          <w:sz w:val="17"/>
          <w:szCs w:val="17"/>
          <w:i w:val="1"/>
          <w:iCs w:val="1"/>
          <w:color w:val="auto"/>
        </w:rPr>
        <w:t xml:space="preserve"> </w:t>
      </w:r>
      <w:r>
        <w:rPr>
          <w:rFonts w:ascii="Arial" w:cs="Arial" w:eastAsia="Arial" w:hAnsi="Arial"/>
          <w:sz w:val="17"/>
          <w:szCs w:val="17"/>
          <w:color w:val="auto"/>
        </w:rPr>
        <w:t>$5.8 million and $10.3 million, respectively. Other income (expense), net for the three and six months ended June 30, 2017 was $4.1 million and $5.2 million, respectively. Upon the adoption of ASU No. 2017-07 effective January 1, 2018, other income (expense), net includes components of net periodic benefit costs, excluding service cost, relating to our European pension plans. The adoption was applied retrospectively which resulted in an insignificant change to loss from operations and other income (expense), net for the three and six months ended June 30, 2017.</w:t>
      </w:r>
    </w:p>
    <w:p>
      <w:pPr>
        <w:spacing w:after="0" w:line="17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Interest expense for the three and six months ended June 30, 2018 was $0.4 million and $0.8</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respectively. Interest expense for the three and six months ended June 30, 2017 was $0.4 million and $6.3 million, respectively. The decrease in interest expense from the six months ended June 30, 2017 to the six months ended June 30, 2018 relates to the conversion of senior notes during the six months ended June 30, 2017. Included in interest expense for the three and six months ended June 30, 2018 was $0.3 million and $0.6 million, respectively, of non-cash charges to amortize the discounts on the 2018 Notes and the 2020 Notes. Included in interest expense for the three and six months ended June 30, 2017 was $0.4 million and $5.5 million, respectively, of non-cash charges to amortize the discounts on the 2018 Notes and the 2020 Notes.</w:t>
      </w:r>
    </w:p>
    <w:p>
      <w:pPr>
        <w:spacing w:after="0" w:line="19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i w:val="1"/>
          <w:iCs w:val="1"/>
          <w:color w:val="auto"/>
        </w:rPr>
        <w:t xml:space="preserve">Unrealized loss on long term investments. </w:t>
      </w:r>
      <w:r>
        <w:rPr>
          <w:rFonts w:ascii="Arial" w:cs="Arial" w:eastAsia="Arial" w:hAnsi="Arial"/>
          <w:sz w:val="16"/>
          <w:szCs w:val="16"/>
          <w:color w:val="auto"/>
        </w:rPr>
        <w:t>Unrealized gains and losses on long term investments will fluctuate from</w:t>
      </w:r>
      <w:r>
        <w:rPr>
          <w:rFonts w:ascii="Arial" w:cs="Arial" w:eastAsia="Arial" w:hAnsi="Arial"/>
          <w:sz w:val="16"/>
          <w:szCs w:val="16"/>
          <w:i w:val="1"/>
          <w:iCs w:val="1"/>
          <w:color w:val="auto"/>
        </w:rPr>
        <w:t xml:space="preserve"> </w:t>
      </w:r>
      <w:r>
        <w:rPr>
          <w:rFonts w:ascii="Arial" w:cs="Arial" w:eastAsia="Arial" w:hAnsi="Arial"/>
          <w:sz w:val="16"/>
          <w:szCs w:val="16"/>
          <w:color w:val="auto"/>
        </w:rPr>
        <w:t>period to period, based on the change in fair value of the securities we hold in our publicly held collaboration partners. With respect to our long term investment in Agenus, the unrealized loss on investment for the three and six months ended June 30, 2018 was $43.3 million and $17.6 million, respectively. For the three months ended June 30, 2017, the unrealized gain on investment was $4.4 million and for the six months ended June 30, 2017, the unrealized loss on investment was $3.3 million. With respect to our long term investment in Calithera, the unrealized loss on investment for the three and six months ended June 30, 2018 was $2.2 million and $5.8 million, respectively. For the three and six months ended June 30, 2017, the unrealized gain on our Calithera investment of $5.7 million and $13.9 million, respectively, were recorded within other comprehensive income. With respect to our long term investment in Merus, the unrealized gain on investment for the three and six months ended June 30, 2018 was $13.5 million and $10.8 million, respectively. The unrealized loss on investment for the three and six months ended June 30, 2017 was $23.9 million and $22.0 million, respectively. With respect to our long term investment in Syros, the unrealized loss on investment for the three months ended June 30, 2018 was $2.6 million and the unrealized gain on investment for the six months ended June 30, 2018 was $0.6 million.</w:t>
      </w:r>
    </w:p>
    <w:p>
      <w:pPr>
        <w:spacing w:after="0" w:line="17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i w:val="1"/>
          <w:iCs w:val="1"/>
          <w:color w:val="auto"/>
        </w:rPr>
        <w:t xml:space="preserve">Expense related to senior note conversions. </w:t>
      </w:r>
      <w:r>
        <w:rPr>
          <w:rFonts w:ascii="Arial" w:cs="Arial" w:eastAsia="Arial" w:hAnsi="Arial"/>
          <w:sz w:val="17"/>
          <w:szCs w:val="17"/>
          <w:color w:val="auto"/>
        </w:rPr>
        <w:t>Expense related to senior note conversions for the three and six months</w:t>
      </w:r>
      <w:r>
        <w:rPr>
          <w:rFonts w:ascii="Arial" w:cs="Arial" w:eastAsia="Arial" w:hAnsi="Arial"/>
          <w:sz w:val="17"/>
          <w:szCs w:val="17"/>
          <w:i w:val="1"/>
          <w:iCs w:val="1"/>
          <w:color w:val="auto"/>
        </w:rPr>
        <w:t xml:space="preserve"> </w:t>
      </w:r>
      <w:r>
        <w:rPr>
          <w:rFonts w:ascii="Arial" w:cs="Arial" w:eastAsia="Arial" w:hAnsi="Arial"/>
          <w:sz w:val="17"/>
          <w:szCs w:val="17"/>
          <w:color w:val="auto"/>
        </w:rPr>
        <w:t>ended June 30, 2017 was $0.8 million and $54.9 million for the conversions of our 2018 Notes and 2020 Notes.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Due to historical net losses, we had an accumulated deficit of $2.0 billion as of June 30, 2018. We have funded our research and development operations through sales of equity securities, the issuance of convertible notes, cash received from customers, and collaborative arrangements. At June 30, 2018, we had available cash, cash equivalents and marketable securities of $1.2 billion. Our cash and marketable securities balances are held in a variety of interest-bearing instruments, including money market accounts, corporate debt securities and U.S. government securities. Available cash is invested in accordance with our investment policy’s primary objectives of liquidity, safety of principal and diversity of investments.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2" w:name="page63"/>
    <w:bookmarkEnd w:id="6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Net cash provided by operating activities was $53.2 million for the six months ended June 30, 2018 and net cash used by operating activities was $56.8 million for the six months ended June 30, 2017. The $110.0 million increase in cash provided by operating activities was due primarily to the payments made to our collaborative partners for new or amended arrangements during the first quarter of 2017, expense related to our senior note conversions during the six months ended June 30, 2017 and changes in working capital.</w:t>
      </w:r>
    </w:p>
    <w:p>
      <w:pPr>
        <w:spacing w:after="0" w:line="18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Our investing activities, other than purchases, sales and maturities of marketable securities, have consisted predominantly of capital expenditures and purchases of long term investments. Net cash used by investing activities was $32.5 million for the six months ended June 30, 2018, which represented purchases of marketable securities of $58.8 million, capital expenditures of $23.4 million and purchases of long term investments of $8.9 million, offset in part by the sale and maturity of marketable securities of $58.7 million. Net cash used in investing activities was $176.1 million for the six months ended June 30, 2017, which represented purchases of marketable securities of $115.3 million, capital expenditures of $51.5 million and purchases of long term equity investments of $123.9 million, offset in part by the sale and maturity of marketable securities of $114.5 million. In the future, net cash used by investing activities may fluctuate significantly from period to period due to the timing of strategic equity investments, acquisitions and capital expenditures and maturities/sales and purchases of marketable securities.</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Net cash provided by financing activities was $8.2 million and $32.5 million, respectively, for the six months ended June 30, 2018 and 2017, primarily representing proceeds from the issuance of common stock under our stock plans, offset in part by cash paid to ARIAD/Takeda for contingent consideration and cash paid in connection with senior note conversions during the six months ended June 30, 2017.</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summarizes our significant contractual obligations as of June 30, 2018 and the effect those obligations are expected to have on our liquidity and cash flow in future periods (in millions):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4"/>
                <w:szCs w:val="14"/>
                <w:color w:val="auto"/>
              </w:rPr>
            </w:pPr>
          </w:p>
        </w:tc>
        <w:tc>
          <w:tcPr>
            <w:tcW w:w="9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9"/>
              </w:rPr>
              <w:t>Less Than</w:t>
            </w:r>
          </w:p>
        </w:tc>
        <w:tc>
          <w:tcPr>
            <w:tcW w:w="14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b w:val="1"/>
                <w:bCs w:val="1"/>
                <w:color w:val="auto"/>
              </w:rPr>
              <w:t>Years</w:t>
            </w:r>
          </w:p>
        </w:tc>
        <w:tc>
          <w:tcPr>
            <w:tcW w:w="16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4"/>
                <w:szCs w:val="14"/>
                <w:b w:val="1"/>
                <w:bCs w:val="1"/>
                <w:color w:val="auto"/>
              </w:rPr>
              <w:t>Years</w:t>
            </w:r>
          </w:p>
        </w:tc>
        <w:tc>
          <w:tcPr>
            <w:tcW w:w="120" w:type="dxa"/>
            <w:vAlign w:val="bottom"/>
          </w:tcPr>
          <w:p>
            <w:pPr>
              <w:spacing w:after="0"/>
              <w:rPr>
                <w:sz w:val="14"/>
                <w:szCs w:val="14"/>
                <w:color w:val="auto"/>
              </w:rPr>
            </w:pPr>
          </w:p>
        </w:tc>
        <w:tc>
          <w:tcPr>
            <w:tcW w:w="760" w:type="dxa"/>
            <w:vAlign w:val="bottom"/>
            <w:gridSpan w:val="2"/>
          </w:tcPr>
          <w:p>
            <w:pPr>
              <w:ind w:left="100"/>
              <w:spacing w:after="0"/>
              <w:rPr>
                <w:sz w:val="20"/>
                <w:szCs w:val="20"/>
                <w:color w:val="auto"/>
              </w:rPr>
            </w:pPr>
            <w:r>
              <w:rPr>
                <w:rFonts w:ascii="Arial" w:cs="Arial" w:eastAsia="Arial" w:hAnsi="Arial"/>
                <w:sz w:val="14"/>
                <w:szCs w:val="14"/>
                <w:b w:val="1"/>
                <w:bCs w:val="1"/>
                <w:color w:val="auto"/>
              </w:rPr>
              <w:t>Over</w:t>
            </w:r>
          </w:p>
        </w:tc>
        <w:tc>
          <w:tcPr>
            <w:tcW w:w="0" w:type="dxa"/>
            <w:vAlign w:val="bottom"/>
          </w:tcPr>
          <w:p>
            <w:pPr>
              <w:spacing w:after="0"/>
              <w:rPr>
                <w:sz w:val="1"/>
                <w:szCs w:val="1"/>
                <w:color w:val="auto"/>
              </w:rPr>
            </w:pPr>
          </w:p>
        </w:tc>
      </w:tr>
      <w:tr>
        <w:trPr>
          <w:trHeight w:val="171"/>
        </w:trPr>
        <w:tc>
          <w:tcPr>
            <w:tcW w:w="4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1 Year</w:t>
            </w:r>
          </w:p>
        </w:tc>
        <w:tc>
          <w:tcPr>
            <w:tcW w:w="140" w:type="dxa"/>
            <w:vAlign w:val="bottom"/>
          </w:tcPr>
          <w:p>
            <w:pPr>
              <w:spacing w:after="0"/>
              <w:rPr>
                <w:sz w:val="14"/>
                <w:szCs w:val="14"/>
                <w:color w:val="auto"/>
              </w:rPr>
            </w:pPr>
          </w:p>
        </w:tc>
        <w:tc>
          <w:tcPr>
            <w:tcW w:w="600" w:type="dxa"/>
            <w:vAlign w:val="bottom"/>
          </w:tcPr>
          <w:p>
            <w:pPr>
              <w:jc w:val="right"/>
              <w:ind w:right="156"/>
              <w:spacing w:after="0"/>
              <w:rPr>
                <w:sz w:val="20"/>
                <w:szCs w:val="20"/>
                <w:color w:val="auto"/>
              </w:rPr>
            </w:pPr>
            <w:r>
              <w:rPr>
                <w:rFonts w:ascii="Arial" w:cs="Arial" w:eastAsia="Arial" w:hAnsi="Arial"/>
                <w:sz w:val="14"/>
                <w:szCs w:val="14"/>
                <w:b w:val="1"/>
                <w:bCs w:val="1"/>
                <w:color w:val="auto"/>
              </w:rPr>
              <w:t>2 - 3</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ind w:right="156"/>
              <w:spacing w:after="0"/>
              <w:rPr>
                <w:sz w:val="20"/>
                <w:szCs w:val="20"/>
                <w:color w:val="auto"/>
              </w:rPr>
            </w:pPr>
            <w:r>
              <w:rPr>
                <w:rFonts w:ascii="Arial" w:cs="Arial" w:eastAsia="Arial" w:hAnsi="Arial"/>
                <w:sz w:val="14"/>
                <w:szCs w:val="14"/>
                <w:b w:val="1"/>
                <w:bCs w:val="1"/>
                <w:color w:val="auto"/>
              </w:rPr>
              <w:t>4 - 5</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ind w:left="40"/>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10"/>
        </w:trPr>
        <w:tc>
          <w:tcPr>
            <w:tcW w:w="4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Contractual Obligations:</w:t>
            </w:r>
          </w:p>
        </w:tc>
        <w:tc>
          <w:tcPr>
            <w:tcW w:w="1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Principal on convertible senior debt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26.8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7.7</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19.1</w:t>
            </w:r>
          </w:p>
        </w:tc>
        <w:tc>
          <w:tcPr>
            <w:tcW w:w="1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Interest on convertible senior debt</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Non-cancelable lease obligations</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4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contractual obligations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r>
              <w:rPr>
                <w:rFonts w:ascii="Arial" w:cs="Arial" w:eastAsia="Arial" w:hAnsi="Arial"/>
                <w:sz w:val="18"/>
                <w:szCs w:val="18"/>
                <w:u w:val="single" w:color="auto"/>
                <w:color w:val="auto"/>
              </w:rPr>
              <w:t>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entered into and may in the future seek to license additional rights relating to technologies or drug development candidates in connection with our drug discovery and development programs. Under these licenses, we may be required to pay upfront fees, milestone payments, and royalties on sales of future products, which are not reflected in the table above.</w:t>
      </w:r>
    </w:p>
    <w:p>
      <w:pPr>
        <w:spacing w:after="0" w:line="187"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We believe that our cash flow from operations, together with our cash, cash equivalents and marketable securities, will be adequate to satisfy our capital needs for at least the next twelve months. Our cash requirements depend on numerous factors, including our expenditures in connection with our drug discovery and development programs and commercialization operations; expenditures in connection with litigation or other legal proceedings; competing technological and market developments; the cost of filing, prosecuting, defending and enforcing patent claims and other intellectual property rights; costs for future facility requirements; our receipt of any milestone or other payments under any collaborative agreements we may enter into, including the agreements with Novartis and Lilly; expenditures in connection with potential exchanges, conversions or repayments of our outstanding convertible senior notes; and expenditures in connection with strategic relationships and license agreements, including our agreements with Agenus, ARIAD/Takeda, Calithera, Lilly, MacroGenics, Merus and Syros, strategic equity investments or potential acquisitions. Changes in our research and development or commercialization plans or other changes affecting our operating expenses may result in changes in the timing and amount of expenditures of our capital resources. To the extent we seek to augment our existing cash resources and cash flow from operations to satisfy our cash requirements, we expect that additional funding can be obtained primarily through public or private equity offerings, debt financings, borrowings or strategic collaborations. The sale of equity or additional convertible debt securities in the future may be dilutive to our stockholders, and may provide for rights, preferences or privileges senior to those of our holders of common stock. Debt financing arrangements may</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3" w:name="page64"/>
    <w:bookmarkEnd w:id="6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require us to pledge certain assets or enter into covenants that could restrict our operations or our ability to incur further indebtedness.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no off-balance sheet arrangements other than those that are discussed above.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Our investments in marketable securities, which are composed primarily of corporate debt securities and U.S. government securities, are subject to default, changes in credit rating and changes in market value. These investments are also subject to interest rate risk and will decrease in value if market interest rates increase. As of June 30, 2018, marketable securities were $269.9 million. Due to the nature of these investments, if market interest rates were to increase immediately and uniformly by 10% from levels as of June 30, 2018, the decline in fair value would not be material.</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b w:val="1"/>
          <w:bCs w:val="1"/>
          <w:i w:val="1"/>
          <w:iCs w:val="1"/>
          <w:color w:val="auto"/>
        </w:rPr>
        <w:t xml:space="preserve">Evaluation of disclosure controls and procedures. </w:t>
      </w:r>
      <w:r>
        <w:rPr>
          <w:rFonts w:ascii="Arial" w:cs="Arial" w:eastAsia="Arial" w:hAnsi="Arial"/>
          <w:sz w:val="16"/>
          <w:szCs w:val="16"/>
          <w:color w:val="auto"/>
        </w:rPr>
        <w:t>We maintain “disclosure controls and procedures,” as such term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is defined in Rule 13a-15(e) under the Securities Exchange Act of 1934 (the “Exchange Act”), that are designed to ensure that information required to be disclosed by us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 In designing and evaluating our disclosure controls and procedures, management recognized that disclosure controls and procedures, no matter how well conceived and operated, can provide only reasonable, not absolute, assurance that the objectives of the disclosure controls and procedures are met. Our disclosure controls and procedures have been designed to meet reasonable assurance standards. Additionally, in designing disclosure controls and procedures, our management necessarily was required to apply its judgment in evaluating the cost-benefit relationship of possible disclosure controls and procedures. 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spacing w:after="0" w:line="17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Based on their evaluation as of the end of the period covered by this Quarterly Report on Form 10-Q, our Chief Executive Officer and Chief Financial Officer concluded that, as of such date, our disclosure controls and procedures were effective at the reasonable assurance level.</w:t>
      </w:r>
    </w:p>
    <w:p>
      <w:pPr>
        <w:spacing w:after="0" w:line="18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b w:val="1"/>
          <w:bCs w:val="1"/>
          <w:i w:val="1"/>
          <w:iCs w:val="1"/>
          <w:color w:val="auto"/>
        </w:rPr>
        <w:t>Changes in internal control over financial reporting</w:t>
      </w:r>
      <w:r>
        <w:rPr>
          <w:rFonts w:ascii="Arial" w:cs="Arial" w:eastAsia="Arial" w:hAnsi="Arial"/>
          <w:sz w:val="16"/>
          <w:szCs w:val="16"/>
          <w:color w:val="auto"/>
        </w:rPr>
        <w:t>. There were no changes in our internal control over financial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reporting (as defined in Rules 13a-15(f) and 15d-15(f) under the Exchange Act) for the three months ended June 30, 2018, that materially affected or are reasonably likely to materially affect our internal control over financial reporting.</w:t>
      </w:r>
    </w:p>
    <w:p>
      <w:pPr>
        <w:spacing w:after="0" w:line="143"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PART II:</w:t>
        <w:tab/>
        <w:t>OTHER INFORMATION</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RELATING TO COMMERCIALIZATION OF OUR PRODUCTS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We depend heavily on our lead product, JAKAFI (ruxolitinib), which is marketed as JAKAVI outside the United States. If we are unable to successfully commercialize JAKAFI in its approved indications or to successfully obtain regulatory approval for and commercialize ruxolitinib for the treatment of additional indications, or if we are significantly delayed or limited in doing so, our business may be materially harmed.</w:t>
      </w:r>
    </w:p>
    <w:p>
      <w:pPr>
        <w:spacing w:after="0" w:line="171" w:lineRule="exact"/>
        <w:rPr>
          <w:sz w:val="20"/>
          <w:szCs w:val="20"/>
          <w:color w:val="auto"/>
        </w:rPr>
      </w:pPr>
    </w:p>
    <w:p>
      <w:pPr>
        <w:jc w:val="both"/>
        <w:ind w:firstLine="648"/>
        <w:spacing w:after="0" w:line="221" w:lineRule="exact"/>
        <w:rPr>
          <w:sz w:val="20"/>
          <w:szCs w:val="20"/>
          <w:color w:val="auto"/>
        </w:rPr>
      </w:pPr>
      <w:r>
        <w:rPr>
          <w:rFonts w:ascii="Arial" w:cs="Arial" w:eastAsia="Arial" w:hAnsi="Arial"/>
          <w:sz w:val="17"/>
          <w:szCs w:val="17"/>
          <w:color w:val="auto"/>
        </w:rPr>
        <w:t>JAKAFI is our first and, currently, only product marketed by us that is approved for sale in the United States. It was approved by the U.S. Food and Drug Administration, or FDA, in November 2011 for the treatment of patients with intermediate or high</w:t>
      </w:r>
      <w:r>
        <w:rPr>
          <w:rFonts w:ascii="MS PGothic" w:cs="MS PGothic" w:eastAsia="MS PGothic" w:hAnsi="MS PGothic"/>
          <w:sz w:val="17"/>
          <w:szCs w:val="17"/>
          <w:color w:val="auto"/>
        </w:rPr>
        <w:t>‑</w:t>
      </w:r>
      <w:r>
        <w:rPr>
          <w:rFonts w:ascii="Arial" w:cs="Arial" w:eastAsia="Arial" w:hAnsi="Arial"/>
          <w:sz w:val="17"/>
          <w:szCs w:val="17"/>
          <w:color w:val="auto"/>
        </w:rPr>
        <w:t>risk myelofibrosis and in December 2014 for the treatment of patients with polycythemia vera who</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4" w:name="page65"/>
    <w:bookmarkEnd w:id="6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have had an inadequate response to or are intolerant of hydroxyurea, which we refer to as uncontrolled polycythemia vera. Although we have received regulatory approval for these indications, such approval does not guarantee future revenues. While in June 2016 we acquired exclusive rights to develop and commercialize ICLUSIG in the European Union, or EU, and other countries and in June 2018 the FDA approved for sale OLUMIANT (baricitinib), which we exclusively licensed to Eli Lilly and Company, for the treatment of specified rheumatoid arthritis indications, we anticipate that JAKAFI product sales will continue to contribute a significant percentage of our total revenues over the next several years.</w:t>
      </w:r>
    </w:p>
    <w:p>
      <w:pPr>
        <w:spacing w:after="0" w:line="1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commercial success of JAKAFI and our ability to generate and maintain revenues from the sale of JAKAFI will depend on a number of factors, including:</w:t>
      </w:r>
    </w:p>
    <w:p>
      <w:pPr>
        <w:spacing w:after="0" w:line="170" w:lineRule="exact"/>
        <w:rPr>
          <w:sz w:val="20"/>
          <w:szCs w:val="20"/>
          <w:color w:val="auto"/>
        </w:rPr>
      </w:pPr>
    </w:p>
    <w:p>
      <w:pPr>
        <w:ind w:left="980" w:hanging="329"/>
        <w:spacing w:after="0" w:line="224" w:lineRule="exact"/>
        <w:tabs>
          <w:tab w:leader="none" w:pos="9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number of patients with intermediate or high</w:t>
      </w:r>
      <w:r>
        <w:rPr>
          <w:rFonts w:ascii="MS PGothic" w:cs="MS PGothic" w:eastAsia="MS PGothic" w:hAnsi="MS PGothic"/>
          <w:sz w:val="17"/>
          <w:szCs w:val="17"/>
          <w:color w:val="auto"/>
        </w:rPr>
        <w:t>‑</w:t>
      </w:r>
      <w:r>
        <w:rPr>
          <w:rFonts w:ascii="Arial" w:cs="Arial" w:eastAsia="Arial" w:hAnsi="Arial"/>
          <w:sz w:val="17"/>
          <w:szCs w:val="17"/>
          <w:color w:val="auto"/>
        </w:rPr>
        <w:t>risk myelofibrosis or uncontrolled polycythemia vera who are diagnosed with the disease and the number of such patients that may be treated with JAKAFI;</w:t>
      </w:r>
    </w:p>
    <w:p>
      <w:pPr>
        <w:spacing w:after="0" w:line="201" w:lineRule="exact"/>
        <w:rPr>
          <w:rFonts w:ascii="Arial" w:cs="Arial" w:eastAsia="Arial" w:hAnsi="Arial"/>
          <w:sz w:val="17"/>
          <w:szCs w:val="17"/>
          <w:color w:val="auto"/>
        </w:rPr>
      </w:pPr>
    </w:p>
    <w:p>
      <w:pPr>
        <w:ind w:left="980" w:hanging="329"/>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acceptance of JAKAFI by patients and the healthcare community;</w:t>
      </w:r>
    </w:p>
    <w:p>
      <w:pPr>
        <w:spacing w:after="0" w:line="225" w:lineRule="exact"/>
        <w:rPr>
          <w:rFonts w:ascii="Arial" w:cs="Arial" w:eastAsia="Arial" w:hAnsi="Arial"/>
          <w:sz w:val="18"/>
          <w:szCs w:val="18"/>
          <w:color w:val="auto"/>
        </w:rPr>
      </w:pPr>
    </w:p>
    <w:p>
      <w:pPr>
        <w:ind w:left="980" w:hanging="329"/>
        <w:spacing w:after="0" w:line="277"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whether physicians, patients and healthcare payors view JAKAFI as therapeutically effective and safe relative to cost and any alternative therapies;</w:t>
      </w:r>
    </w:p>
    <w:p>
      <w:pPr>
        <w:spacing w:after="0" w:line="170" w:lineRule="exact"/>
        <w:rPr>
          <w:rFonts w:ascii="Arial" w:cs="Arial" w:eastAsia="Arial" w:hAnsi="Arial"/>
          <w:sz w:val="18"/>
          <w:szCs w:val="18"/>
          <w:color w:val="auto"/>
        </w:rPr>
      </w:pPr>
    </w:p>
    <w:p>
      <w:pPr>
        <w:ind w:left="980" w:hanging="329"/>
        <w:spacing w:after="0" w:line="207" w:lineRule="exact"/>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ability to obtain and maintain sufficient coverage or reimbursement by third</w:t>
      </w:r>
      <w:r>
        <w:rPr>
          <w:rFonts w:ascii="MS PGothic" w:cs="MS PGothic" w:eastAsia="MS PGothic" w:hAnsi="MS PGothic"/>
          <w:sz w:val="18"/>
          <w:szCs w:val="18"/>
          <w:color w:val="auto"/>
        </w:rPr>
        <w:t>‑</w:t>
      </w:r>
      <w:r>
        <w:rPr>
          <w:rFonts w:ascii="Arial" w:cs="Arial" w:eastAsia="Arial" w:hAnsi="Arial"/>
          <w:sz w:val="18"/>
          <w:szCs w:val="18"/>
          <w:color w:val="auto"/>
        </w:rPr>
        <w:t>party payors;</w:t>
      </w:r>
    </w:p>
    <w:p>
      <w:pPr>
        <w:spacing w:after="0" w:line="225" w:lineRule="exact"/>
        <w:rPr>
          <w:rFonts w:ascii="Arial" w:cs="Arial" w:eastAsia="Arial" w:hAnsi="Arial"/>
          <w:sz w:val="18"/>
          <w:szCs w:val="18"/>
          <w:color w:val="auto"/>
        </w:rPr>
      </w:pPr>
    </w:p>
    <w:p>
      <w:pPr>
        <w:ind w:left="980" w:hanging="329"/>
        <w:spacing w:after="0" w:line="223" w:lineRule="exact"/>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ability of our third</w:t>
      </w:r>
      <w:r>
        <w:rPr>
          <w:rFonts w:ascii="MS PGothic" w:cs="MS PGothic" w:eastAsia="MS PGothic" w:hAnsi="MS PGothic"/>
          <w:sz w:val="18"/>
          <w:szCs w:val="18"/>
          <w:color w:val="auto"/>
        </w:rPr>
        <w:t>‑</w:t>
      </w:r>
      <w:r>
        <w:rPr>
          <w:rFonts w:ascii="Arial" w:cs="Arial" w:eastAsia="Arial" w:hAnsi="Arial"/>
          <w:sz w:val="18"/>
          <w:szCs w:val="18"/>
          <w:color w:val="auto"/>
        </w:rPr>
        <w:t>party manufacturers to manufacture JAKAFI in sufficient quantities with acceptable quality;</w:t>
      </w:r>
    </w:p>
    <w:p>
      <w:pPr>
        <w:spacing w:after="0" w:line="203" w:lineRule="exact"/>
        <w:rPr>
          <w:rFonts w:ascii="Arial" w:cs="Arial" w:eastAsia="Arial" w:hAnsi="Arial"/>
          <w:sz w:val="18"/>
          <w:szCs w:val="18"/>
          <w:color w:val="auto"/>
        </w:rPr>
      </w:pPr>
    </w:p>
    <w:p>
      <w:pPr>
        <w:ind w:left="980" w:hanging="329"/>
        <w:spacing w:after="0" w:line="196" w:lineRule="exact"/>
        <w:tabs>
          <w:tab w:leader="none" w:pos="9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ability of our company and our third</w:t>
      </w:r>
      <w:r>
        <w:rPr>
          <w:rFonts w:ascii="MS PGothic" w:cs="MS PGothic" w:eastAsia="MS PGothic" w:hAnsi="MS PGothic"/>
          <w:sz w:val="17"/>
          <w:szCs w:val="17"/>
          <w:color w:val="auto"/>
        </w:rPr>
        <w:t>‑</w:t>
      </w:r>
      <w:r>
        <w:rPr>
          <w:rFonts w:ascii="Arial" w:cs="Arial" w:eastAsia="Arial" w:hAnsi="Arial"/>
          <w:sz w:val="17"/>
          <w:szCs w:val="17"/>
          <w:color w:val="auto"/>
        </w:rPr>
        <w:t>party providers to provide marketing and distribution support for</w:t>
      </w:r>
    </w:p>
    <w:p>
      <w:pPr>
        <w:spacing w:after="0" w:line="34" w:lineRule="exact"/>
        <w:rPr>
          <w:rFonts w:ascii="Arial" w:cs="Arial" w:eastAsia="Arial" w:hAnsi="Arial"/>
          <w:sz w:val="17"/>
          <w:szCs w:val="17"/>
          <w:color w:val="auto"/>
        </w:rPr>
      </w:pPr>
    </w:p>
    <w:p>
      <w:pPr>
        <w:ind w:left="980"/>
        <w:spacing w:after="0"/>
        <w:rPr>
          <w:rFonts w:ascii="Arial" w:cs="Arial" w:eastAsia="Arial" w:hAnsi="Arial"/>
          <w:sz w:val="17"/>
          <w:szCs w:val="17"/>
          <w:color w:val="auto"/>
        </w:rPr>
      </w:pPr>
      <w:r>
        <w:rPr>
          <w:rFonts w:ascii="Arial" w:cs="Arial" w:eastAsia="Arial" w:hAnsi="Arial"/>
          <w:sz w:val="18"/>
          <w:szCs w:val="18"/>
          <w:color w:val="auto"/>
        </w:rPr>
        <w:t>JAKAFI;</w:t>
      </w:r>
    </w:p>
    <w:p>
      <w:pPr>
        <w:spacing w:after="0" w:line="210" w:lineRule="exact"/>
        <w:rPr>
          <w:rFonts w:ascii="Arial" w:cs="Arial" w:eastAsia="Arial" w:hAnsi="Arial"/>
          <w:sz w:val="17"/>
          <w:szCs w:val="17"/>
          <w:color w:val="auto"/>
        </w:rPr>
      </w:pPr>
    </w:p>
    <w:p>
      <w:pPr>
        <w:ind w:left="980" w:hanging="329"/>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label and promotional claims allowed by the FDA;</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maintenance of regulatory approval for the approved indications in the United States; and</w:t>
      </w:r>
    </w:p>
    <w:p>
      <w:pPr>
        <w:spacing w:after="0" w:line="225" w:lineRule="exact"/>
        <w:rPr>
          <w:rFonts w:ascii="Arial" w:cs="Arial" w:eastAsia="Arial" w:hAnsi="Arial"/>
          <w:sz w:val="18"/>
          <w:szCs w:val="18"/>
          <w:color w:val="auto"/>
        </w:rPr>
      </w:pPr>
    </w:p>
    <w:p>
      <w:pPr>
        <w:ind w:left="980" w:hanging="329"/>
        <w:spacing w:after="0" w:line="277"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develop, obtain regulatory approval for and commercialize ruxolitinib in the United States for additional indications.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If we are not successful in commercializing JAKAFI in the United States, or are significantly delayed or limited in doing so, our business may be materially harmed and we may need to delay other drug discovery and development initiatives or even significantly curtail operations.</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addition, our receipt of royalties under our collaboration agreements with Novartis for sales of JAKAVI outside the United States and with Lilly for worldwide sales of OLUMIANT will depend on factors similar to those listed above for jurisdictions outside the United States.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If we are unable to obtain, or maintain at anticipated levels, reimbursement for our products from government health administration authorities, private health insurers and other organizations, our pricing may be affected or our product sales, results of operations or financial condition could be harmed.</w:t>
      </w:r>
    </w:p>
    <w:p>
      <w:pPr>
        <w:spacing w:after="0" w:line="181" w:lineRule="exact"/>
        <w:rPr>
          <w:sz w:val="20"/>
          <w:szCs w:val="20"/>
          <w:color w:val="auto"/>
        </w:rPr>
      </w:pPr>
    </w:p>
    <w:p>
      <w:pPr>
        <w:jc w:val="both"/>
        <w:ind w:firstLine="648"/>
        <w:spacing w:after="0" w:line="218" w:lineRule="exact"/>
        <w:rPr>
          <w:sz w:val="20"/>
          <w:szCs w:val="20"/>
          <w:color w:val="auto"/>
        </w:rPr>
      </w:pPr>
      <w:r>
        <w:rPr>
          <w:rFonts w:ascii="Arial" w:cs="Arial" w:eastAsia="Arial" w:hAnsi="Arial"/>
          <w:sz w:val="16"/>
          <w:szCs w:val="16"/>
          <w:color w:val="auto"/>
        </w:rPr>
        <w:t>We may not be able to sell our products on a profitable basis or our profitability may be reduced if we are required to sell our products at lower than anticipated prices or reimbursement is unavailable or limited in scope or amount. JAKAFI and ICLUSIG are expensive and almost all patients will require some form of third-party coverage to afford their cost. Our future revenues and profitability will be adversely affected if we cannot depend on government and other third</w:t>
      </w:r>
      <w:r>
        <w:rPr>
          <w:rFonts w:ascii="MS PGothic" w:cs="MS PGothic" w:eastAsia="MS PGothic" w:hAnsi="MS PGothic"/>
          <w:sz w:val="16"/>
          <w:szCs w:val="16"/>
          <w:color w:val="auto"/>
        </w:rPr>
        <w:t>‑</w:t>
      </w:r>
      <w:r>
        <w:rPr>
          <w:rFonts w:ascii="Arial" w:cs="Arial" w:eastAsia="Arial" w:hAnsi="Arial"/>
          <w:sz w:val="16"/>
          <w:szCs w:val="16"/>
          <w:color w:val="auto"/>
        </w:rPr>
        <w:t>party payors to defray the cost of our products to the patient. Reimbursement systems in international markets vary significantly by country and by region, and reimbursement approvals must be obtained on a country-by-country basis. Reimbursement in the EU must be negotiated on a country-by-country basis and in many countries the product cannot be commercially launched until reimbursement is approved. The timing to complete the negotiation process in each country is highly</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5" w:name="page66"/>
    <w:bookmarkEnd w:id="6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17" w:lineRule="exact"/>
        <w:rPr>
          <w:sz w:val="20"/>
          <w:szCs w:val="20"/>
          <w:color w:val="auto"/>
        </w:rPr>
      </w:pPr>
      <w:r>
        <w:rPr>
          <w:rFonts w:ascii="Arial" w:cs="Arial" w:eastAsia="Arial" w:hAnsi="Arial"/>
          <w:sz w:val="16"/>
          <w:szCs w:val="16"/>
          <w:color w:val="auto"/>
        </w:rPr>
        <w:t>uncertain, and in some countries, we expect that it may exceed 12 months. Risks related to pricing and reimbursement are described below under “—Other Risks Relating to our Business— Health care reform measures could impact the pricing and profitability of pharmaceuticals, and adversely affect the commercial viability of our products and drug candidates. Our ability to generate revenues will be diminished if we are unable to obtain an adequate level of reimbursement from private insurers, government insurance programs or other third-party payors of health care costs, which could be affected by current and potential healthcare reform legislation.” If government and other third</w:t>
      </w:r>
      <w:r>
        <w:rPr>
          <w:rFonts w:ascii="MS PGothic" w:cs="MS PGothic" w:eastAsia="MS PGothic" w:hAnsi="MS PGothic"/>
          <w:sz w:val="16"/>
          <w:szCs w:val="16"/>
          <w:color w:val="auto"/>
        </w:rPr>
        <w:t>‑</w:t>
      </w:r>
      <w:r>
        <w:rPr>
          <w:rFonts w:ascii="Arial" w:cs="Arial" w:eastAsia="Arial" w:hAnsi="Arial"/>
          <w:sz w:val="16"/>
          <w:szCs w:val="16"/>
          <w:color w:val="auto"/>
        </w:rPr>
        <w:t>party payors refuse to provide coverage and reimbursement with respect to our products, determine to provide a lower level of coverage and reimbursement than anticipated, or reduce previously approved levels of coverage and reimbursement, then our pricing or reimbursement for our products may be affected and our product sales, results of operations or financial condition could be harmed.</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depend upon a limited number of specialty pharmacies and wholesalers for a significant portion of any revenues from JAKAFI, and the loss of, or significant reduction in sales to, any one of these specialty pharmacies or wholesalers could adversely affect our operations and financial condition.</w:t>
      </w:r>
    </w:p>
    <w:p>
      <w:pPr>
        <w:spacing w:after="0" w:line="18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We sell JAKAFI primarily to specialty pharmacies and wholesalers. Specialty pharmacies dispense JAKAFI to patients in fulfillment of prescriptions and wholesalers sell JAKAFI to hospitals and physician offices. We do not promote JAKAFI to specialty pharmacies or wholesalers, and they do not set or determine demand for JAKAFI. Our ability to successfully commercialize JAKAFI will depend, in part, on the extent to which we are able to provide adequate distribution of JAKAFI to patients. Although we have contracted with a number of specialty pharmacies and wholesalers, they are expected generally to carry a very limited inventory and may be reluctant to be part of our distribution network in the future if demand for the product does not increase. Further, it is possible that these specialty pharmacies and wholesalers could decide to change their policies or fees, or both, at some time in the future. This could result in their refusal to carry smaller volume products such as JAKAFI, or lower margins or the need to find alternative methods of distributing our product. Although we believe we can find alternative channels to distribute JAKAFI on relatively short notice, our revenue during that period of time may suffer and we may incur additional costs to replace any such specialty pharmacy or wholesaler. The loss of any large specialty pharmacy or wholesaler as part of our distribution network, a significant reduction in sales we make to specialty pharmacies or wholesalers, or any failure to pay for the products we have shipped to them could materially and adversely affect our results of operations and financial condition.</w:t>
      </w:r>
    </w:p>
    <w:p>
      <w:pPr>
        <w:spacing w:after="0" w:line="18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If we are unable to establish and maintain effective sales, marketing and distribution capabilities, or to enter into agreements with third parties to do so, we will not be able to successfully commercialize our products.</w:t>
      </w:r>
    </w:p>
    <w:p>
      <w:pPr>
        <w:spacing w:after="0" w:line="147" w:lineRule="exact"/>
        <w:rPr>
          <w:sz w:val="20"/>
          <w:szCs w:val="20"/>
          <w:color w:val="auto"/>
        </w:rPr>
      </w:pPr>
    </w:p>
    <w:p>
      <w:pPr>
        <w:jc w:val="both"/>
        <w:ind w:firstLine="648"/>
        <w:spacing w:after="0" w:line="217" w:lineRule="exact"/>
        <w:rPr>
          <w:sz w:val="20"/>
          <w:szCs w:val="20"/>
          <w:color w:val="auto"/>
        </w:rPr>
      </w:pPr>
      <w:r>
        <w:rPr>
          <w:rFonts w:ascii="Arial" w:cs="Arial" w:eastAsia="Arial" w:hAnsi="Arial"/>
          <w:sz w:val="17"/>
          <w:szCs w:val="17"/>
          <w:color w:val="auto"/>
        </w:rPr>
        <w:t>Prior to our commercialization of JAKAFI, we had no experience selling and marketing drug products and with pricing and obtaining adequate third</w:t>
      </w:r>
      <w:r>
        <w:rPr>
          <w:rFonts w:ascii="MS PGothic" w:cs="MS PGothic" w:eastAsia="MS PGothic" w:hAnsi="MS PGothic"/>
          <w:sz w:val="17"/>
          <w:szCs w:val="17"/>
          <w:color w:val="auto"/>
        </w:rPr>
        <w:t>‑</w:t>
      </w:r>
      <w:r>
        <w:rPr>
          <w:rFonts w:ascii="Arial" w:cs="Arial" w:eastAsia="Arial" w:hAnsi="Arial"/>
          <w:sz w:val="17"/>
          <w:szCs w:val="17"/>
          <w:color w:val="auto"/>
        </w:rPr>
        <w:t>party reimbursement for drug products. Under our collaboration and license agreement with Novartis, we have retained commercialization rights to JAKAFI in the United States. We have established commercial capabilities in the United States, but cannot guarantee that we will be able to enter into and maintain any marketing, distribution or third</w:t>
      </w:r>
      <w:r>
        <w:rPr>
          <w:rFonts w:ascii="MS PGothic" w:cs="MS PGothic" w:eastAsia="MS PGothic" w:hAnsi="MS PGothic"/>
          <w:sz w:val="17"/>
          <w:szCs w:val="17"/>
          <w:color w:val="auto"/>
        </w:rPr>
        <w:t>‑</w:t>
      </w:r>
      <w:r>
        <w:rPr>
          <w:rFonts w:ascii="Arial" w:cs="Arial" w:eastAsia="Arial" w:hAnsi="Arial"/>
          <w:sz w:val="17"/>
          <w:szCs w:val="17"/>
          <w:color w:val="auto"/>
        </w:rPr>
        <w:t>party logistics agreements with third</w:t>
      </w:r>
      <w:r>
        <w:rPr>
          <w:rFonts w:ascii="MS PGothic" w:cs="MS PGothic" w:eastAsia="MS PGothic" w:hAnsi="MS PGothic"/>
          <w:sz w:val="17"/>
          <w:szCs w:val="17"/>
          <w:color w:val="auto"/>
        </w:rPr>
        <w:t>‑</w:t>
      </w:r>
      <w:r>
        <w:rPr>
          <w:rFonts w:ascii="Arial" w:cs="Arial" w:eastAsia="Arial" w:hAnsi="Arial"/>
          <w:sz w:val="17"/>
          <w:szCs w:val="17"/>
          <w:color w:val="auto"/>
        </w:rPr>
        <w:t>party providers on acceptable terms, if at all. In connection with our June 2016 acquisition from ARIAD Pharmaceuticals, Inc. we licensed rights to develop and commercialize ICLUSIG in certain countries and we acquired the European sales, marketing and distribution operations of ARIAD. We may not be able to maintain those operations or retain their personnel or distribution arrangements. We may not be able to correctly judge the size and experience of the sales and marketing force and the scale of distribution capabilities necessary to successfully market and sell our products. Establishing and maintaining sales, marketing and distribution capabilities are expensive and time</w:t>
      </w:r>
      <w:r>
        <w:rPr>
          <w:rFonts w:ascii="MS PGothic" w:cs="MS PGothic" w:eastAsia="MS PGothic" w:hAnsi="MS PGothic"/>
          <w:sz w:val="17"/>
          <w:szCs w:val="17"/>
          <w:color w:val="auto"/>
        </w:rPr>
        <w:t>‑</w:t>
      </w:r>
      <w:r>
        <w:rPr>
          <w:rFonts w:ascii="Arial" w:cs="Arial" w:eastAsia="Arial" w:hAnsi="Arial"/>
          <w:sz w:val="17"/>
          <w:szCs w:val="17"/>
          <w:color w:val="auto"/>
        </w:rPr>
        <w:t>consuming. Competition for personnel with experience in sales and marketing can be high. Our expenses associated with building and maintaining the sales force and distribution capabilities may be disproportional compared to the revenues we may be able to generate on sales of our products.</w:t>
      </w:r>
    </w:p>
    <w:p>
      <w:pPr>
        <w:spacing w:after="0" w:line="20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comply with applicable laws and regulations, we could lose our approval to market our products or be subject to other governmental enforcement activity.</w:t>
      </w:r>
    </w:p>
    <w:p>
      <w:pPr>
        <w:spacing w:after="0" w:line="170" w:lineRule="exact"/>
        <w:rPr>
          <w:sz w:val="20"/>
          <w:szCs w:val="20"/>
          <w:color w:val="auto"/>
        </w:rPr>
      </w:pPr>
    </w:p>
    <w:p>
      <w:pPr>
        <w:jc w:val="both"/>
        <w:ind w:firstLine="648"/>
        <w:spacing w:after="0" w:line="220" w:lineRule="exact"/>
        <w:rPr>
          <w:sz w:val="20"/>
          <w:szCs w:val="20"/>
          <w:color w:val="auto"/>
        </w:rPr>
      </w:pPr>
      <w:r>
        <w:rPr>
          <w:rFonts w:ascii="Arial" w:cs="Arial" w:eastAsia="Arial" w:hAnsi="Arial"/>
          <w:sz w:val="17"/>
          <w:szCs w:val="17"/>
          <w:color w:val="auto"/>
        </w:rPr>
        <w:t>We cannot guarantee that we will be able to maintain regulatory approval to market our products in the jurisdictions in which they are currently marketed. If we do not maintain our regulatory approval to market our products, in particular JAKAFI, our results of operations will be materially harmed. We and our collaborators, third</w:t>
      </w:r>
      <w:r>
        <w:rPr>
          <w:rFonts w:ascii="MS PGothic" w:cs="MS PGothic" w:eastAsia="MS PGothic" w:hAnsi="MS PGothic"/>
          <w:sz w:val="17"/>
          <w:szCs w:val="17"/>
          <w:color w:val="auto"/>
        </w:rPr>
        <w:t>‑</w:t>
      </w:r>
      <w:r>
        <w:rPr>
          <w:rFonts w:ascii="Arial" w:cs="Arial" w:eastAsia="Arial" w:hAnsi="Arial"/>
          <w:sz w:val="17"/>
          <w:szCs w:val="17"/>
          <w:color w:val="auto"/>
        </w:rPr>
        <w:t>party manufacturers and suppliers are subject to rigorous and extensive regulation by the FDA and other federal and state</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6" w:name="page67"/>
    <w:bookmarkEnd w:id="6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agencies as well as foreign governmental agencies. These regulations continue to apply after product marketing approval, and cover, among other things, testing, manufacturing, quality control, labeling, advertising, promotion, risk mitigation, and adverse event reporting requirements.</w:t>
      </w:r>
    </w:p>
    <w:p>
      <w:pPr>
        <w:spacing w:after="0" w:line="181" w:lineRule="exact"/>
        <w:rPr>
          <w:sz w:val="20"/>
          <w:szCs w:val="20"/>
          <w:color w:val="auto"/>
        </w:rPr>
      </w:pPr>
    </w:p>
    <w:p>
      <w:pPr>
        <w:jc w:val="both"/>
        <w:ind w:firstLine="648"/>
        <w:spacing w:after="0" w:line="217" w:lineRule="exact"/>
        <w:rPr>
          <w:sz w:val="20"/>
          <w:szCs w:val="20"/>
          <w:color w:val="auto"/>
        </w:rPr>
      </w:pPr>
      <w:r>
        <w:rPr>
          <w:rFonts w:ascii="Arial" w:cs="Arial" w:eastAsia="Arial" w:hAnsi="Arial"/>
          <w:sz w:val="16"/>
          <w:szCs w:val="16"/>
          <w:color w:val="auto"/>
        </w:rPr>
        <w:t>The commercialization of our products is subject to post</w:t>
      </w:r>
      <w:r>
        <w:rPr>
          <w:rFonts w:ascii="MS PGothic" w:cs="MS PGothic" w:eastAsia="MS PGothic" w:hAnsi="MS PGothic"/>
          <w:sz w:val="16"/>
          <w:szCs w:val="16"/>
          <w:color w:val="auto"/>
        </w:rPr>
        <w:t>‑</w:t>
      </w:r>
      <w:r>
        <w:rPr>
          <w:rFonts w:ascii="Arial" w:cs="Arial" w:eastAsia="Arial" w:hAnsi="Arial"/>
          <w:sz w:val="16"/>
          <w:szCs w:val="16"/>
          <w:color w:val="auto"/>
        </w:rPr>
        <w:t>regulatory approval product surveillance, and our products may have to be withdrawn from the market or subject to restrictions if previously unknown problems occur. Regulatory agencies may also require additional clinical trials or testing for our products, and our products may be recalled or may be subject to reformulation, additional studies, changes in labeling, warnings to the public and negative publicity. For example, from late 2013 through 2014, ICLUSIG was subject to review by the European Medicines Agency, or EMA, of the benefits and risks of ICLUSIG to better understand the nature, frequency and severity of events obstructing the arteries or veins, the potential mechanism that leads to these side effects and whether there needed to be a revision in the dosing recommendation, patient monitoring and a risk management plan for ICLUSIG. This review was completed in January 2015, with additional warnings in the product information but without any change in the approved indications. The EMA could take additional actions in the future that reduce the commercial potential of ICLUSIG.</w:t>
      </w:r>
    </w:p>
    <w:p>
      <w:pPr>
        <w:spacing w:after="0" w:line="207"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Failure to comply with the laws and regulations administered by the FDA or other agencies could result in:</w:t>
      </w:r>
    </w:p>
    <w:p>
      <w:pPr>
        <w:spacing w:after="0" w:line="225" w:lineRule="exact"/>
        <w:rPr>
          <w:sz w:val="20"/>
          <w:szCs w:val="20"/>
          <w:color w:val="auto"/>
        </w:rPr>
      </w:pPr>
    </w:p>
    <w:p>
      <w:pPr>
        <w:ind w:left="980" w:hanging="329"/>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administrative and judicial sanctions, including warning letters;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fines and other civil penalties;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suspension or withdrawal of regulatory approval to market our products;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interruption of production;</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operating restrictions;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product recall or seizure;</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injunctions; and</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criminal prosecution.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occurrence of any such event may have a material adverse effect on our business.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If the use of our products harms patients, or is perceived to harm patients even when such harm is unrelated to our products, our regulatory approvals could be revoked or otherwise negatively impacted or we could be subject to costly and damaging product liability claims.</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testing of JAKAFI and ICLUSIG, the manufacturing, marketing and sale of JAKAFI and the marketing and sale of ICLUSIG expose us to product liability and other risks. Side effects and other problems experienced by patients from the use of our products could:</w:t>
      </w:r>
    </w:p>
    <w:p>
      <w:pPr>
        <w:spacing w:after="0" w:line="181" w:lineRule="exact"/>
        <w:rPr>
          <w:sz w:val="20"/>
          <w:szCs w:val="20"/>
          <w:color w:val="auto"/>
        </w:rPr>
      </w:pPr>
    </w:p>
    <w:p>
      <w:pPr>
        <w:ind w:left="980" w:hanging="329"/>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lessen the frequency with which physicians decide to prescribe our products;</w:t>
      </w:r>
    </w:p>
    <w:p>
      <w:pPr>
        <w:spacing w:after="0" w:line="225" w:lineRule="exact"/>
        <w:rPr>
          <w:rFonts w:ascii="Arial" w:cs="Arial" w:eastAsia="Arial" w:hAnsi="Arial"/>
          <w:sz w:val="18"/>
          <w:szCs w:val="18"/>
          <w:color w:val="auto"/>
        </w:rPr>
      </w:pPr>
    </w:p>
    <w:p>
      <w:pPr>
        <w:ind w:left="980" w:hanging="329"/>
        <w:spacing w:after="0" w:line="277"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encourage physicians to stop prescribing our products to their patients who previously had been prescribed our products;</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cause serious harm to patients that may give rise to product liability claims against us; and</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result in our need to withdraw or recall our products from the marketplace.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7" w:name="page68"/>
    <w:bookmarkEnd w:id="6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If our products are used by a wide patient population, new risks and side effects may be discovered, the rate of known risks or side effects may increase, and risks previously viewed as less significant could be determined to be significant.</w:t>
      </w:r>
    </w:p>
    <w:p>
      <w:pPr>
        <w:spacing w:after="0" w:line="181" w:lineRule="exact"/>
        <w:rPr>
          <w:sz w:val="20"/>
          <w:szCs w:val="20"/>
          <w:color w:val="auto"/>
        </w:rPr>
      </w:pPr>
    </w:p>
    <w:p>
      <w:pPr>
        <w:jc w:val="both"/>
        <w:ind w:firstLine="648"/>
        <w:spacing w:after="0" w:line="217" w:lineRule="exact"/>
        <w:rPr>
          <w:sz w:val="20"/>
          <w:szCs w:val="20"/>
          <w:color w:val="auto"/>
        </w:rPr>
      </w:pPr>
      <w:r>
        <w:rPr>
          <w:rFonts w:ascii="Arial" w:cs="Arial" w:eastAsia="Arial" w:hAnsi="Arial"/>
          <w:sz w:val="16"/>
          <w:szCs w:val="16"/>
          <w:color w:val="auto"/>
        </w:rPr>
        <w:t>Previously unknown risks and adverse effects of our products may also be discovered in connection with unapproved, or off</w:t>
      </w:r>
      <w:r>
        <w:rPr>
          <w:rFonts w:ascii="MS PGothic" w:cs="MS PGothic" w:eastAsia="MS PGothic" w:hAnsi="MS PGothic"/>
          <w:sz w:val="16"/>
          <w:szCs w:val="16"/>
          <w:color w:val="auto"/>
        </w:rPr>
        <w:t>‑</w:t>
      </w:r>
      <w:r>
        <w:rPr>
          <w:rFonts w:ascii="Arial" w:cs="Arial" w:eastAsia="Arial" w:hAnsi="Arial"/>
          <w:sz w:val="16"/>
          <w:szCs w:val="16"/>
          <w:color w:val="auto"/>
        </w:rPr>
        <w:t>label, uses of our products. We are prohibited by law from promoting or in any way supporting or encouraging the promotion of our products for off</w:t>
      </w:r>
      <w:r>
        <w:rPr>
          <w:rFonts w:ascii="MS PGothic" w:cs="MS PGothic" w:eastAsia="MS PGothic" w:hAnsi="MS PGothic"/>
          <w:sz w:val="16"/>
          <w:szCs w:val="16"/>
          <w:color w:val="auto"/>
        </w:rPr>
        <w:t>‑</w:t>
      </w:r>
      <w:r>
        <w:rPr>
          <w:rFonts w:ascii="Arial" w:cs="Arial" w:eastAsia="Arial" w:hAnsi="Arial"/>
          <w:sz w:val="16"/>
          <w:szCs w:val="16"/>
          <w:color w:val="auto"/>
        </w:rPr>
        <w:t>label uses, but physicians are permitted to use products for off</w:t>
      </w:r>
      <w:r>
        <w:rPr>
          <w:rFonts w:ascii="MS PGothic" w:cs="MS PGothic" w:eastAsia="MS PGothic" w:hAnsi="MS PGothic"/>
          <w:sz w:val="16"/>
          <w:szCs w:val="16"/>
          <w:color w:val="auto"/>
        </w:rPr>
        <w:t>‑</w:t>
      </w:r>
      <w:r>
        <w:rPr>
          <w:rFonts w:ascii="Arial" w:cs="Arial" w:eastAsia="Arial" w:hAnsi="Arial"/>
          <w:sz w:val="16"/>
          <w:szCs w:val="16"/>
          <w:color w:val="auto"/>
        </w:rPr>
        <w:t>label purposes. In addition, we are studying and expect to continue to study JAKAFI in diseases for potential additional indications in controlled clinical settings, and independent investigators are doing so as well. In the event of any new risks or adverse effects discovered as new patients are treated for intermediate or high</w:t>
      </w:r>
      <w:r>
        <w:rPr>
          <w:rFonts w:ascii="MS PGothic" w:cs="MS PGothic" w:eastAsia="MS PGothic" w:hAnsi="MS PGothic"/>
          <w:sz w:val="16"/>
          <w:szCs w:val="16"/>
          <w:color w:val="auto"/>
        </w:rPr>
        <w:t>‑</w:t>
      </w:r>
      <w:r>
        <w:rPr>
          <w:rFonts w:ascii="Arial" w:cs="Arial" w:eastAsia="Arial" w:hAnsi="Arial"/>
          <w:sz w:val="16"/>
          <w:szCs w:val="16"/>
          <w:color w:val="auto"/>
        </w:rPr>
        <w:t>risk myelofibrosis or uncontrolled polycythemia vera and as JAKAFI is studied in or used by patients for off</w:t>
      </w:r>
      <w:r>
        <w:rPr>
          <w:rFonts w:ascii="MS PGothic" w:cs="MS PGothic" w:eastAsia="MS PGothic" w:hAnsi="MS PGothic"/>
          <w:sz w:val="16"/>
          <w:szCs w:val="16"/>
          <w:color w:val="auto"/>
        </w:rPr>
        <w:t>‑</w:t>
      </w:r>
      <w:r>
        <w:rPr>
          <w:rFonts w:ascii="Arial" w:cs="Arial" w:eastAsia="Arial" w:hAnsi="Arial"/>
          <w:sz w:val="16"/>
          <w:szCs w:val="16"/>
          <w:color w:val="auto"/>
        </w:rPr>
        <w:t>label indications, regulatory authorities may delay or revoke their approvals, we may be required to conduct additional clinical trials, make changes in labeling of JAKAFI, reformulate JAKAFI or make changes and obtain new approvals. We may also experience a significant drop in the sales of JAKAFI, experience harm to our reputation and the reputation of JAKAFI in the marketplace or become subject to lawsuits, including class actions. Any of these results could decrease or prevent sales of JAKAFI or substantially increase the costs and expenses of commercializing JAKAFI. Similar results could occur with respect to our commercialization of ICLUSIG.</w:t>
      </w:r>
    </w:p>
    <w:p>
      <w:pPr>
        <w:spacing w:after="0" w:line="206" w:lineRule="exact"/>
        <w:rPr>
          <w:sz w:val="20"/>
          <w:szCs w:val="20"/>
          <w:color w:val="auto"/>
        </w:rPr>
      </w:pPr>
    </w:p>
    <w:p>
      <w:pPr>
        <w:jc w:val="both"/>
        <w:ind w:firstLine="648"/>
        <w:spacing w:after="0" w:line="217" w:lineRule="exact"/>
        <w:rPr>
          <w:sz w:val="20"/>
          <w:szCs w:val="20"/>
          <w:color w:val="auto"/>
        </w:rPr>
      </w:pPr>
      <w:r>
        <w:rPr>
          <w:rFonts w:ascii="Arial" w:cs="Arial" w:eastAsia="Arial" w:hAnsi="Arial"/>
          <w:sz w:val="16"/>
          <w:szCs w:val="16"/>
          <w:color w:val="auto"/>
        </w:rPr>
        <w:t>Patients who have been enrolled in our clinical trials or who may use our products in the future often have severe and advanced stages of disease and known as well as unknown significant pre</w:t>
      </w:r>
      <w:r>
        <w:rPr>
          <w:rFonts w:ascii="MS PGothic" w:cs="MS PGothic" w:eastAsia="MS PGothic" w:hAnsi="MS PGothic"/>
          <w:sz w:val="16"/>
          <w:szCs w:val="16"/>
          <w:color w:val="auto"/>
        </w:rPr>
        <w:t>‑</w:t>
      </w:r>
      <w:r>
        <w:rPr>
          <w:rFonts w:ascii="Arial" w:cs="Arial" w:eastAsia="Arial" w:hAnsi="Arial"/>
          <w:sz w:val="16"/>
          <w:szCs w:val="16"/>
          <w:color w:val="auto"/>
        </w:rPr>
        <w:t>existing and potentially life</w:t>
      </w:r>
      <w:r>
        <w:rPr>
          <w:rFonts w:ascii="MS PGothic" w:cs="MS PGothic" w:eastAsia="MS PGothic" w:hAnsi="MS PGothic"/>
          <w:sz w:val="16"/>
          <w:szCs w:val="16"/>
          <w:color w:val="auto"/>
        </w:rPr>
        <w:t>‑</w:t>
      </w:r>
      <w:r>
        <w:rPr>
          <w:rFonts w:ascii="Arial" w:cs="Arial" w:eastAsia="Arial" w:hAnsi="Arial"/>
          <w:sz w:val="16"/>
          <w:szCs w:val="16"/>
          <w:color w:val="auto"/>
        </w:rPr>
        <w:t>threatening health risks. During the course of treatment, patients may suffer adverse events, including death, for reasons that may or may not be related to our products. Such events could subject us to costly litigation, require us to pay substantial amounts of money to injured patients, delay, negatively impact or end our opportunity to receive or maintain regulatory approval to market our products, or require us to suspend or abandon our commercialization efforts. Even in a circumstance in which we do not believe that an adverse event is related to our products, the investigation into the circumstance may be time consuming or inconclusive. These investigations may interrupt our sales efforts, impact and limit the type of regulatory approvals our products receive or maintain, or delay the regulatory approval process in other countries.</w:t>
      </w:r>
    </w:p>
    <w:p>
      <w:pPr>
        <w:spacing w:after="0" w:line="20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Factors similar to those listed above also apply to our collaboration partner Novartis and to ICLUSIG for jurisdictions outside the United States.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market our products in a manner that violates various laws and regulations, we may be subject to civil or criminal penalties.</w:t>
      </w:r>
    </w:p>
    <w:p>
      <w:pPr>
        <w:spacing w:after="0" w:line="170" w:lineRule="exact"/>
        <w:rPr>
          <w:sz w:val="20"/>
          <w:szCs w:val="20"/>
          <w:color w:val="auto"/>
        </w:rPr>
      </w:pPr>
    </w:p>
    <w:p>
      <w:pPr>
        <w:jc w:val="both"/>
        <w:ind w:firstLine="648"/>
        <w:spacing w:after="0" w:line="218" w:lineRule="exact"/>
        <w:rPr>
          <w:sz w:val="20"/>
          <w:szCs w:val="20"/>
          <w:color w:val="auto"/>
        </w:rPr>
      </w:pPr>
      <w:r>
        <w:rPr>
          <w:rFonts w:ascii="Arial" w:cs="Arial" w:eastAsia="Arial" w:hAnsi="Arial"/>
          <w:sz w:val="17"/>
          <w:szCs w:val="17"/>
          <w:color w:val="auto"/>
        </w:rPr>
        <w:t>In addition to FDA and related regulatory requirements, we are subject to health care “fraud and abuse” laws, such as the federal False Claims Act, the anti</w:t>
      </w:r>
      <w:r>
        <w:rPr>
          <w:rFonts w:ascii="MS PGothic" w:cs="MS PGothic" w:eastAsia="MS PGothic" w:hAnsi="MS PGothic"/>
          <w:sz w:val="17"/>
          <w:szCs w:val="17"/>
          <w:color w:val="auto"/>
        </w:rPr>
        <w:t>‑</w:t>
      </w:r>
      <w:r>
        <w:rPr>
          <w:rFonts w:ascii="Arial" w:cs="Arial" w:eastAsia="Arial" w:hAnsi="Arial"/>
          <w:sz w:val="17"/>
          <w:szCs w:val="17"/>
          <w:color w:val="auto"/>
        </w:rPr>
        <w:t>kickback provisions of the federal Social Security Act, and other state and federal laws and regulations. Federal and state anti</w:t>
      </w:r>
      <w:r>
        <w:rPr>
          <w:rFonts w:ascii="MS PGothic" w:cs="MS PGothic" w:eastAsia="MS PGothic" w:hAnsi="MS PGothic"/>
          <w:sz w:val="17"/>
          <w:szCs w:val="17"/>
          <w:color w:val="auto"/>
        </w:rPr>
        <w:t>‑</w:t>
      </w:r>
      <w:r>
        <w:rPr>
          <w:rFonts w:ascii="Arial" w:cs="Arial" w:eastAsia="Arial" w:hAnsi="Arial"/>
          <w:sz w:val="17"/>
          <w:szCs w:val="17"/>
          <w:color w:val="auto"/>
        </w:rPr>
        <w:t>kickback laws prohibit, among other things, knowingly and willfully offering, paying, soliciting or receiving remuneration to induce, or in return for purchasing, leasing, ordering or arranging for the purchase, lease or order of any health care item or service reimbursable under Medicare, Medicaid, or other federally</w:t>
      </w:r>
      <w:r>
        <w:rPr>
          <w:rFonts w:ascii="MS PGothic" w:cs="MS PGothic" w:eastAsia="MS PGothic" w:hAnsi="MS PGothic"/>
          <w:sz w:val="17"/>
          <w:szCs w:val="17"/>
          <w:color w:val="auto"/>
        </w:rPr>
        <w:t>‑</w:t>
      </w:r>
      <w:r>
        <w:rPr>
          <w:rFonts w:ascii="Arial" w:cs="Arial" w:eastAsia="Arial" w:hAnsi="Arial"/>
          <w:sz w:val="17"/>
          <w:szCs w:val="17"/>
          <w:color w:val="auto"/>
        </w:rPr>
        <w:t xml:space="preserve"> or state</w:t>
      </w:r>
      <w:r>
        <w:rPr>
          <w:rFonts w:ascii="MS PGothic" w:cs="MS PGothic" w:eastAsia="MS PGothic" w:hAnsi="MS PGothic"/>
          <w:sz w:val="17"/>
          <w:szCs w:val="17"/>
          <w:color w:val="auto"/>
        </w:rPr>
        <w:t>‑</w:t>
      </w:r>
      <w:r>
        <w:rPr>
          <w:rFonts w:ascii="Arial" w:cs="Arial" w:eastAsia="Arial" w:hAnsi="Arial"/>
          <w:sz w:val="17"/>
          <w:szCs w:val="17"/>
          <w:color w:val="auto"/>
        </w:rPr>
        <w:t>financed health care programs. Federal false claims laws prohibit any person from knowingly presenting, or causing to be presented, a false claim for payment to the federal government, or knowingly making, or causing to be made, a false statement to get a false claim paid. Pharmaceutical companies have been prosecuted under these laws for a variety of alleged promotional and marketing activities.</w:t>
      </w:r>
    </w:p>
    <w:p>
      <w:pPr>
        <w:spacing w:after="0" w:line="204" w:lineRule="exact"/>
        <w:rPr>
          <w:sz w:val="20"/>
          <w:szCs w:val="20"/>
          <w:color w:val="auto"/>
        </w:rPr>
      </w:pPr>
    </w:p>
    <w:p>
      <w:pPr>
        <w:jc w:val="both"/>
        <w:ind w:firstLine="648"/>
        <w:spacing w:after="0" w:line="218" w:lineRule="exact"/>
        <w:rPr>
          <w:sz w:val="20"/>
          <w:szCs w:val="20"/>
          <w:color w:val="auto"/>
        </w:rPr>
      </w:pPr>
      <w:r>
        <w:rPr>
          <w:rFonts w:ascii="Arial" w:cs="Arial" w:eastAsia="Arial" w:hAnsi="Arial"/>
          <w:sz w:val="17"/>
          <w:szCs w:val="17"/>
          <w:color w:val="auto"/>
        </w:rPr>
        <w:t>Although physicians are permitted, based on their medical judgment, to prescribe products for indications other than those approved by the FDA, manufacturers are prohibited from promoting their products for such off</w:t>
      </w:r>
      <w:r>
        <w:rPr>
          <w:rFonts w:ascii="MS PGothic" w:cs="MS PGothic" w:eastAsia="MS PGothic" w:hAnsi="MS PGothic"/>
          <w:sz w:val="17"/>
          <w:szCs w:val="17"/>
          <w:color w:val="auto"/>
        </w:rPr>
        <w:t>‑</w:t>
      </w:r>
      <w:r>
        <w:rPr>
          <w:rFonts w:ascii="Arial" w:cs="Arial" w:eastAsia="Arial" w:hAnsi="Arial"/>
          <w:sz w:val="17"/>
          <w:szCs w:val="17"/>
          <w:color w:val="auto"/>
        </w:rPr>
        <w:t>label uses. We market JAKAFI for intermediate or high</w:t>
      </w:r>
      <w:r>
        <w:rPr>
          <w:rFonts w:ascii="MS PGothic" w:cs="MS PGothic" w:eastAsia="MS PGothic" w:hAnsi="MS PGothic"/>
          <w:sz w:val="17"/>
          <w:szCs w:val="17"/>
          <w:color w:val="auto"/>
        </w:rPr>
        <w:t>‑</w:t>
      </w:r>
      <w:r>
        <w:rPr>
          <w:rFonts w:ascii="Arial" w:cs="Arial" w:eastAsia="Arial" w:hAnsi="Arial"/>
          <w:sz w:val="17"/>
          <w:szCs w:val="17"/>
          <w:color w:val="auto"/>
        </w:rPr>
        <w:t>risk myelofibrosis and uncontrolled polycythemia vera and provide promotional materials to physicians regarding the use of JAKAFI for these indications. Although we believe that our promotional materials for physicians do not constitute off</w:t>
      </w:r>
      <w:r>
        <w:rPr>
          <w:rFonts w:ascii="MS PGothic" w:cs="MS PGothic" w:eastAsia="MS PGothic" w:hAnsi="MS PGothic"/>
          <w:sz w:val="17"/>
          <w:szCs w:val="17"/>
          <w:color w:val="auto"/>
        </w:rPr>
        <w:t>‑</w:t>
      </w:r>
      <w:r>
        <w:rPr>
          <w:rFonts w:ascii="Arial" w:cs="Arial" w:eastAsia="Arial" w:hAnsi="Arial"/>
          <w:sz w:val="17"/>
          <w:szCs w:val="17"/>
          <w:color w:val="auto"/>
        </w:rPr>
        <w:t>label promotion of JAKAFI, the FDA or other agencies may disagree. If the FDA or another agency determines that our promotional materials or other activities constitute off</w:t>
      </w:r>
      <w:r>
        <w:rPr>
          <w:rFonts w:ascii="MS PGothic" w:cs="MS PGothic" w:eastAsia="MS PGothic" w:hAnsi="MS PGothic"/>
          <w:sz w:val="17"/>
          <w:szCs w:val="17"/>
          <w:color w:val="auto"/>
        </w:rPr>
        <w:t>‑</w:t>
      </w:r>
      <w:r>
        <w:rPr>
          <w:rFonts w:ascii="Arial" w:cs="Arial" w:eastAsia="Arial" w:hAnsi="Arial"/>
          <w:sz w:val="17"/>
          <w:szCs w:val="17"/>
          <w:color w:val="auto"/>
        </w:rPr>
        <w:t>label promotion of JAKAFI, it could request that we modify our promotional materials or other activities or subject us to regulatory enforcement actions, including the issuance of a warning letter, injunction, seizure, civil fine and criminal penalties. It is also possible that other federal, state or foreign enforcement authorities might take action if they believe that the alleged improper promotion led to the submission and payment of claims for an unapproved use, which could result in significant</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8" w:name="page69"/>
    <w:bookmarkEnd w:id="6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fines or penalties under other statutory authorities, such as laws prohibiting false claims for reimbursement. Even if it is later determined we are not in violation of these laws, we may be faced with negative publicity, incur significant expenses defending our position and have to divert significant management resources from other matters.</w:t>
      </w:r>
    </w:p>
    <w:p>
      <w:pPr>
        <w:spacing w:after="0" w:line="16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European Union and member countries impose similar strict restrictions on the promotion and marketing of drug products. The off-label promotion of medicinal products is prohibited in the EU and in other territories. The promotion of medicinal products that are not subject to a marketing authorization is also prohibited in the EU. Violations of the rules governing the promotion of medicinal products in the EU and in other territories could be penalized by administrative measures, fines and imprisonment.</w:t>
      </w:r>
    </w:p>
    <w:p>
      <w:pPr>
        <w:spacing w:after="0" w:line="188" w:lineRule="exact"/>
        <w:rPr>
          <w:sz w:val="20"/>
          <w:szCs w:val="20"/>
          <w:color w:val="auto"/>
        </w:rPr>
      </w:pPr>
    </w:p>
    <w:p>
      <w:pPr>
        <w:jc w:val="both"/>
        <w:ind w:firstLine="648"/>
        <w:spacing w:after="0" w:line="217" w:lineRule="exact"/>
        <w:rPr>
          <w:sz w:val="20"/>
          <w:szCs w:val="20"/>
          <w:color w:val="auto"/>
        </w:rPr>
      </w:pPr>
      <w:r>
        <w:rPr>
          <w:rFonts w:ascii="Arial" w:cs="Arial" w:eastAsia="Arial" w:hAnsi="Arial"/>
          <w:sz w:val="16"/>
          <w:szCs w:val="16"/>
          <w:color w:val="auto"/>
        </w:rPr>
        <w:t>The majority of states also have statutes or regulations similar to the federal anti</w:t>
      </w:r>
      <w:r>
        <w:rPr>
          <w:rFonts w:ascii="MS PGothic" w:cs="MS PGothic" w:eastAsia="MS PGothic" w:hAnsi="MS PGothic"/>
          <w:sz w:val="16"/>
          <w:szCs w:val="16"/>
          <w:color w:val="auto"/>
        </w:rPr>
        <w:t>‑</w:t>
      </w:r>
      <w:r>
        <w:rPr>
          <w:rFonts w:ascii="Arial" w:cs="Arial" w:eastAsia="Arial" w:hAnsi="Arial"/>
          <w:sz w:val="16"/>
          <w:szCs w:val="16"/>
          <w:color w:val="auto"/>
        </w:rPr>
        <w:t>kickback law and false claims laws, which apply to items and services reimbursed under Medicaid and other state programs, or, in several states, apply regardless of the payor. In recent years, several states and localities, including California, Connecticut, the District of Columbia, Massachusetts, Minnesota, Nevada, New Mexico, Texas, Vermont, and West Virginia, have enacted legislation requiring pharmaceutical companies to establish marketing compliance programs, file periodic reports with the state or make periodic public disclosures on sales, marketing, pricing, clinical trials, and other activities. Similar legislation is being considered in other states. Additionally, as part of the Patient Protection and Affordable Care Act, the federal government has enacted the Physician Payment Sunshine provisions. The Sunshine provisions require manufacturers to publicly report certain payments or other transfers of value made to physicians and teaching hospitals. Many of these requirements are new and uncertain, and the penalties for failure to comply with these requirements are unclear. Nonetheless, if we are found not to be in full compliance with these laws, we could face enforcement action and fines and other penalties, and could receive adverse publicity. See also “—Other Risks Relating to our Business—If we fail to comply with the extensive legal and regulatory requirements affecting the health care industry, we could face increased costs, penalties and a loss of business” below.</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 for our products could harm our business and result in a decrease in our revenue.</w:t>
      </w:r>
    </w:p>
    <w:p>
      <w:pPr>
        <w:spacing w:after="0" w:line="22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Present and potential competitors for JAKAFI could include major pharmaceutical and biotechnology companies, as well as specialty pharmaceutical firms. For example, in February 2018, Celgene Corporation acquired Impact Biomedicines, which was developing fedratinib, a drug candidate for the treatment of myelofibrosis and polycythemia vera. See “—Other Risks Relating to our Business— We face significant competition for our drug discovery and development efforts, and if we do not compete effectively, our commercial opportunities will be reduced or eliminated” for a description of risks relating to this type of competition. In addition, JAKAFI could face competition from generic products. As a result of the Drug Price Competition and Patent Term Restoration Act of 1984, commonly known as the Hatch-Waxman Act, in the United States, generic manufacturers may seek approval of a generic version of an innovative pharmaceutical by filing with the FDA an Abbreviated New Drug Application, or ANDA. The Hatch-Waxman Act provides significant incentives to generic manufacturers to challenge U.S. patents on successful innovative pharmaceutical products. In February 2016, we received a notice letter regarding an ANDA that requested approval to market a generic version of JAKAFI and purported to challenge patents covering ruxolitinib phosphate and its use that expire in 2028. The notice letter does not challenge the ruxolitinib composition of matter patent, which expires in December 2027. To date, to our knowledge, the FDA has taken no action with respect to this ANDA. Separately, in January 2018 the Patent Trial and Appeal Board of United States Patent and Trademark Office denied a petition challenging our patent covering deuterated ruxolitinib analogs, although the challenging party retains the right to challenge the validity of the patent in federal court. There can be no assurance that our patents will be upheld or that any litigation in which we might engage with any such generic manufacturer would be successful in protecting JAKAFI’s exclusivity. The entry of a generic version of JAKAFI could result in a decrease in JAKAFI sales and materially harm our business, operating results and financial condition.</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ICLUSIG currently competes with existing therapies that are approved for the treatment of patients with chronic myeloid leukemia, or CML, who are resistant or intolerant to prior tyrosine kinase inhibitor, or TKI, therapies, on the basis of, among other things, efficacy, cost, breadth of approved use and the safety and side-effect profile. In addition, a generic version of imatinib was launched in the United States in February 2016, and generic versions are expected to be launched in other markets. Although we currently believe that generic versions of imatinib will not materially impact our commercialization of ICLUSIG, given ICLUSIG’s various indication statements globally that are currently focused on</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9" w:name="page70"/>
    <w:bookmarkEnd w:id="6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resistant or intolerant CML, we cannot be certain how physicians, payors, patients, regulatory authorities and other market participants will respond to the availability of generic versions of imatinib.</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RISKS RELATING TO OUR BUSINESS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unsuccessful in our efforts to discover and develop drug candidates and commercialize drug products.</w:t>
      </w:r>
    </w:p>
    <w:p>
      <w:pPr>
        <w:spacing w:after="0" w:line="24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None of our drug candidates, other than JAKAFI/JAKAVI, has received regulatory approval. Our ability to discover and develop drug candidates and to commercialize additional drug products will depend on our ability to:</w:t>
      </w:r>
    </w:p>
    <w:p>
      <w:pPr>
        <w:spacing w:after="0" w:line="170" w:lineRule="exact"/>
        <w:rPr>
          <w:sz w:val="20"/>
          <w:szCs w:val="20"/>
          <w:color w:val="auto"/>
        </w:rPr>
      </w:pPr>
    </w:p>
    <w:p>
      <w:pPr>
        <w:ind w:left="980" w:hanging="329"/>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hire and retain key employees;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identify high quality therapeutic targets;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identify potential drug candidates;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develop products internally or license drug candidates from others;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identify and enroll suitable human subjects, either in the United States or abroad, for our clinical trials;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complete laboratory testing;</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commence, conduct and complete safe and effective clinical trials on humans;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obtain and maintain necessary intellectual property rights to our products;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obtain and maintain necessary regulatory approvals for our products, both in the United States and abroad;</w:t>
      </w:r>
    </w:p>
    <w:p>
      <w:pPr>
        <w:spacing w:after="0" w:line="236" w:lineRule="exact"/>
        <w:rPr>
          <w:rFonts w:ascii="Arial" w:cs="Arial" w:eastAsia="Arial" w:hAnsi="Arial"/>
          <w:sz w:val="17"/>
          <w:szCs w:val="17"/>
          <w:color w:val="auto"/>
        </w:rPr>
      </w:pPr>
    </w:p>
    <w:p>
      <w:pPr>
        <w:ind w:left="980" w:hanging="329"/>
        <w:spacing w:after="0"/>
        <w:tabs>
          <w:tab w:leader="none" w:pos="9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enter into arrangements with third parties to provide services or to manufacture our products on our behalf;</w:t>
      </w:r>
    </w:p>
    <w:p>
      <w:pPr>
        <w:spacing w:after="0" w:line="236" w:lineRule="exact"/>
        <w:rPr>
          <w:rFonts w:ascii="Arial" w:cs="Arial" w:eastAsia="Arial" w:hAnsi="Arial"/>
          <w:sz w:val="17"/>
          <w:szCs w:val="17"/>
          <w:color w:val="auto"/>
        </w:rPr>
      </w:pPr>
    </w:p>
    <w:p>
      <w:pPr>
        <w:ind w:left="980" w:hanging="329"/>
        <w:spacing w:after="0" w:line="277"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deploy sales and marketing resources effectively or enter into arrangements with third parties to provide these functions in compliance with all applicable laws;</w:t>
      </w:r>
    </w:p>
    <w:p>
      <w:pPr>
        <w:spacing w:after="0" w:line="170" w:lineRule="exact"/>
        <w:rPr>
          <w:rFonts w:ascii="Arial" w:cs="Arial" w:eastAsia="Arial" w:hAnsi="Arial"/>
          <w:sz w:val="18"/>
          <w:szCs w:val="18"/>
          <w:color w:val="auto"/>
        </w:rPr>
      </w:pPr>
    </w:p>
    <w:p>
      <w:pPr>
        <w:ind w:left="980" w:hanging="329"/>
        <w:spacing w:after="0" w:line="223" w:lineRule="exact"/>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obtain appropriate coverage and reimbursement levels for the cost of our products from governmental authorities, private health insurers and other third</w:t>
      </w:r>
      <w:r>
        <w:rPr>
          <w:rFonts w:ascii="MS PGothic" w:cs="MS PGothic" w:eastAsia="MS PGothic" w:hAnsi="MS PGothic"/>
          <w:sz w:val="18"/>
          <w:szCs w:val="18"/>
          <w:color w:val="auto"/>
        </w:rPr>
        <w:t>‑</w:t>
      </w:r>
      <w:r>
        <w:rPr>
          <w:rFonts w:ascii="Arial" w:cs="Arial" w:eastAsia="Arial" w:hAnsi="Arial"/>
          <w:sz w:val="18"/>
          <w:szCs w:val="18"/>
          <w:color w:val="auto"/>
        </w:rPr>
        <w:t>party payors;</w:t>
      </w:r>
    </w:p>
    <w:p>
      <w:pPr>
        <w:spacing w:after="0" w:line="203" w:lineRule="exact"/>
        <w:rPr>
          <w:rFonts w:ascii="Arial" w:cs="Arial" w:eastAsia="Arial" w:hAnsi="Arial"/>
          <w:sz w:val="18"/>
          <w:szCs w:val="18"/>
          <w:color w:val="auto"/>
        </w:rPr>
      </w:pPr>
    </w:p>
    <w:p>
      <w:pPr>
        <w:ind w:left="980" w:hanging="329"/>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lease facilities at reasonable rates to support our growth; and</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enter into arrangements with third parties to license and commercialize our products.</w:t>
      </w:r>
    </w:p>
    <w:p>
      <w:pPr>
        <w:spacing w:after="0" w:line="225" w:lineRule="exact"/>
        <w:rPr>
          <w:sz w:val="20"/>
          <w:szCs w:val="20"/>
          <w:color w:val="auto"/>
        </w:rPr>
      </w:pPr>
    </w:p>
    <w:p>
      <w:pPr>
        <w:jc w:val="both"/>
        <w:ind w:firstLine="648"/>
        <w:spacing w:after="0" w:line="219" w:lineRule="exact"/>
        <w:rPr>
          <w:sz w:val="20"/>
          <w:szCs w:val="20"/>
          <w:color w:val="auto"/>
        </w:rPr>
      </w:pPr>
      <w:r>
        <w:rPr>
          <w:rFonts w:ascii="Arial" w:cs="Arial" w:eastAsia="Arial" w:hAnsi="Arial"/>
          <w:sz w:val="17"/>
          <w:szCs w:val="17"/>
          <w:color w:val="auto"/>
        </w:rPr>
        <w:t>We have limited experience with many of the activities listed above and may not be successful in discovering, developing, or commercializing additional drug products. Discovery and development of drug candidates are expensive, uncertain and time</w:t>
      </w:r>
      <w:r>
        <w:rPr>
          <w:rFonts w:ascii="MS PGothic" w:cs="MS PGothic" w:eastAsia="MS PGothic" w:hAnsi="MS PGothic"/>
          <w:sz w:val="17"/>
          <w:szCs w:val="17"/>
          <w:color w:val="auto"/>
        </w:rPr>
        <w:t>‑</w:t>
      </w:r>
      <w:r>
        <w:rPr>
          <w:rFonts w:ascii="Arial" w:cs="Arial" w:eastAsia="Arial" w:hAnsi="Arial"/>
          <w:sz w:val="17"/>
          <w:szCs w:val="17"/>
          <w:color w:val="auto"/>
        </w:rPr>
        <w:t>consuming, and we do not know if our efforts will lead to discovery of any drug candidates that can be successfully developed and marketed. Of the compounds or biologics that we identify as potential drug products or that we may in</w:t>
      </w:r>
      <w:r>
        <w:rPr>
          <w:rFonts w:ascii="MS PGothic" w:cs="MS PGothic" w:eastAsia="MS PGothic" w:hAnsi="MS PGothic"/>
          <w:sz w:val="17"/>
          <w:szCs w:val="17"/>
          <w:color w:val="auto"/>
        </w:rPr>
        <w:t>‑</w:t>
      </w:r>
      <w:r>
        <w:rPr>
          <w:rFonts w:ascii="Arial" w:cs="Arial" w:eastAsia="Arial" w:hAnsi="Arial"/>
          <w:sz w:val="17"/>
          <w:szCs w:val="17"/>
          <w:color w:val="auto"/>
        </w:rPr>
        <w:t>license from other companies, including potential products for which we are conducting clinical trials, only a few, if any, are likely to lead to successful drug development programs and commercialized drug products.</w:t>
      </w:r>
    </w:p>
    <w:p>
      <w:pPr>
        <w:spacing w:after="0" w:line="20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We depend heavily on the success of our most advanced drug candidates. We might not be able to commercialize any of our drug candidates successfully, and we may spend significant time and money attempting to do so.</w:t>
      </w:r>
    </w:p>
    <w:p>
      <w:pPr>
        <w:spacing w:after="0" w:line="124"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We have invested significant resources in the development of our most advanced drug candidates. Ruxolitinib is in Phase II and Phase III clinical trials for the treatment of patients with steroid-refractory graft-versus-host disease and is in other clinical trials. Itacitinib is in a Phase III clinical trial for the treatment of patients with acute graft-versus-host</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0" w:name="page71"/>
    <w:bookmarkEnd w:id="7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disease, and epacadostat was in a number of Phase III clinical trials. Further, we have a number of drug candidates in Phase I and Phase II clinical trials. Our ability to generate product revenues will depend on the successful development and eventual commercialization of our most advanced drug candidates. We, or our collaborators or licensees, may decide to discontinue development of any or all of our drug candidates at any time for commercial, scientific or other reasons. For example: in early 2016, we decided to discontinue the clinical trials of ruxolitinib in pancreatic cancer and solid tumors and itacitinib in pancreatic cancer; and, in April 2018, we along with Merck stopped the ECHO-301 study with epacadostat, and we also significantly downsized the epacadostat development program. If a product is developed but not approved or marketed, we may have spent significant amounts of time and money on it, which could adversely affect our operating results and financial condition as well as our business plans.</w:t>
      </w:r>
    </w:p>
    <w:p>
      <w:pPr>
        <w:spacing w:after="0" w:line="182" w:lineRule="exact"/>
        <w:rPr>
          <w:sz w:val="20"/>
          <w:szCs w:val="20"/>
          <w:color w:val="auto"/>
        </w:rPr>
      </w:pPr>
    </w:p>
    <w:p>
      <w:pPr>
        <w:jc w:val="both"/>
        <w:spacing w:after="0" w:line="381" w:lineRule="auto"/>
        <w:rPr>
          <w:sz w:val="20"/>
          <w:szCs w:val="20"/>
          <w:color w:val="auto"/>
        </w:rPr>
      </w:pPr>
      <w:r>
        <w:rPr>
          <w:rFonts w:ascii="Arial" w:cs="Arial" w:eastAsia="Arial" w:hAnsi="Arial"/>
          <w:sz w:val="15"/>
          <w:szCs w:val="15"/>
          <w:b w:val="1"/>
          <w:bCs w:val="1"/>
          <w:i w:val="1"/>
          <w:iCs w:val="1"/>
          <w:color w:val="auto"/>
        </w:rPr>
        <w:t>If we or our collaborators are unable to obtain regulatory approval for our drug candidates in the United States and foreign jurisdictions, we or our collaborators will not be permitted to commercialize products resulting from our research.</w:t>
      </w:r>
    </w:p>
    <w:p>
      <w:pPr>
        <w:spacing w:after="0" w:line="10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order to commercialize drug products in the United States, drug candidates will have to obtain regulatory approval from the FDA. Satisfaction of regulatory requirements typically takes many years. To obtain regulatory approval, we or our collaborators, as the case may be, must first show that our drug candidates are safe and effective for target indications through preclinical testing (animal testing) and clinical trials (human testing). Preclinical testing and clinical development are long, expensive and uncertain processes, and we do not know whether the FDA will allow us or our collaborators to undertake clinical trials of any drug candidates in addition to our compounds currently in clinical trials. If regulatory approval of a product is granted, this approval will be limited to those disease states and conditions for which the product is demonstrated through clinical trials to be safe and effective.</w:t>
      </w:r>
    </w:p>
    <w:p>
      <w:pPr>
        <w:spacing w:after="0" w:line="17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Completion of clinical trials may take several years and failure may occur at any stage of testing. The length of time required varies substantially according to the type, complexity, novelty and intended use of the drug candidate. Interim results of a preclinical test or clinical trial do not necessarily predict final results, and acceptable results in early clinical trials may not be repeated in later clinical trials. For example, a drug candidate that is successful at the preclinical level may cause harmful or dangerous side effects when tested at the clinical level. Our rate of commencement and completion of clinical trials may be delayed, and existing clinical trials with our drug candidates may be stopped, due to many potential factors, including:</w:t>
      </w:r>
    </w:p>
    <w:p>
      <w:pPr>
        <w:spacing w:after="0" w:line="189" w:lineRule="exact"/>
        <w:rPr>
          <w:sz w:val="20"/>
          <w:szCs w:val="20"/>
          <w:color w:val="auto"/>
        </w:rPr>
      </w:pPr>
    </w:p>
    <w:p>
      <w:pPr>
        <w:ind w:left="980" w:hanging="329"/>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high degree of risk and uncertainty associated with drug development;</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inability to formulate or manufacture sufficient quantities of materials for use in clinical trials;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variability in the number and types of patients available for each study;</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difficulty in maintaining contact with patients after treatment, resulting in incomplete data;</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unforeseen safety issues or side effects;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poor or unanticipated effectiveness of drug candidates during the clinical trials; or</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government or regulatory delays.</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Data obtained from clinical trials are susceptible to varying interpretation, which may delay, limit or prevent regulatory approval. Many companies in the pharmaceutical and biopharmaceutical industry, including our company, have suffered significant setbacks in advanced clinical trials, even after achieving promising results in earlier clinical trials. In addition, regulatory authorities may refuse or delay approval as a result of other factors, such as changes in regulatory policy during the period of product development and regulatory agency review. For example, the FDA has in the past required, and could in the future require, that we or our collaborators conduct additional trials of any of our drug candidates, which would result in delays. In April 2017, we and our collaborator Lilly announced that the FDA had issued a complete response letter for the New Drug Application, or NDA, of OLUMIANT as a once-daily oral medication for the treatment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1" w:name="page72"/>
    <w:bookmarkEnd w:id="7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of moderate-to-severe rheumatoid arthritis. The letter indicated that additional clinical data were needed to determine the most appropriate doses and to further characterize safety concerns across treatment arms. In June 2018, after a resubmission of the NDA, the FDA approved the 2mg dose of OLUMIANT for the treatment of adults with moderately-to-severely active rheumatoid arthritis who have had an inadequate response to one or more tumor necrosis factor inhibitor therapies. The FDA did not at that time approve any higher dose of OLUMIANT and required a warning label in connection with its approval.</w:t>
      </w:r>
    </w:p>
    <w:p>
      <w:pPr>
        <w:spacing w:after="0" w:line="15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Compounds or biologics developed by us or with or by our collaborators and licensees may not prove to be safe and effective in clinical trials and may not meet all of the applicable regulatory requirements needed to receive marketing approval. For example, in January 2016, a Phase II trial that was evaluating ruxolitinib in combination with regorafenib in patients with relapsed or refractory metastatic colorectal cancer and high C-reactive protein was stopped early after a planned analysis of interim efficacy data determined that the likelihood of the trial meeting its efficacy endpoint was insufficient. In addition, in February 2016, we made a decision to discontinue our JANUS 1 study, our JANUS 2 study, our other studies of ruxolitinib in colorectal, breast and lung cancer, and our study of INCB39110 in pancreatic cancer after a planned analysis of interim efficacy data of JANUS 1 demonstrated that ruxolitinib plus capecitabine did not show a sufficient level of efficacy to warrant continuation. Also, in April 2018, we along with Merck announced that the ECHO-301 study had been stopped and we also significantly downsized the epacadostat development program. If clinical trials of any of our compounds or biologics are stopped for safety, efficacy or other reasons or fail to meet their respective endpoints, our overall development plans, business, prospects, expected operating results and financial condition could be materially harmed and the value of our company could be negatively affected.</w:t>
      </w:r>
    </w:p>
    <w:p>
      <w:pPr>
        <w:spacing w:after="0" w:line="18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Outside the United States, our and our collaborators’ ability to market a product is contingent upon receiving a marketing authorization from the appropriate regulatory authorities. This foreign regulatory approval process typically includes all of the risks associated with the FDA approval process described above and may also include additional risks. The requirements governing the conduct of clinical trials, product licensing, pricing and reimbursement vary greatly from country to country and may require us to perform additional testing and expend additional resources. Approval by the FDA does not ensure approval by regulatory authorities in other countries, and approval by one foreign regulatory authority does not ensure approval by regulatory authorities in other countries or by the FDA.</w:t>
      </w:r>
    </w:p>
    <w:p>
      <w:pPr>
        <w:spacing w:after="0" w:line="178" w:lineRule="exact"/>
        <w:rPr>
          <w:sz w:val="20"/>
          <w:szCs w:val="20"/>
          <w:color w:val="auto"/>
        </w:rPr>
      </w:pPr>
    </w:p>
    <w:p>
      <w:pPr>
        <w:jc w:val="both"/>
        <w:spacing w:after="0" w:line="220" w:lineRule="exact"/>
        <w:rPr>
          <w:sz w:val="20"/>
          <w:szCs w:val="20"/>
          <w:color w:val="auto"/>
        </w:rPr>
      </w:pPr>
      <w:r>
        <w:rPr>
          <w:rFonts w:ascii="Arial" w:cs="Arial" w:eastAsia="Arial" w:hAnsi="Arial"/>
          <w:sz w:val="16"/>
          <w:szCs w:val="16"/>
          <w:b w:val="1"/>
          <w:bCs w:val="1"/>
          <w:i w:val="1"/>
          <w:iCs w:val="1"/>
          <w:color w:val="auto"/>
        </w:rPr>
        <w:t>Health care reform measures could impact the pricing and profitability of pharmaceuticals, and adversely affect the commercial viability of our products and drug candidates. Our ability to generate revenues will be diminished if we are unable to obtain an adequate level of reimbursement from private insurers, government insurance programs or other third</w:t>
      </w:r>
      <w:r>
        <w:rPr>
          <w:rFonts w:ascii="MS PGothic" w:cs="MS PGothic" w:eastAsia="MS PGothic" w:hAnsi="MS PGothic"/>
          <w:sz w:val="16"/>
          <w:szCs w:val="16"/>
          <w:b w:val="1"/>
          <w:bCs w:val="1"/>
          <w:i w:val="1"/>
          <w:iCs w:val="1"/>
          <w:color w:val="auto"/>
        </w:rPr>
        <w:t>‑</w:t>
      </w:r>
      <w:r>
        <w:rPr>
          <w:rFonts w:ascii="Arial" w:cs="Arial" w:eastAsia="Arial" w:hAnsi="Arial"/>
          <w:sz w:val="16"/>
          <w:szCs w:val="16"/>
          <w:b w:val="1"/>
          <w:bCs w:val="1"/>
          <w:i w:val="1"/>
          <w:iCs w:val="1"/>
          <w:color w:val="auto"/>
        </w:rPr>
        <w:t>party payors of health care costs, which could be affected by current and potential healthcare reform legislation.</w:t>
      </w:r>
    </w:p>
    <w:p>
      <w:pPr>
        <w:spacing w:after="0" w:line="203" w:lineRule="exact"/>
        <w:rPr>
          <w:sz w:val="20"/>
          <w:szCs w:val="20"/>
          <w:color w:val="auto"/>
        </w:rPr>
      </w:pPr>
    </w:p>
    <w:p>
      <w:pPr>
        <w:jc w:val="both"/>
        <w:ind w:firstLine="648"/>
        <w:spacing w:after="0" w:line="220" w:lineRule="exact"/>
        <w:rPr>
          <w:sz w:val="20"/>
          <w:szCs w:val="20"/>
          <w:color w:val="auto"/>
        </w:rPr>
      </w:pPr>
      <w:r>
        <w:rPr>
          <w:rFonts w:ascii="Arial" w:cs="Arial" w:eastAsia="Arial" w:hAnsi="Arial"/>
          <w:sz w:val="18"/>
          <w:szCs w:val="18"/>
          <w:color w:val="auto"/>
        </w:rPr>
        <w:t>Our ability to commercialize our current and any future approved products successfully will depend in part on the extent to which adequate reimbursement levels for the cost of our products and related treatment are obtained from third</w:t>
      </w:r>
      <w:r>
        <w:rPr>
          <w:rFonts w:ascii="MS PGothic" w:cs="MS PGothic" w:eastAsia="MS PGothic" w:hAnsi="MS PGothic"/>
          <w:sz w:val="18"/>
          <w:szCs w:val="18"/>
          <w:color w:val="auto"/>
        </w:rPr>
        <w:t>‑</w:t>
      </w:r>
      <w:r>
        <w:rPr>
          <w:rFonts w:ascii="Arial" w:cs="Arial" w:eastAsia="Arial" w:hAnsi="Arial"/>
          <w:sz w:val="18"/>
          <w:szCs w:val="18"/>
          <w:color w:val="auto"/>
        </w:rPr>
        <w:t>party payors, such as private insurers, government insurance programs, including Medicare and Medicaid, health maintenance organizations (HMOs) and other health care related organizations.</w:t>
      </w:r>
    </w:p>
    <w:p>
      <w:pPr>
        <w:spacing w:after="0" w:line="20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In recent years, through legislative and regulatory actions, the federal government has made substantial changes to various payment systems under the Medicare and other federal health care programs. Comprehensive reforms to the U.S. healthcare system were enacted, including changes to the methods for, and amounts of, Medicare reimbursement. While there is currently significant uncertainty regarding the implementation of some of these reforms or the scope of amended or additional reforms, the implementation of reforms could significantly reduce payments from Medicare and Medicaid. Reforms or other changes to these payment systems, may change the availability, methods and rates of reimbursements from Medicare, private insurers and other third-party payors for our current and any future approved products. Some of these changes and proposed changes could result in reduced reimbursement rates or in eliminating dual sources of payment, which could reduce the price that we or any of our collaborators or licensees receive for any products in the future, and which would adversely affect our business strategy, operations and financial results. Further federal and state proposals to regulate prices of pharmaceutical products and other health care reforms are possible, which could limit the prices that can be charged for any of our products and may further limit the commercial viability of our products and drug candidates. In certain foreign markets, pricing or profitability of prescription pharmaceuticals is subject to government control. If reimbursement for our products is unavailable or limited in scope or amount, or if pricing is set at unsatisfactory levels, our business could be materially harmed. There may be future changes that result in reductions in current coverage</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2" w:name="page73"/>
    <w:bookmarkEnd w:id="7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and reimbursement levels for our current or any future approved products, and we cannot predict the scope of any future changes or the impact that those changes would have on our operations.</w:t>
      </w:r>
    </w:p>
    <w:p>
      <w:pPr>
        <w:spacing w:after="0" w:line="170" w:lineRule="exact"/>
        <w:rPr>
          <w:sz w:val="20"/>
          <w:szCs w:val="20"/>
          <w:color w:val="auto"/>
        </w:rPr>
      </w:pPr>
    </w:p>
    <w:p>
      <w:pPr>
        <w:jc w:val="both"/>
        <w:ind w:firstLine="648"/>
        <w:spacing w:after="0" w:line="217" w:lineRule="exact"/>
        <w:rPr>
          <w:sz w:val="20"/>
          <w:szCs w:val="20"/>
          <w:color w:val="auto"/>
        </w:rPr>
      </w:pPr>
      <w:r>
        <w:rPr>
          <w:rFonts w:ascii="Arial" w:cs="Arial" w:eastAsia="Arial" w:hAnsi="Arial"/>
          <w:sz w:val="16"/>
          <w:szCs w:val="16"/>
          <w:color w:val="auto"/>
        </w:rPr>
        <w:t>Third</w:t>
      </w:r>
      <w:r>
        <w:rPr>
          <w:rFonts w:ascii="MS PGothic" w:cs="MS PGothic" w:eastAsia="MS PGothic" w:hAnsi="MS PGothic"/>
          <w:sz w:val="16"/>
          <w:szCs w:val="16"/>
          <w:color w:val="auto"/>
        </w:rPr>
        <w:t>‑</w:t>
      </w:r>
      <w:r>
        <w:rPr>
          <w:rFonts w:ascii="Arial" w:cs="Arial" w:eastAsia="Arial" w:hAnsi="Arial"/>
          <w:sz w:val="16"/>
          <w:szCs w:val="16"/>
          <w:color w:val="auto"/>
        </w:rPr>
        <w:t>party payors are increasingly challenging the prices charged for medical products and services. Also, the trend toward managed health care in the United States, the organizations for which could control or significantly influence the purchase of health care services and products, as well as legislative and regulatory proposals to reform health care or reduce government insurance programs, may all result in lower prices for or rejection of our products. Adoption of our products by the medical community may be limited without adequate reimbursement for those products. Cost control initiatives may decrease coverage and payment levels for our products and, in turn, the price that we will be able to charge for any product. Our products may not be considered cost</w:t>
      </w:r>
      <w:r>
        <w:rPr>
          <w:rFonts w:ascii="MS PGothic" w:cs="MS PGothic" w:eastAsia="MS PGothic" w:hAnsi="MS PGothic"/>
          <w:sz w:val="16"/>
          <w:szCs w:val="16"/>
          <w:color w:val="auto"/>
        </w:rPr>
        <w:t>‑</w:t>
      </w:r>
      <w:r>
        <w:rPr>
          <w:rFonts w:ascii="Arial" w:cs="Arial" w:eastAsia="Arial" w:hAnsi="Arial"/>
          <w:sz w:val="16"/>
          <w:szCs w:val="16"/>
          <w:color w:val="auto"/>
        </w:rPr>
        <w:t>effective, and coverage and reimbursement may not be available or sufficient to allow us to sell our products on a profitable basis. We are unable to predict all changes to the coverage or reimbursement methodologies that will be applied by private or government payors to our current and any future approved products.</w:t>
      </w:r>
    </w:p>
    <w:p>
      <w:pPr>
        <w:spacing w:after="0" w:line="208" w:lineRule="exact"/>
        <w:rPr>
          <w:sz w:val="20"/>
          <w:szCs w:val="20"/>
          <w:color w:val="auto"/>
        </w:rPr>
      </w:pPr>
    </w:p>
    <w:p>
      <w:pPr>
        <w:jc w:val="both"/>
        <w:ind w:firstLine="648"/>
        <w:spacing w:after="0" w:line="219" w:lineRule="exact"/>
        <w:rPr>
          <w:sz w:val="20"/>
          <w:szCs w:val="20"/>
          <w:color w:val="auto"/>
        </w:rPr>
      </w:pPr>
      <w:r>
        <w:rPr>
          <w:rFonts w:ascii="Arial" w:cs="Arial" w:eastAsia="Arial" w:hAnsi="Arial"/>
          <w:sz w:val="18"/>
          <w:szCs w:val="18"/>
          <w:color w:val="auto"/>
        </w:rPr>
        <w:t>The continuing efforts of legislatures, health agencies and third</w:t>
      </w:r>
      <w:r>
        <w:rPr>
          <w:rFonts w:ascii="MS PGothic" w:cs="MS PGothic" w:eastAsia="MS PGothic" w:hAnsi="MS PGothic"/>
          <w:sz w:val="18"/>
          <w:szCs w:val="18"/>
          <w:color w:val="auto"/>
        </w:rPr>
        <w:t>‑</w:t>
      </w:r>
      <w:r>
        <w:rPr>
          <w:rFonts w:ascii="Arial" w:cs="Arial" w:eastAsia="Arial" w:hAnsi="Arial"/>
          <w:sz w:val="18"/>
          <w:szCs w:val="18"/>
          <w:color w:val="auto"/>
        </w:rPr>
        <w:t>party payors to contain or reduce the costs of health care, any denial of private or government payor coverage or inadequate reimbursement for our drug candidates could materially and adversely affect our business strategy, operations, future revenues and profitability, and the future revenues and profitability of our potential customers, suppliers, collaborators and licensees and the availability of capital. The same risks apply to our compounds developed and marketed by our collaborators, and our future potential milestone and royalty revenues could be affected in a similar manner.</w:t>
      </w:r>
    </w:p>
    <w:p>
      <w:pPr>
        <w:spacing w:after="0" w:line="20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We depend on our collaborators and licensees for the future development and commercialization of some of our drug candidates. Conflicts may arise between our collaborators and licensees and us, or our collaborators and licensees may choose to terminate their agreements with us, which may adversely affect our business.</w:t>
      </w:r>
    </w:p>
    <w:p>
      <w:pPr>
        <w:spacing w:after="0" w:line="166"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We have licensed to Novartis rights to ruxolitinib outside of the United States and worldwide rights to our MET inhibitor compounds and licensed to Lilly worldwide rights to baricitinib. We have also licensed to Pfizer our portfolio of CCR2 antagonist compounds. Under the terms of our agreements with these collaborators, we have no or limited control over the further clinical development of these drug candidates and any revenues we may receive if these drug candidates receive regulatory approval and are commercialized will depend primarily on the development and commercialization efforts of others. While OLUMIANT was approved by the European Commission in February 2017 for the treatment of moderate-to-severe rheumatoid arthritis in adult patients and by Japan’s Ministry of Health, Labor and Welfare in July 2017 for the treatment of rheumatoid arthritis in patients with inadequate response to standard-of-care therapies, the NDA for OLUMIANT for the treatment of moderate-to-severe rheumatoid arthritis was approved in June 2018, and only in the lower dosage tablet and with a warning label. Delays in any marketing approval by the FDA, European or other regulatory authorities, or any label modifications or restrictions in connection with any such approval, or the existence of other risks relating to approved drug products, including those described under “Risks Relating to Commercialization of Our Products,” could delay the receipt of and reduce resulting potential royalty and milestone revenue from baricitinib or any of our other out-licensed drug candidates.</w:t>
      </w:r>
    </w:p>
    <w:p>
      <w:pPr>
        <w:spacing w:after="0" w:line="18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Conflicts may arise with our collaborators and licensees if they pursue alternative technologies or develop alternative products either on their own or in collaboration with others as a means for developing treatments for the diseases that we have targeted. Competing products and product opportunities may lead our collaborators and licensees to withdraw their support for our drug candidates. Any failure of our collaborators and licensees to perform their obligations under our agreements with them or otherwise to support our drug candidates could negatively impact the development of our drug candidates, lead to our loss of potential revenues from product sales and milestones and delay our achievement, if any, of profitability. Additionally, conflicts may arise if, among other things, there is a dispute about the achievement and payment of a milestone amount or the ownership of intellectual property that is developed during the course of a collaborative relationship.</w:t>
      </w:r>
    </w:p>
    <w:p>
      <w:pPr>
        <w:spacing w:after="0" w:line="19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Our existing collaborative and license agreements can be terminated by our collaborators and licensees for convenience, among other circumstances. If any of our collaborators or licensees terminates its agreement with us, or terminates its rights with respect to certain indications or drug candidates, we may not be able to find a new collaborator for them, and our business could be adversely affected. Should an agreement be terminated before we have realized the</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3" w:name="page74"/>
    <w:bookmarkEnd w:id="7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benefits of the collaboration or license, our reputation could be harmed, we may not obtain revenues that we anticipated receiving, and our business could be adversely affected.</w:t>
      </w:r>
    </w:p>
    <w:p>
      <w:pPr>
        <w:spacing w:after="0" w:line="170" w:lineRule="exact"/>
        <w:rPr>
          <w:sz w:val="20"/>
          <w:szCs w:val="20"/>
          <w:color w:val="auto"/>
        </w:rPr>
      </w:pPr>
    </w:p>
    <w:p>
      <w:pPr>
        <w:jc w:val="both"/>
        <w:spacing w:after="0" w:line="327" w:lineRule="auto"/>
        <w:rPr>
          <w:sz w:val="20"/>
          <w:szCs w:val="20"/>
          <w:color w:val="auto"/>
        </w:rPr>
      </w:pPr>
      <w:r>
        <w:rPr>
          <w:rFonts w:ascii="Arial" w:cs="Arial" w:eastAsia="Arial" w:hAnsi="Arial"/>
          <w:sz w:val="15"/>
          <w:szCs w:val="15"/>
          <w:b w:val="1"/>
          <w:bCs w:val="1"/>
          <w:i w:val="1"/>
          <w:iCs w:val="1"/>
          <w:color w:val="auto"/>
        </w:rPr>
        <w:t>The success of our drug discovery and development efforts may depend on our ability to find suitable collaborators to fully exploit our capabilities. If we are unable to establish collaborations or if these future collaborations are unsuccessful in the development and commercialization of our drug candidates, our research, development and commercialization efforts may be unsuccessful, which could adversely affect our results of operations and financial condition.</w:t>
      </w:r>
    </w:p>
    <w:p>
      <w:pPr>
        <w:spacing w:after="0" w:line="14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An important element of our business strategy is to enter into collaborative or license arrangements with other parties, under which we license our drug candidates to those parties for development and commercialization or under which we study our drug candidates in combination with other parties’ compounds or biologics. For example, in addition to our Novartis, Lilly and Pfizer collaborations, we have entered into clinical study relationships with respect to epacadostat and are evaluating strategic relationships with respect to several of our other programs. However, because collaboration and license arrangements are complex to negotiate, we may not be successful in our attempts to establish these arrangements. Also, we may not have drug candidates that are desirable to other parties, or we may be unwilling to license a drug candidate to a particular party because such party interested in it is a competitor or for other reasons. The terms of any such arrangements that we establish may not be favorable to us. Alternatively, potential collaborators may decide against entering into an agreement with us because of our financial, regulatory or intellectual property position or for scientific, commercial or other reasons. If we are not able to establish collaboration or license arrangements, we may not be able to develop and commercialize a drug product, which could adversely affect our business and our revenues.</w:t>
      </w:r>
    </w:p>
    <w:p>
      <w:pPr>
        <w:spacing w:after="0" w:line="16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We will likely not be able to control the amount and timing of resources that our collaborators or licensees devote to our programs or drug candidates. If our collaborators or licensees prove difficult to work with, are less skilled than we originally expected, do not devote adequate resources to the program, are unable to obtain regulatory approval of our drug candidates, pursue alternative technologies or develop alternative products, or do not agree with our approach to development or manufacturing of the drug candidate, the relationship could be unsuccessful. Our collaborations with respect to epacadostat involved the study of our collaborators’ drugs used in combination with epacadostat on a number of indications or tumor types, many of which were the same across multiple collaborations. We cannot assure you that potential conflicts will not arise or be alleged among these collaborations. If a business combination involving a collaborator or licensee and a third-party were to occur, the effect could be to terminate or cause delays in development of a drug candidate.</w:t>
      </w:r>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enter into additional licensing agreements or if these arrangements are unsuccessful, our business and operations might be adversely affected.</w:t>
      </w:r>
    </w:p>
    <w:p>
      <w:pPr>
        <w:spacing w:after="0" w:line="170"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In addition to establishing collaborative or license arrangements under which other parties license our drug candidates for development and commercialization or under which we study our drug candidates in combination with such parties’ compounds or biologics, we may explore opportunities to develop our clinical pipeline by in-licensing drug candidates or therapeutics targets that fit within our focus on oncology, such as our collaborations with Agenus Inc., Calithera Biosciences, Inc., MacroGenics, Inc., Merus N.V., and Syros Pharmaceuticals, Inc., or explore additional opportunities to further develop and commercialize existing drug candidates in specific jurisdictions, such as our June 2016 acquisition of the development and commercialization rights to ICLUSIG in certain countries. We may be unable to enter into any additional in-licensing agreements because suitable drug candidates that are within our expertise may not be available to us on terms that are acceptable to us or because competitors with greater resources seek to in-license the same drug candidates. Drug candidates that we would like to develop or commercialize may not be available to us because they are controlled by competitors who are unwilling to license the rights to the drug candidate to us. In addition, we may enter into license agreements that are unsuccessful and our business and operations might be adversely affected if we are unable to realize the expected economic benefits of a collaboration or other licensing arrangement, by the termination of a drug candidate and termination and winding down of the related license agreement, or due to other business or regulatory issues, including financial difficulties, that may adversely affect a licensor’s ability to continue to perform its obligations under an in-license agreement. As discussed above under “We depend on our collaborators and licensees for the future development and commercialization of some of our drug candidates. Conflicts may arise between our collaborators and licensees and us, or our collaborators and licensees may choose to terminate their agreements with us, which may adversely</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4" w:name="page75"/>
    <w:bookmarkEnd w:id="7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affect our business,” conflicts or other issues may arise with our licensors. Those conflicts could result in delays in our plans to develop drug candidates or result in the expenditure of additional funds to resolve those conflicts that could have an adverse effect on our results of operations. We may also need to license drug delivery or other technology in order to continue to develop our drug candidates. If we are unable to enter into additional agreements to license drug candidates, drug delivery technology or other technology or if these arrangements are unsuccessful, our research and development efforts could be adversely affected.</w:t>
      </w:r>
    </w:p>
    <w:p>
      <w:pPr>
        <w:spacing w:after="0" w:line="19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Even if a drug candidate that we develop receives regulatory approval, we may decide not to commercialize it if we determine that commercialization of that product would require more money and time than we are willing to invest.</w:t>
      </w:r>
    </w:p>
    <w:p>
      <w:pPr>
        <w:spacing w:after="0" w:line="124" w:lineRule="exact"/>
        <w:rPr>
          <w:sz w:val="20"/>
          <w:szCs w:val="20"/>
          <w:color w:val="auto"/>
        </w:rPr>
      </w:pPr>
    </w:p>
    <w:p>
      <w:pPr>
        <w:jc w:val="both"/>
        <w:ind w:firstLine="648"/>
        <w:spacing w:after="0" w:line="217" w:lineRule="exact"/>
        <w:rPr>
          <w:sz w:val="20"/>
          <w:szCs w:val="20"/>
          <w:color w:val="auto"/>
        </w:rPr>
      </w:pPr>
      <w:r>
        <w:rPr>
          <w:rFonts w:ascii="Arial" w:cs="Arial" w:eastAsia="Arial" w:hAnsi="Arial"/>
          <w:sz w:val="16"/>
          <w:szCs w:val="16"/>
          <w:color w:val="auto"/>
        </w:rPr>
        <w:t>Even if any of our drug candidates receives regulatory approval, it could be subject to post</w:t>
      </w:r>
      <w:r>
        <w:rPr>
          <w:rFonts w:ascii="MS PGothic" w:cs="MS PGothic" w:eastAsia="MS PGothic" w:hAnsi="MS PGothic"/>
          <w:sz w:val="16"/>
          <w:szCs w:val="16"/>
          <w:color w:val="auto"/>
        </w:rPr>
        <w:t>‑</w:t>
      </w:r>
      <w:r>
        <w:rPr>
          <w:rFonts w:ascii="Arial" w:cs="Arial" w:eastAsia="Arial" w:hAnsi="Arial"/>
          <w:sz w:val="16"/>
          <w:szCs w:val="16"/>
          <w:color w:val="auto"/>
        </w:rPr>
        <w:t>regulatory surveillance, and may have to be withdrawn from the market or subject to restrictions if previously unknown problems occur. Regulatory agencies may also require additional clinical trials or testing, and the drug product may be recalled or may be subject to reformulation, additional studies, changes in labeling, warnings to the public and negative publicity. As a result, we may not continue to commercialize a product even though it has obtained regulatory approval. Further, we may decide not to continue to commercialize a product if the market does not accept the product because it is too expensive or because third parties such as insurance companies or Medicare, have not approved it for substantial reimbursement. In addition, we may decide not to continue to commercialize a product if competitors develop and commercialize similar or superior products or have proprietary rights that preclude us from ultimately marketing our products.</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Any approved drug product that we bring to the market may not gain market acceptance by physicians, patients, healthcare payors and others in the medical community.</w:t>
      </w:r>
    </w:p>
    <w:p>
      <w:pPr>
        <w:spacing w:after="0" w:line="170" w:lineRule="exact"/>
        <w:rPr>
          <w:sz w:val="20"/>
          <w:szCs w:val="20"/>
          <w:color w:val="auto"/>
        </w:rPr>
      </w:pPr>
    </w:p>
    <w:p>
      <w:pPr>
        <w:jc w:val="both"/>
        <w:ind w:firstLine="648"/>
        <w:spacing w:after="0" w:line="218" w:lineRule="exact"/>
        <w:rPr>
          <w:sz w:val="20"/>
          <w:szCs w:val="20"/>
          <w:color w:val="auto"/>
        </w:rPr>
      </w:pPr>
      <w:r>
        <w:rPr>
          <w:rFonts w:ascii="Arial" w:cs="Arial" w:eastAsia="Arial" w:hAnsi="Arial"/>
          <w:sz w:val="16"/>
          <w:szCs w:val="16"/>
          <w:color w:val="auto"/>
        </w:rPr>
        <w:t>Even if we are successful in gaining regulatory approval of any of our drug candidates in addition to JAKAFI or acquire rights to approved drug products in addition to ICLUSIG, we may not generate significant product revenues and we may not become profitable if these drug products do not achieve an adequate level of acceptance. Physicians may not recommend our drug products until longer</w:t>
      </w:r>
      <w:r>
        <w:rPr>
          <w:rFonts w:ascii="MS PGothic" w:cs="MS PGothic" w:eastAsia="MS PGothic" w:hAnsi="MS PGothic"/>
          <w:sz w:val="16"/>
          <w:szCs w:val="16"/>
          <w:color w:val="auto"/>
        </w:rPr>
        <w:t>‑</w:t>
      </w:r>
      <w:r>
        <w:rPr>
          <w:rFonts w:ascii="Arial" w:cs="Arial" w:eastAsia="Arial" w:hAnsi="Arial"/>
          <w:sz w:val="16"/>
          <w:szCs w:val="16"/>
          <w:color w:val="auto"/>
        </w:rPr>
        <w:t>term clinical data or other factors demonstrate the safety and efficacy of our drug products as compared to other alternative treatments. Even if the clinical safety and efficacy of our drug products is established, physicians may elect not to prescribe these drug products for a variety of reasons, including the reimbursement policies of government and other third</w:t>
      </w:r>
      <w:r>
        <w:rPr>
          <w:rFonts w:ascii="MS PGothic" w:cs="MS PGothic" w:eastAsia="MS PGothic" w:hAnsi="MS PGothic"/>
          <w:sz w:val="16"/>
          <w:szCs w:val="16"/>
          <w:color w:val="auto"/>
        </w:rPr>
        <w:t>‑</w:t>
      </w:r>
      <w:r>
        <w:rPr>
          <w:rFonts w:ascii="Arial" w:cs="Arial" w:eastAsia="Arial" w:hAnsi="Arial"/>
          <w:sz w:val="16"/>
          <w:szCs w:val="16"/>
          <w:color w:val="auto"/>
        </w:rPr>
        <w:t>party payors and the effectiveness of our competitors in marketing their products.</w:t>
      </w:r>
    </w:p>
    <w:p>
      <w:pPr>
        <w:spacing w:after="0" w:line="20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Market acceptance of our drug products, if approved for commercial sale, will depend on a number of factors, including:</w:t>
      </w:r>
    </w:p>
    <w:p>
      <w:pPr>
        <w:spacing w:after="0" w:line="170" w:lineRule="exact"/>
        <w:rPr>
          <w:sz w:val="20"/>
          <w:szCs w:val="20"/>
          <w:color w:val="auto"/>
        </w:rPr>
      </w:pPr>
    </w:p>
    <w:p>
      <w:pPr>
        <w:ind w:left="980" w:hanging="329"/>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willingness and ability of patients and the healthcare community to use our drug products;</w:t>
      </w:r>
    </w:p>
    <w:p>
      <w:pPr>
        <w:spacing w:after="0" w:line="225" w:lineRule="exact"/>
        <w:rPr>
          <w:rFonts w:ascii="Arial" w:cs="Arial" w:eastAsia="Arial" w:hAnsi="Arial"/>
          <w:sz w:val="18"/>
          <w:szCs w:val="18"/>
          <w:color w:val="auto"/>
        </w:rPr>
      </w:pPr>
    </w:p>
    <w:p>
      <w:pPr>
        <w:ind w:left="980" w:hanging="329"/>
        <w:spacing w:after="0" w:line="277"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ability to manufacture our drug products in sufficient quantities with acceptable quality and to offer our drug products for sale at competitive prices;</w:t>
      </w:r>
    </w:p>
    <w:p>
      <w:pPr>
        <w:spacing w:after="0" w:line="170" w:lineRule="exact"/>
        <w:rPr>
          <w:rFonts w:ascii="Arial" w:cs="Arial" w:eastAsia="Arial" w:hAnsi="Arial"/>
          <w:sz w:val="18"/>
          <w:szCs w:val="18"/>
          <w:color w:val="auto"/>
        </w:rPr>
      </w:pPr>
    </w:p>
    <w:p>
      <w:pPr>
        <w:ind w:left="980" w:hanging="329"/>
        <w:spacing w:after="0" w:line="224" w:lineRule="exact"/>
        <w:tabs>
          <w:tab w:leader="none" w:pos="9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perception of patients and the healthcare community, including third</w:t>
      </w:r>
      <w:r>
        <w:rPr>
          <w:rFonts w:ascii="MS PGothic" w:cs="MS PGothic" w:eastAsia="MS PGothic" w:hAnsi="MS PGothic"/>
          <w:sz w:val="17"/>
          <w:szCs w:val="17"/>
          <w:color w:val="auto"/>
        </w:rPr>
        <w:t>‑</w:t>
      </w:r>
      <w:r>
        <w:rPr>
          <w:rFonts w:ascii="Arial" w:cs="Arial" w:eastAsia="Arial" w:hAnsi="Arial"/>
          <w:sz w:val="17"/>
          <w:szCs w:val="17"/>
          <w:color w:val="auto"/>
        </w:rPr>
        <w:t>party payors, regarding the safety, efficacy and benefits of our drug products compared to those of competing products or therapies;</w:t>
      </w:r>
    </w:p>
    <w:p>
      <w:pPr>
        <w:spacing w:after="0" w:line="201" w:lineRule="exact"/>
        <w:rPr>
          <w:rFonts w:ascii="Arial" w:cs="Arial" w:eastAsia="Arial" w:hAnsi="Arial"/>
          <w:sz w:val="17"/>
          <w:szCs w:val="17"/>
          <w:color w:val="auto"/>
        </w:rPr>
      </w:pPr>
    </w:p>
    <w:p>
      <w:pPr>
        <w:ind w:left="980" w:hanging="329"/>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label and promotional claims allowed by the FDA;</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pricing and reimbursement of our drug products relative to existing treatments; and</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marketing and distribution support for our drug products.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have limited capacity to conduct preclinical testing and clinical trials, and our resulting dependence on other parties could result in delays in and additional costs for our drug development efforts.</w:t>
      </w:r>
    </w:p>
    <w:p>
      <w:pPr>
        <w:spacing w:after="0" w:line="170"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We have limited internal resources and capacity to perform preclinical testing and clinical trials. As part of our development strategy, we often hire clinical research organizations, or CROs, to perform preclinical testing and clinical</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5" w:name="page76"/>
    <w:bookmarkEnd w:id="7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trials for drug candidates. If the CROs that we hire to perform our preclinical testing and clinical trials do not meet deadlines, do not follow proper procedures, or a conflict arises between us and our CROs, our preclinical testing and clinical trials may take longer than expected, may cost more, may be delayed or may be terminated. If we were forced to find a replacement entity to perform any of our preclinical testing or clinical trials, we may not be able to find a suitable entity on favorable terms, or at all. Even if we were able to find another company to perform a preclinical test or clinical trial, the delay in the test or trial may result in significant additional expenditures. Events such as these may result in delays in our obtaining regulatory approval for our drug candidates or our ability to commercialize our products and could result in increased expenditures that would adversely affect our operating results.</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face significant competition for our drug discovery and development efforts, and if we do not compete effectively, our commercial opportunities will be reduced or eliminated.</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biotechnology and pharmaceutical industries are intensely competitive and subject to rapid and significant technological change. Our drug discovery and development efforts may target diseases and conditions that are already subject to existing therapies or that are being developed by our competitors, many of which have substantially greater resources, larger research and development staffs and facilities, more experience in completing preclinical testing and clinical trials, and formulation, marketing and manufacturing capabilities. As a result of these resources, our competitors may develop drug products that render our products obsolete or noncompetitive by developing more effective drugs, developing their products more efficiently or pricing their products more competitively. Our ability to develop competitive products would be limited if our competitors succeeded in obtaining regulatory approvals for drug candidates more rapidly than we were able to or in obtaining patent protection or other intellectual property rights that limited our drug development efforts. Any drug products resulting from our research and development efforts, or from our joint efforts with collaborators or licensees, might not be able to compete successfully with our competitors’ existing and future products, or obtain regulatory approval in the United States or elsewhere. The development of products or processes by our competitors with significant advantages over those that we are developing could harm our future revenues and profitability.</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Our reliance on other parties to manufacture our drug products and drug candidates could result in a short supply of the drugs, delays in clinical trials or drug development, increased costs, and withdrawal or denial of a regulatory authority’s approval.</w:t>
      </w:r>
    </w:p>
    <w:p>
      <w:pPr>
        <w:spacing w:after="0" w:line="18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We do not currently operate manufacturing facilities for clinical or commercial production of JAKAFI and our other drug candidates or for ICLUSIG. We currently hire third parties to manufacture the raw materials, active pharmaceutical ingredient, or API, and finished drug product of JAKAFI, ICLUSIG and our other drug candidates for clinical trials. In addition, we expect to continue to rely on third parties for the manufacture of commercial supplies of raw materials, API and finished drug product for any drugs that we successfully develop. We also hire third parties to package and label the finished product. The FDA requires that the raw materials, API and finished product for JAKAFI and our other drug candidates be manufactured according to its current Good Manufacturing Practices regulations and regulatory authorities in other countries have similar requirements. There are only a limited number of manufacturers that comply with these requirements. Failure to comply with current Good Manufacturing Practices and the applicable regulatory requirements of other countries in the manufacture of our drug candidates and products could result in the FDA or a foreign regulatory authority halting our clinical trials, withdrawing or denying regulatory approval of our drug product, enforcing product recalls or other enforcement actions, which could have a material adverse effect on our business.</w:t>
      </w:r>
    </w:p>
    <w:p>
      <w:pPr>
        <w:spacing w:after="0" w:line="16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We may not be able to obtain sufficient quantities of our drug candidates or any drug products we may develop if our designated manufacturers do not have the capacity or capability to manufacture them according to our schedule and specifications. Manufacturers of pharmaceutical products often encounter difficulties in production, especially in scaling up initial production. These problems include difficulties with production costs and yields, quality control and assurance and shortages of qualified personnel. In addition, we may not be able to arrange for our drug candidates or any drug products that we may develop to be manufactured by one of these parties on reasonable terms, if at all. We generally have a single source or a limited number of suppliers that are qualified to supply each of the API and finished product of JAKAFI, ICLUSIG and our other drug candidates and, in the case of JAKAFI, we only have a single source for its raw materials. If any of these suppliers were to become unable or unwilling to supply us with raw materials, API or finished product that complies with applicable regulatory requirements, we could incur significant delays in our clinical trials or interruption of commercial supply that could have a material adverse effect on our business. If we have promised delivery</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6" w:name="page77"/>
    <w:bookmarkEnd w:id="7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of a drug candidate or drug product and are unable to meet the delivery requirement due to manufacturing difficulties, our development programs could be delayed, we may have to expend additional sums in order to ensure that manufacturing capacity is available when we need it even if we do not use all of the manufacturing capacity, and our business and operating results could be harmed.</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may not be able to adequately manage and oversee the manufacturers we choose, they may not perform as agreed or they may terminate their agreements with us. Foreign manufacturing approval processes typically include all of the risks associated with the FDA approval process for manufacturing and may also include additional risks.</w:t>
      </w:r>
    </w:p>
    <w:p>
      <w:pPr>
        <w:spacing w:after="0" w:line="166"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A number of our collaborations involve the manufacture of antibodies. Either we or our collaborators have primary responsibility for manufacturing activities, and we are currently using third-party contract manufacturing organizations. Manufacturing antibodies and products containing antibodies is a more complex process than manufacturing small molecule drugs and subject to additional risks. The process of manufacturing antibodies and products containing antibodies is highly susceptible to product loss due to contamination, equipment failure or improper installation or operation of equipment, vendor or operator error, inconsistency in yields, variability in product characteristics, and difficulties in scaling the production process. Even minor deviations from normal manufacturing processes could result in reduced production yields, product defects and other supply disruptions. If microbial, viral or other contaminations are discovered in our product candidates or in the manufacturing facilities in which our product candidates are made, such manufacturing facilities may need to be closed for an extended period of time to investigate and remedy the contamination.</w:t>
      </w:r>
    </w:p>
    <w:p>
      <w:pPr>
        <w:spacing w:after="0" w:line="1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comply with the extensive legal and regulatory requirements affecting the health care industry, we could face increased costs, penalties and a loss of business.</w:t>
      </w:r>
    </w:p>
    <w:p>
      <w:pPr>
        <w:spacing w:after="0" w:line="170" w:lineRule="exact"/>
        <w:rPr>
          <w:sz w:val="20"/>
          <w:szCs w:val="20"/>
          <w:color w:val="auto"/>
        </w:rPr>
      </w:pPr>
    </w:p>
    <w:p>
      <w:pPr>
        <w:jc w:val="both"/>
        <w:ind w:firstLine="648"/>
        <w:spacing w:after="0" w:line="218" w:lineRule="exact"/>
        <w:rPr>
          <w:sz w:val="20"/>
          <w:szCs w:val="20"/>
          <w:color w:val="auto"/>
        </w:rPr>
      </w:pPr>
      <w:r>
        <w:rPr>
          <w:rFonts w:ascii="Arial" w:cs="Arial" w:eastAsia="Arial" w:hAnsi="Arial"/>
          <w:sz w:val="16"/>
          <w:szCs w:val="16"/>
          <w:color w:val="auto"/>
        </w:rPr>
        <w:t>Our activities, and the activities of our collaborators, partners and third</w:t>
      </w:r>
      <w:r>
        <w:rPr>
          <w:rFonts w:ascii="MS PGothic" w:cs="MS PGothic" w:eastAsia="MS PGothic" w:hAnsi="MS PGothic"/>
          <w:sz w:val="16"/>
          <w:szCs w:val="16"/>
          <w:color w:val="auto"/>
        </w:rPr>
        <w:t>‑</w:t>
      </w:r>
      <w:r>
        <w:rPr>
          <w:rFonts w:ascii="Arial" w:cs="Arial" w:eastAsia="Arial" w:hAnsi="Arial"/>
          <w:sz w:val="16"/>
          <w:szCs w:val="16"/>
          <w:color w:val="auto"/>
        </w:rPr>
        <w:t>party providers, are subject to extensive government regulation and oversight both in the United States and in foreign jurisdictions. The FDA and comparable agencies in other jurisdictions directly regulate many of our most critical business activities, including the conduct of preclinical and clinical studies, product manufacturing, advertising and promotion, product distribution, adverse event reporting and product risk management. States increasingly have been placing greater restrictions on the marketing practices of healthcare companies. In addition, pharmaceutical and biotechnology companies have been the target of lawsuits and investigations alleging violations of government regulations, including claims asserting submission of incorrect pricing information, impermissible off</w:t>
      </w:r>
      <w:r>
        <w:rPr>
          <w:rFonts w:ascii="MS PGothic" w:cs="MS PGothic" w:eastAsia="MS PGothic" w:hAnsi="MS PGothic"/>
          <w:sz w:val="16"/>
          <w:szCs w:val="16"/>
          <w:color w:val="auto"/>
        </w:rPr>
        <w:t>‑</w:t>
      </w:r>
      <w:r>
        <w:rPr>
          <w:rFonts w:ascii="Arial" w:cs="Arial" w:eastAsia="Arial" w:hAnsi="Arial"/>
          <w:sz w:val="16"/>
          <w:szCs w:val="16"/>
          <w:color w:val="auto"/>
        </w:rPr>
        <w:t>label promotion of pharmaceutical products, payments intended to influence the referral of federal or state healthcare business, submission of false claims for government reimbursement, antitrust violations, violations of the U.S. Foreign Corrupt Practices Act, the U.K. Bribery Act and similar anti</w:t>
      </w:r>
      <w:r>
        <w:rPr>
          <w:rFonts w:ascii="MS PGothic" w:cs="MS PGothic" w:eastAsia="MS PGothic" w:hAnsi="MS PGothic"/>
          <w:sz w:val="16"/>
          <w:szCs w:val="16"/>
          <w:color w:val="auto"/>
        </w:rPr>
        <w:t>‑</w:t>
      </w:r>
      <w:r>
        <w:rPr>
          <w:rFonts w:ascii="Arial" w:cs="Arial" w:eastAsia="Arial" w:hAnsi="Arial"/>
          <w:sz w:val="16"/>
          <w:szCs w:val="16"/>
          <w:color w:val="auto"/>
        </w:rPr>
        <w:t>bribery or anti</w:t>
      </w:r>
      <w:r>
        <w:rPr>
          <w:rFonts w:ascii="MS PGothic" w:cs="MS PGothic" w:eastAsia="MS PGothic" w:hAnsi="MS PGothic"/>
          <w:sz w:val="16"/>
          <w:szCs w:val="16"/>
          <w:color w:val="auto"/>
        </w:rPr>
        <w:t>‑</w:t>
      </w:r>
      <w:r>
        <w:rPr>
          <w:rFonts w:ascii="Arial" w:cs="Arial" w:eastAsia="Arial" w:hAnsi="Arial"/>
          <w:sz w:val="16"/>
          <w:szCs w:val="16"/>
          <w:color w:val="auto"/>
        </w:rPr>
        <w:t>corruption laws, or violations related to environmental matters. There is also enhanced scrutiny of company-sponsored patient assistance programs, including insurance premium and co-pay assistance programs and donations to third-party charities that provide such assistance. Violations of governmental regulation by us, our vendors or donation recipients may be punishable by criminal and civil sanctions, including fines and civil monetary penalties and exclusion from participation in government programs, including Medicare and Medicaid. In addition to penalties for violation of laws and regulations, we could be required to repay amounts we received from government payors, or pay additional rebates and interest if we are found to have miscalculated the pricing information we have submitted to the government. Actions taken by federal or local governments, legislative bodies and enforcement agencies with respect to these legal and regulatory compliance matters could also result in reduced demand for our products, reduced coverage of our products by health care payors, or both. We cannot ensure that our compliance controls, policies, and procedures will in every instance protect us from acts committed by our employees, collaborators, partners or third</w:t>
      </w:r>
      <w:r>
        <w:rPr>
          <w:rFonts w:ascii="MS PGothic" w:cs="MS PGothic" w:eastAsia="MS PGothic" w:hAnsi="MS PGothic"/>
          <w:sz w:val="16"/>
          <w:szCs w:val="16"/>
          <w:color w:val="auto"/>
        </w:rPr>
        <w:t>‑</w:t>
      </w:r>
      <w:r>
        <w:rPr>
          <w:rFonts w:ascii="Arial" w:cs="Arial" w:eastAsia="Arial" w:hAnsi="Arial"/>
          <w:sz w:val="16"/>
          <w:szCs w:val="16"/>
          <w:color w:val="auto"/>
        </w:rPr>
        <w:t>party providers that would violate the laws or regulations of the jurisdictions in which we operate. Whether or not we have complied with the law, an investigation into alleged unlawful conduct could increase our expenses, damage our reputation, divert management time and attention and adversely affect our business. Risks relating to compliance with laws and regulations may be heightened as we continue to expand our global operations and enter new therapeutic areas with different patient populations, which due to different product distribution methods, marketing programs or patient assistance programs may result in additional regulatory burdens and obligations.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7" w:name="page78"/>
    <w:bookmarkEnd w:id="7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As our drug discovery and development operations are conducted at our headquarters in Wilmington, Delaware, the loss of access to this facility would negatively impact our business.</w:t>
      </w:r>
    </w:p>
    <w:p>
      <w:pPr>
        <w:spacing w:after="0" w:line="17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Our facility in Wilmington, Delaware is our headquarters and is also where we conduct all of our drug discovery, research, development and marketing activities. In addition, natural disasters or actions of activists opposed to aspects of pharmaceutical research may disrupt our experiments or our ability to access or use our facility. The loss of access to or use of our Wilmington, Delaware facility, either on a temporary or permanent basis would result in an interruption of our business and, consequently, would adversely affect our overall business.</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depend on key employees in a competitive market for skilled personnel, and the loss of the services of any of our key employees or our inability to attract and retain additional personnel would affect our ability to expand our drug discovery and development programs and achieve our objectives.</w:t>
      </w:r>
    </w:p>
    <w:p>
      <w:pPr>
        <w:spacing w:after="0" w:line="18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are highly dependent on the members of our executive management team and principal members of our commercial, development, medical, operations and scientific staff. We experience intense competition for qualified personnel. Our future success also depends in part on the continued service of our executive management team and key personnel and our ability to recruit, train and retain essential personnel for our drug discovery and development programs, and for our medical affairs and commercialization activities. If we lose the services of any of these people or if we are unable to recruit sufficient qualified personnel, our research and product development goals, and our commercialization efforts could be delayed or curtailed. We do not maintain “key person” insurance on any of our employees.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fail to manage our growth effectively, our ability to develop and commercialize products could suffer.</w:t>
      </w:r>
    </w:p>
    <w:p>
      <w:pPr>
        <w:spacing w:after="0" w:line="23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expect that if our drug discovery efforts continue to generate drug candidates, our clinical drug candidates continue to progress in development, and we continue to build our development, medical and commercial organizations, we will require significant additional investment in personnel, management and resources. Our ability to achieve our research, development and commercialization objectives depends on our ability to respond effectively to these demands and expand our internal organization, systems, controls and facilities to accommodate additional anticipated growth. If we are unable to manage our growth effectively, our business could be harmed and our ability to execute our business strategy could suffer.</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acquire businesses or assets, form joint ventures or make investments in other companies that may be unsuccessful, divert our management’s attention and harm our operating results and prospects.</w:t>
      </w:r>
    </w:p>
    <w:p>
      <w:pPr>
        <w:spacing w:after="0" w:line="170"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As part of our business strategy, we may pursue additional acquisitions of what we believe to be complementary businesses or assets or seek to enter into joint ventures. We also may pursue strategic alliances in an effort to leverage our existing infrastructure and industry experience to expand our product offerings or distribution, or make investments in other companies. For example, in June 2016, we completed the acquisition of the European operations of ARIAD and obtained the exclusive license to develop and commercialize ICLUSIG in Europe and other countries. The success of our acquisitions, joint ventures, strategic alliances and investments will depend on our ability to identify, negotiate, complete and, in the case of acquisitions, integrate those transactions and, if necessary, obtain satisfactory debt or equity financing to fund those transactions. We may not realize the anticipated benefits of any acquisition, joint venture, strategic alliance or investment. We may not be able to integrate acquisitions successfully into our existing business, maintain the key business relationships of businesses we acquire, or retain key personnel of an acquired business, and we could assume unknown or contingent liabilities or incur unanticipated expenses. Integration of acquired companies or businesses also may require management resources that otherwise would be available for ongoing development of our existing business. Any acquisitions or investments made by us also could result in significant write-offs or the incurrence of debt and contingent liabilities, any of which could harm our operating results. For example, in the year ended December 31, 2017, we recorded unrealized losses related to our investments in Agenus Inc. and Merus N.V., and we may in the future experience additional losses related to our investments. In addition, if we choose to issue shares of our stock as consideration for any acquisition, dilution to our stockholders could result.</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8" w:name="page79"/>
    <w:bookmarkEnd w:id="7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Risks associated with the expansion of our operations outside of the United States could adversely affect our business.</w:t>
      </w:r>
    </w:p>
    <w:p>
      <w:pPr>
        <w:spacing w:after="0" w:line="26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acquisition of ARIAD’s European operations significantly expanded our operations in Europe, and we plan to continue to expand our operations and conduct certain development activities outside of the United States, including our recent expansion in Japan. We have limited experience with conducting activities outside of the United States. International operations and business expansion plans are subject to numerous additional risks, including:</w:t>
      </w:r>
    </w:p>
    <w:p>
      <w:pPr>
        <w:spacing w:after="0" w:line="171" w:lineRule="exact"/>
        <w:rPr>
          <w:sz w:val="20"/>
          <w:szCs w:val="20"/>
          <w:color w:val="auto"/>
        </w:rPr>
      </w:pPr>
    </w:p>
    <w:p>
      <w:pPr>
        <w:jc w:val="both"/>
        <w:ind w:left="980" w:hanging="329"/>
        <w:spacing w:after="0" w:line="264" w:lineRule="auto"/>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multiple, conflicting and changing laws and regulations such as tax laws, privacy regulations, tariffs, export and import restrictions, employment, immigration and labor laws, regulatory requirements, and other governmental approvals, permits and licenses;</w:t>
      </w:r>
    </w:p>
    <w:p>
      <w:pPr>
        <w:spacing w:after="0" w:line="181" w:lineRule="exact"/>
        <w:rPr>
          <w:rFonts w:ascii="Arial" w:cs="Arial" w:eastAsia="Arial" w:hAnsi="Arial"/>
          <w:sz w:val="18"/>
          <w:szCs w:val="18"/>
          <w:color w:val="auto"/>
        </w:rPr>
      </w:pPr>
    </w:p>
    <w:p>
      <w:pPr>
        <w:ind w:left="980" w:hanging="329"/>
        <w:spacing w:after="0" w:line="277" w:lineRule="auto"/>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 and difficulties in connection with assimilating and integrating any operations and personnel we might acquire into our company;</w:t>
      </w:r>
    </w:p>
    <w:p>
      <w:pPr>
        <w:spacing w:after="0" w:line="170" w:lineRule="exact"/>
        <w:rPr>
          <w:rFonts w:ascii="Arial" w:cs="Arial" w:eastAsia="Arial" w:hAnsi="Arial"/>
          <w:sz w:val="18"/>
          <w:szCs w:val="18"/>
          <w:color w:val="auto"/>
        </w:rPr>
      </w:pPr>
    </w:p>
    <w:p>
      <w:pPr>
        <w:ind w:left="980" w:hanging="329"/>
        <w:spacing w:after="0" w:line="277" w:lineRule="auto"/>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risks associated with obtaining and maintaining, or the failure to obtain or maintain, regulatory approvals for the sale or use of our products in various countries;</w:t>
      </w:r>
    </w:p>
    <w:p>
      <w:pPr>
        <w:spacing w:after="0" w:line="170" w:lineRule="exact"/>
        <w:rPr>
          <w:rFonts w:ascii="Arial" w:cs="Arial" w:eastAsia="Arial" w:hAnsi="Arial"/>
          <w:sz w:val="18"/>
          <w:szCs w:val="18"/>
          <w:color w:val="auto"/>
        </w:rPr>
      </w:pPr>
    </w:p>
    <w:p>
      <w:pPr>
        <w:ind w:left="980" w:hanging="329"/>
        <w:spacing w:after="0" w:line="223" w:lineRule="exact"/>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complexities associated with managing government payor systems, multiple payor</w:t>
      </w:r>
      <w:r>
        <w:rPr>
          <w:rFonts w:ascii="MS PGothic" w:cs="MS PGothic" w:eastAsia="MS PGothic" w:hAnsi="MS PGothic"/>
          <w:sz w:val="18"/>
          <w:szCs w:val="18"/>
          <w:color w:val="auto"/>
        </w:rPr>
        <w:t>‑</w:t>
      </w:r>
      <w:r>
        <w:rPr>
          <w:rFonts w:ascii="Arial" w:cs="Arial" w:eastAsia="Arial" w:hAnsi="Arial"/>
          <w:sz w:val="18"/>
          <w:szCs w:val="18"/>
          <w:color w:val="auto"/>
        </w:rPr>
        <w:t>reimbursement regimes or patient self</w:t>
      </w:r>
      <w:r>
        <w:rPr>
          <w:rFonts w:ascii="MS PGothic" w:cs="MS PGothic" w:eastAsia="MS PGothic" w:hAnsi="MS PGothic"/>
          <w:sz w:val="18"/>
          <w:szCs w:val="18"/>
          <w:color w:val="auto"/>
        </w:rPr>
        <w:t>‑</w:t>
      </w:r>
      <w:r>
        <w:rPr>
          <w:rFonts w:ascii="Arial" w:cs="Arial" w:eastAsia="Arial" w:hAnsi="Arial"/>
          <w:sz w:val="18"/>
          <w:szCs w:val="18"/>
          <w:color w:val="auto"/>
        </w:rPr>
        <w:t>pay systems;</w:t>
      </w:r>
    </w:p>
    <w:p>
      <w:pPr>
        <w:spacing w:after="0" w:line="203" w:lineRule="exact"/>
        <w:rPr>
          <w:rFonts w:ascii="Arial" w:cs="Arial" w:eastAsia="Arial" w:hAnsi="Arial"/>
          <w:sz w:val="18"/>
          <w:szCs w:val="18"/>
          <w:color w:val="auto"/>
        </w:rPr>
      </w:pPr>
    </w:p>
    <w:p>
      <w:pPr>
        <w:jc w:val="both"/>
        <w:ind w:left="980" w:hanging="329"/>
        <w:spacing w:after="0" w:line="264" w:lineRule="auto"/>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financial risks, such as longer payment cycles, difficulty obtaining financing in foreign markets, difficulty enforcing contracts and intellectual property rights, difficulty collecting accounts receivable and exposure to foreign currency exchange rate fluctuations;</w:t>
      </w:r>
    </w:p>
    <w:p>
      <w:pPr>
        <w:spacing w:after="0" w:line="181" w:lineRule="exact"/>
        <w:rPr>
          <w:rFonts w:ascii="Arial" w:cs="Arial" w:eastAsia="Arial" w:hAnsi="Arial"/>
          <w:sz w:val="18"/>
          <w:szCs w:val="18"/>
          <w:color w:val="auto"/>
        </w:rPr>
      </w:pPr>
    </w:p>
    <w:p>
      <w:pPr>
        <w:jc w:val="both"/>
        <w:ind w:left="980" w:hanging="329"/>
        <w:spacing w:after="0" w:line="264" w:lineRule="auto"/>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general political and economic conditions in the countries in operate, including terrorism and political unrest, curtailment of trade and other business restrictions, and uncertainties associated with the future relationship between the United Kingdom and the European Union; and</w:t>
      </w:r>
    </w:p>
    <w:p>
      <w:pPr>
        <w:spacing w:after="0" w:line="181" w:lineRule="exact"/>
        <w:rPr>
          <w:rFonts w:ascii="Arial" w:cs="Arial" w:eastAsia="Arial" w:hAnsi="Arial"/>
          <w:sz w:val="18"/>
          <w:szCs w:val="18"/>
          <w:color w:val="auto"/>
        </w:rPr>
      </w:pPr>
    </w:p>
    <w:p>
      <w:pPr>
        <w:jc w:val="both"/>
        <w:ind w:left="980" w:hanging="329"/>
        <w:spacing w:after="0" w:line="220" w:lineRule="exact"/>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regulatory and compliance risks that relate to maintaining accurate information and control over activities that may fall within the purview of the U.S. Foreign Corrupt Practices Act, its books and records provisions or its anti</w:t>
      </w:r>
      <w:r>
        <w:rPr>
          <w:rFonts w:ascii="MS PGothic" w:cs="MS PGothic" w:eastAsia="MS PGothic" w:hAnsi="MS PGothic"/>
          <w:sz w:val="18"/>
          <w:szCs w:val="18"/>
          <w:color w:val="auto"/>
        </w:rPr>
        <w:t>‑</w:t>
      </w:r>
      <w:r>
        <w:rPr>
          <w:rFonts w:ascii="Arial" w:cs="Arial" w:eastAsia="Arial" w:hAnsi="Arial"/>
          <w:sz w:val="18"/>
          <w:szCs w:val="18"/>
          <w:color w:val="auto"/>
        </w:rPr>
        <w:t>bribery provisions, or similar anti</w:t>
      </w:r>
      <w:r>
        <w:rPr>
          <w:rFonts w:ascii="MS PGothic" w:cs="MS PGothic" w:eastAsia="MS PGothic" w:hAnsi="MS PGothic"/>
          <w:sz w:val="18"/>
          <w:szCs w:val="18"/>
          <w:color w:val="auto"/>
        </w:rPr>
        <w:t>‑</w:t>
      </w:r>
      <w:r>
        <w:rPr>
          <w:rFonts w:ascii="Arial" w:cs="Arial" w:eastAsia="Arial" w:hAnsi="Arial"/>
          <w:sz w:val="18"/>
          <w:szCs w:val="18"/>
          <w:color w:val="auto"/>
        </w:rPr>
        <w:t>bribery or anti</w:t>
      </w:r>
      <w:r>
        <w:rPr>
          <w:rFonts w:ascii="MS PGothic" w:cs="MS PGothic" w:eastAsia="MS PGothic" w:hAnsi="MS PGothic"/>
          <w:sz w:val="18"/>
          <w:szCs w:val="18"/>
          <w:color w:val="auto"/>
        </w:rPr>
        <w:t>‑</w:t>
      </w:r>
      <w:r>
        <w:rPr>
          <w:rFonts w:ascii="Arial" w:cs="Arial" w:eastAsia="Arial" w:hAnsi="Arial"/>
          <w:sz w:val="18"/>
          <w:szCs w:val="18"/>
          <w:color w:val="auto"/>
        </w:rPr>
        <w:t>corruption laws and regulations, such as the U.K. Anti-Bribery Act and the U.K. Criminal Finances Act.</w:t>
      </w:r>
    </w:p>
    <w:p>
      <w:pPr>
        <w:spacing w:after="0" w:line="204"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Any of the risks described above, if encountered, could significantly increase our costs of operating internationally, prevent us from operating in certain jurisdictions, or otherwise significantly harm our future international expansion and operations, which could have a material adverse effect on our business, financial condition and results of operations.</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product liability lawsuits are brought against us, we could face substantial liabilities and may be required to limit commercialization of our products and our results of operations could be harmed.</w:t>
      </w:r>
    </w:p>
    <w:p>
      <w:pPr>
        <w:spacing w:after="0" w:line="17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In addition to the risks described above under “—Risks Relating to Commercialization of Our Products—If the use of our products harms patients, or is perceived to harm patients even when such harm is unrelated to our products, our regulatory approvals could be revoked or otherwise negatively impacted or we could be subject to costly and damaging product liability claims,” the conduct of clinical trials of medical products that are intended for human use entails an inherent risk of product liability. If any product that we or any of our collaborators or licensees develops causes or is alleged to cause injury during clinical trials or commercialization, we may be held liable. If we cannot successfully defend ourselves against product liability claims, we may incur substantial liabilities, including substantial damages to be paid to the plaintiffs and legal costs, or we may be required to limit further development and commercialization of our products. Additionally, any product liability lawsuit could cause injury to our reputation, participants and investigators to withdraw from clinical trials, and potential collaborators or licensees to seek other partners, any of which could impact our results of operations.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9" w:name="page80"/>
    <w:bookmarkEnd w:id="7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Our product liability insurance policy may not fully cover our potential liabilities. In addition, we may determine that we should increase our coverage, and this insurance may be prohibitively expensive to us or our collaborators or licensees and may not fully cover our potential liabilities. Since December 30, 2017, we elected to self-insure a portion of our exposure to product liability risks through our wholly-owned captive insurance subsidiary, in tandem with third-party insurance policies. Our inability to obtain sufficient product liability insurance at an acceptable cost to protect against potential product liability claims could prevent or inhibit the development or commercialization of our drug candidates and products, and if our liabilities from any such claims exceed our third-party insurance limits and self-insurance reserves, our results of operations, cash flows and financial condition could be adversely impacted.</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Because our activities involve the use of hazardous materials, we may be subject to claims relating to improper handling, storage or disposal of these materials that could be time consuming and costly.</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are subject to various environmental, health and safety laws and regulations governing, among other things, the use, handling, storage and disposal of regulated substances and the health and safety of our employees. Our research and development processes involve the controlled use of hazardous and radioactive materials and biological waste resulting in the production of hazardous waste products. We cannot completely eliminate the risk of accidental contamination or discharge and any resultant injury from these materials. If any injury or contamination results from our use or the use by our collaborators or licensees of these materials, we may be sued and our liability may exceed our insurance coverage and our total assets. Further, we may be required to indemnify our collaborators or licensees against all damages and other liabilities arising out of our development activities or products produced in connection with these collaborations or licenses. Compliance with the applicable environmental and workplace laws and regulations is expensive. Future changes to environmental, health, workplace and safety laws could cause us to incur additional expense or may restrict our operations or impair our research, development and production efforts.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RELATING TO OUR FINANCIAL RESULTS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incur losses in the future and we may not achieve or maintain profitability in the future.</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Due to historical net losses, we had an accumulated deficit of $2.0 billion as of June 30, 2018. We intend to continue to spend significant amounts on our efforts to discover and develop drugs. As a result, we may incur losses in future periods as well.</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anticipate that our drug discovery and development efforts and related expenditures will increase as we focus on the studies, including preclinical tests and clinical trials prior to seeking regulatory approval, that are required before we can sell a drug product.</w:t>
      </w:r>
    </w:p>
    <w:p>
      <w:pPr>
        <w:spacing w:after="0" w:line="18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development of drug products will require us to spend significant funds on research, development, testing, obtaining regulatory approvals, manufacturing and marketing. To date, we do not have any drug products that have generated significant revenues other than from sales of JAKAFI and we cannot assure you that we will generate significant revenues from the drug candidates that we license or develop, including ICLUSIG, for several years, if ever.</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cannot be certain whether or when we will achieve profitability because of the significant uncertainties relating to our ability to generate commercially successful drug products. Even if we are successful in obtaining regulatory approvals for manufacturing and commercializing drug products in addition to JAKAFI and ICLUSIG, we may incur losses if our drug products do not generate significant revenues. If we achieve profitability, we may not be able to sustain or increase profitability.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0" w:name="page81"/>
    <w:bookmarkEnd w:id="8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We may need additional capital in the future. If we are unable to generate sufficient funds from operations, the capital markets may not permit us to raise additional capital at the time that we require it, which could result in limitations on our research and development or commercialization efforts or the loss of certain of our rights in our technologies or drug candidates.</w:t>
      </w:r>
    </w:p>
    <w:p>
      <w:pPr>
        <w:spacing w:after="0" w:line="187" w:lineRule="exact"/>
        <w:rPr>
          <w:sz w:val="20"/>
          <w:szCs w:val="20"/>
          <w:color w:val="auto"/>
        </w:rPr>
      </w:pPr>
    </w:p>
    <w:p>
      <w:pPr>
        <w:jc w:val="both"/>
        <w:ind w:firstLine="648"/>
        <w:spacing w:after="0" w:line="224" w:lineRule="exact"/>
        <w:rPr>
          <w:sz w:val="20"/>
          <w:szCs w:val="20"/>
          <w:color w:val="auto"/>
        </w:rPr>
      </w:pPr>
      <w:r>
        <w:rPr>
          <w:rFonts w:ascii="Arial" w:cs="Arial" w:eastAsia="Arial" w:hAnsi="Arial"/>
          <w:sz w:val="16"/>
          <w:szCs w:val="16"/>
          <w:color w:val="auto"/>
        </w:rPr>
        <w:t>Our future funding requirements will depend on many factors and we anticipate that we may need to raise additional capital to fund our business plan and research and development efforts going</w:t>
      </w:r>
      <w:r>
        <w:rPr>
          <w:rFonts w:ascii="MS PGothic" w:cs="MS PGothic" w:eastAsia="MS PGothic" w:hAnsi="MS PGothic"/>
          <w:sz w:val="16"/>
          <w:szCs w:val="16"/>
          <w:color w:val="auto"/>
        </w:rPr>
        <w:t>‑</w:t>
      </w:r>
      <w:r>
        <w:rPr>
          <w:rFonts w:ascii="Arial" w:cs="Arial" w:eastAsia="Arial" w:hAnsi="Arial"/>
          <w:sz w:val="16"/>
          <w:szCs w:val="16"/>
          <w:color w:val="auto"/>
        </w:rPr>
        <w:t>forward and to repay our indebtedness.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Additional factors that may affect our future funding requirements include:</w:t>
      </w:r>
    </w:p>
    <w:p>
      <w:pPr>
        <w:spacing w:after="0" w:line="225" w:lineRule="exact"/>
        <w:rPr>
          <w:sz w:val="20"/>
          <w:szCs w:val="20"/>
          <w:color w:val="auto"/>
        </w:rPr>
      </w:pPr>
    </w:p>
    <w:p>
      <w:pPr>
        <w:ind w:left="980" w:hanging="329"/>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amount of revenues generated from our business activities;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changes in the breadth of our research and development programs;</w:t>
      </w:r>
    </w:p>
    <w:p>
      <w:pPr>
        <w:spacing w:after="0" w:line="225" w:lineRule="exact"/>
        <w:rPr>
          <w:rFonts w:ascii="Arial" w:cs="Arial" w:eastAsia="Arial" w:hAnsi="Arial"/>
          <w:sz w:val="18"/>
          <w:szCs w:val="18"/>
          <w:color w:val="auto"/>
        </w:rPr>
      </w:pPr>
    </w:p>
    <w:p>
      <w:pPr>
        <w:ind w:left="980" w:hanging="329"/>
        <w:spacing w:after="0" w:line="277"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results of research and development, preclinical testing and clinical trials conducted by us or our current or future collaborators or licensees, if any;</w:t>
      </w:r>
    </w:p>
    <w:p>
      <w:pPr>
        <w:spacing w:after="0" w:line="170" w:lineRule="exact"/>
        <w:rPr>
          <w:rFonts w:ascii="Arial" w:cs="Arial" w:eastAsia="Arial" w:hAnsi="Arial"/>
          <w:sz w:val="18"/>
          <w:szCs w:val="18"/>
          <w:color w:val="auto"/>
        </w:rPr>
      </w:pPr>
    </w:p>
    <w:p>
      <w:pPr>
        <w:ind w:left="980" w:hanging="329"/>
        <w:spacing w:after="0" w:line="184" w:lineRule="exact"/>
        <w:tabs>
          <w:tab w:leader="none" w:pos="9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our exercise of any co</w:t>
      </w:r>
      <w:r>
        <w:rPr>
          <w:rFonts w:ascii="MS PGothic" w:cs="MS PGothic" w:eastAsia="MS PGothic" w:hAnsi="MS PGothic"/>
          <w:sz w:val="16"/>
          <w:szCs w:val="16"/>
          <w:color w:val="auto"/>
        </w:rPr>
        <w:t>‑</w:t>
      </w:r>
      <w:r>
        <w:rPr>
          <w:rFonts w:ascii="Arial" w:cs="Arial" w:eastAsia="Arial" w:hAnsi="Arial"/>
          <w:sz w:val="16"/>
          <w:szCs w:val="16"/>
          <w:color w:val="auto"/>
        </w:rPr>
        <w:t>development options with collaborators that may require us to fund future development;</w:t>
      </w:r>
    </w:p>
    <w:p>
      <w:pPr>
        <w:spacing w:after="0" w:line="248" w:lineRule="exact"/>
        <w:rPr>
          <w:rFonts w:ascii="Arial" w:cs="Arial" w:eastAsia="Arial" w:hAnsi="Arial"/>
          <w:sz w:val="16"/>
          <w:szCs w:val="16"/>
          <w:color w:val="auto"/>
        </w:rPr>
      </w:pPr>
    </w:p>
    <w:p>
      <w:pPr>
        <w:ind w:left="980" w:hanging="329"/>
        <w:spacing w:after="0" w:line="277"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acquisition of businesses, technologies, or drug candidates, or the licensing of technologies or drug candidates, if any;</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costs for future facility requirements;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maintain and establish new corporate relationships and research collaborations;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competing technological and market developments;</w:t>
      </w:r>
    </w:p>
    <w:p>
      <w:pPr>
        <w:spacing w:after="0" w:line="225" w:lineRule="exact"/>
        <w:rPr>
          <w:rFonts w:ascii="Arial" w:cs="Arial" w:eastAsia="Arial" w:hAnsi="Arial"/>
          <w:sz w:val="18"/>
          <w:szCs w:val="18"/>
          <w:color w:val="auto"/>
        </w:rPr>
      </w:pPr>
    </w:p>
    <w:p>
      <w:pPr>
        <w:ind w:left="980" w:hanging="329"/>
        <w:spacing w:after="0" w:line="277"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time and costs involved in filing, prosecuting, defending and enforcing patent and intellectual property claims;</w:t>
      </w:r>
    </w:p>
    <w:p>
      <w:pPr>
        <w:spacing w:after="0" w:line="170" w:lineRule="exact"/>
        <w:rPr>
          <w:rFonts w:ascii="Arial" w:cs="Arial" w:eastAsia="Arial" w:hAnsi="Arial"/>
          <w:sz w:val="18"/>
          <w:szCs w:val="18"/>
          <w:color w:val="auto"/>
        </w:rPr>
      </w:pPr>
    </w:p>
    <w:p>
      <w:pPr>
        <w:ind w:left="980" w:hanging="329"/>
        <w:spacing w:after="0" w:line="277"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receipt of contingent licensing or milestone fees or royalties on product sales from our current or future collaborative and license arrangements, if established; and</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timing of regulatory approvals, if any.</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If we require additional capital at a time when investment in companies such as ours, or in the marketplace generally, is limited due to the then prevailing market or other conditions, we may have to scale back our operations, eliminate one or more of our research or development programs, or attempt to obtain funds by entering into an agreement with a collaborator or licensee that would result in terms that are not favorable to us or relinquishing our rights in certain of our proprietary technologies or drug candidates. If we are unable to raise funds at the time that we desire or at any time thereafter on acceptable terms, we may not be able to continue to develop our drug candidates. The sale of equity or additional convertible debt securities in the future may be dilutive to our stockholders and may provide for rights, preferences or privileges senior to those of our holders of common stock, and debt financing arrangements may require us to pledge certain assets or enter into covenants that could restrict our operations or our ability to incur further indebtedness.</w:t>
      </w:r>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marketable securities and long term investments are subject to risks that could adversely affect our overall financial position.</w:t>
      </w:r>
    </w:p>
    <w:p>
      <w:pPr>
        <w:spacing w:after="0" w:line="170"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We invest our cash in accordance with an established internal policy and customarily in instruments, corporate bonds and money market funds which historically have been highly liquid and carried relatively low risk. In recent periods,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1" w:name="page82"/>
    <w:bookmarkEnd w:id="8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similar types of investments and money market funds have experienced losses in value or liquidity issues that differ from their historical pattern.</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Should a portion of our cash or marketable securities lose value or have their liquidity impaired, it could adversely affect our overall financial position by imperiling our ability to fund our operations and forcing us to seek additional financing sooner than we would otherwise. Such financing, if available, may not be available on commercially attractive terms.</w:t>
      </w:r>
    </w:p>
    <w:p>
      <w:pPr>
        <w:spacing w:after="0" w:line="18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As discussed under “Other Risks Relating to Our Business— We may acquire businesses or assets, form joint ventures or make investments in other companies that may be unsuccessful, divert our management’s attention and harm our operating results and prospects,” any investments that we may make in companies with which we have strategic alliances, such as Agenus and Merus, could result in our recognition of losses on those investments. In addition, to the extent we may seek to sell or otherwise monetize those investments, we may not be able to do so at our desired price or valuation levels, or at all, due to the limited liquidity of some or all of those investments.</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Any loss in value of our long term investments could adversely affect our financial position on the consolidated balance sheets and consolidated statements of operations.</w:t>
      </w:r>
    </w:p>
    <w:p>
      <w:pPr>
        <w:spacing w:after="0" w:line="17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b w:val="1"/>
          <w:bCs w:val="1"/>
          <w:i w:val="1"/>
          <w:iCs w:val="1"/>
          <w:color w:val="auto"/>
        </w:rPr>
        <w:t>Our current revenues are derived from JAKAFI and ICLUSIG product sales, JAKAVI and OLUMIANT product royalties, collaborations and from licensing our intellectual property. If we are unable to achieve milestones, develop products or renew or enter into new collaborations, our revenues may decrease, and future milestone and royalty payments may not contribute significantly to revenues for several years, and may never result in revenues.</w:t>
      </w:r>
    </w:p>
    <w:p>
      <w:pPr>
        <w:spacing w:after="0" w:line="154"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We derived substantially all of our revenues for the six months ended June 30, 2018 from JAKAFI and ICLUSIG product revenues, JAKAVI and OLUMIANT product royalties and our collaborations and licensing our intellectual property to others. Future revenues from research and development collaborations depend upon continuation of the collaborations, the achievement of milestones and royalties we earn from any future products developed from our research. If we are unable to successfully achieve milestones or our collaborators fail to develop successful products, we will not earn the future revenues contemplated under our collaborative agreements. For example, delays in or other limitations with respect to the approval of baricitinib in the United States for the treatment of moderate-to-severe rheumatoid arthritis, or the failure to obtain such approval, as discussed under “—We depend on our collaborators and licensees for the future development and commercialization of some of our drug candidates. Conflicts may arise between our collaborators and licensees and us, or our collaborators and licensees may choose to terminate their agreements with us, which may adversely affect our business.” would affect potential future royalty and milestone revenue.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RELATING TO INTELLECTUAL PROPERTY AND LEGAL MATTERS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subject to arbitration, litigation and infringement claims, they could be costly and disrupt our drug discovery and development efforts.</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technology that we use to make and develop our drug products, the technology that we incorporate in our products, and the products we are developing may be subject to claims that they infringe the patents or proprietary rights of others. The success of our drug discovery and development efforts will also depend on our ability to develop new compounds, drugs and technologies without infringing or misappropriating the proprietary rights of others. We are aware of patents and patent applications filed in certain countries claiming intellectual property relating to some of our drug discovery targets and drug candidates. While the validity of issued patents, patentability of pending patent applications and applicability of any of them to our programs are uncertain, if any of these patents are asserted against us or if we choose to license any of these patents, our ability to commercialize our products could be harmed or the potential return to us from any product that may be successfully commercialized could be diminished.</w:t>
      </w:r>
    </w:p>
    <w:p>
      <w:pPr>
        <w:spacing w:after="0" w:line="182"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From time to time we have received, and we may in the future receive, notices from third parties offering licenses to technology or alleging patent, trademark, or copyright infringement, claims regarding trade secrets or other contract claims. Receipt of these notices could result in significant costs as a result of the diversion of the attention of management</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2" w:name="page83"/>
    <w:bookmarkEnd w:id="8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from our drug discovery and development efforts. Parties sending these notices may have brought and in the future may bring litigation against us or seek arbitration relating to contract claims.</w:t>
      </w:r>
    </w:p>
    <w:p>
      <w:pPr>
        <w:spacing w:after="0" w:line="170"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We may be involved in future lawsuits or other legal proceedings alleging patent infringement or other intellectual property rights or contract violations. In addition, litigation or other legal proceedings may be necessary to:</w:t>
      </w:r>
    </w:p>
    <w:p>
      <w:pPr>
        <w:spacing w:after="0" w:line="147" w:lineRule="exact"/>
        <w:rPr>
          <w:sz w:val="20"/>
          <w:szCs w:val="20"/>
          <w:color w:val="auto"/>
        </w:rPr>
      </w:pPr>
    </w:p>
    <w:p>
      <w:pPr>
        <w:ind w:left="980" w:hanging="329"/>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assert claims of infringement;</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enforce our patents or trademarks;</w:t>
      </w:r>
    </w:p>
    <w:p>
      <w:pPr>
        <w:spacing w:after="0" w:line="225" w:lineRule="exact"/>
        <w:rPr>
          <w:rFonts w:ascii="Arial" w:cs="Arial" w:eastAsia="Arial" w:hAnsi="Arial"/>
          <w:sz w:val="18"/>
          <w:szCs w:val="18"/>
          <w:color w:val="auto"/>
        </w:rPr>
      </w:pPr>
    </w:p>
    <w:p>
      <w:pPr>
        <w:ind w:left="980" w:hanging="329"/>
        <w:spacing w:after="0" w:line="207" w:lineRule="exact"/>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protect our trade secrets or know</w:t>
      </w:r>
      <w:r>
        <w:rPr>
          <w:rFonts w:ascii="MS PGothic" w:cs="MS PGothic" w:eastAsia="MS PGothic" w:hAnsi="MS PGothic"/>
          <w:sz w:val="18"/>
          <w:szCs w:val="18"/>
          <w:color w:val="auto"/>
        </w:rPr>
        <w:t>‑</w:t>
      </w:r>
      <w:r>
        <w:rPr>
          <w:rFonts w:ascii="Arial" w:cs="Arial" w:eastAsia="Arial" w:hAnsi="Arial"/>
          <w:sz w:val="18"/>
          <w:szCs w:val="18"/>
          <w:color w:val="auto"/>
        </w:rPr>
        <w:t>how; or</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determine the enforceability, scope and validity of the proprietary rights of others.</w:t>
      </w:r>
    </w:p>
    <w:p>
      <w:pPr>
        <w:spacing w:after="0" w:line="225" w:lineRule="exact"/>
        <w:rPr>
          <w:sz w:val="20"/>
          <w:szCs w:val="20"/>
          <w:color w:val="auto"/>
        </w:rPr>
      </w:pPr>
    </w:p>
    <w:p>
      <w:pPr>
        <w:jc w:val="both"/>
        <w:ind w:firstLine="648"/>
        <w:spacing w:after="0" w:line="218" w:lineRule="exact"/>
        <w:rPr>
          <w:sz w:val="20"/>
          <w:szCs w:val="20"/>
          <w:color w:val="auto"/>
        </w:rPr>
      </w:pPr>
      <w:r>
        <w:rPr>
          <w:rFonts w:ascii="Arial" w:cs="Arial" w:eastAsia="Arial" w:hAnsi="Arial"/>
          <w:sz w:val="16"/>
          <w:szCs w:val="16"/>
          <w:color w:val="auto"/>
        </w:rPr>
        <w:t>We may be unsuccessful in defending or pursuing these lawsuits, claims or other legal proceedings. Regardless of the outcome, litigation or other legal proceedings can be very costly and can divert management’s efforts. An adverse determination may subject us to significant liabilities or require us or our collaborators or licensees to seek licenses to other parties’ patents or proprietary rights. We or our collaborators or licensees may also be restricted or prevented from manufacturing or selling a drug or other product that we or they develop. Further, we or our future collaborators or licensees may not be able to obtain any necessary licenses on acceptable terms, if at all. If we are unable to develop non</w:t>
      </w:r>
      <w:r>
        <w:rPr>
          <w:rFonts w:ascii="MS PGothic" w:cs="MS PGothic" w:eastAsia="MS PGothic" w:hAnsi="MS PGothic"/>
          <w:sz w:val="16"/>
          <w:szCs w:val="16"/>
          <w:color w:val="auto"/>
        </w:rPr>
        <w:t>‑</w:t>
      </w:r>
      <w:r>
        <w:rPr>
          <w:rFonts w:ascii="Arial" w:cs="Arial" w:eastAsia="Arial" w:hAnsi="Arial"/>
          <w:sz w:val="16"/>
          <w:szCs w:val="16"/>
          <w:color w:val="auto"/>
        </w:rPr>
        <w:t>infringing technology or license technology on a timely basis or on reasonable terms, our business could be harmed.</w:t>
      </w:r>
    </w:p>
    <w:p>
      <w:pPr>
        <w:spacing w:after="0" w:line="20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may be unable to adequately protect or enforce our proprietary information, which may result in its unauthorized use, a loss of revenue under a collaboration agreement or loss of sales to generic versions of our products or otherwise reduce our ability to compete in developing and commercializing products.</w:t>
      </w:r>
    </w:p>
    <w:p>
      <w:pPr>
        <w:spacing w:after="0" w:line="18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Our business and competitive position depends in significant part upon our ability to protect our proprietary technology, including any drug products that we create. Despite our efforts to protect this information, unauthorized parties may attempt to obtain and use information that we regard as proprietary. For example, one of our collaborators may disclose proprietary information pertaining to our drug discovery efforts. In addition, while we have filed numerous patent applications with respect to ruxolitinib and our drug candidates in the United States and in foreign countries, our patent applications may fail to result in issued patents. In addition, because patent applications can take several years to issue as patents, there may be pending patent applications of others that may later issue as patents that cover some aspect of ruxolitinib and our drug candidates. Our existing patents and any future patents we may obtain may not be broad enough to protect our products or all of the potential uses of our products, or otherwise prevent others from developing competing products or technologies. In addition, our patents may be challenged and invalidated or may fail to provide us with any competitive advantages if, for example, others were first to invent or first to file a patent application for the technologies and products covered by our patents. As noted above under “—Risks Relating to Commercialization of Our Products— Competition for our products could potentially harm our business and result in a decrease in our revenue,” a potential generic drug company competitor has challenged certain patents relating to JAKAFI.</w:t>
      </w:r>
    </w:p>
    <w:p>
      <w:pPr>
        <w:spacing w:after="0" w:line="172" w:lineRule="exact"/>
        <w:rPr>
          <w:sz w:val="20"/>
          <w:szCs w:val="20"/>
          <w:color w:val="auto"/>
        </w:rPr>
      </w:pPr>
    </w:p>
    <w:p>
      <w:pPr>
        <w:jc w:val="both"/>
        <w:ind w:firstLine="648"/>
        <w:spacing w:after="0" w:line="219" w:lineRule="exact"/>
        <w:rPr>
          <w:sz w:val="20"/>
          <w:szCs w:val="20"/>
          <w:color w:val="auto"/>
        </w:rPr>
      </w:pPr>
      <w:r>
        <w:rPr>
          <w:rFonts w:ascii="Arial" w:cs="Arial" w:eastAsia="Arial" w:hAnsi="Arial"/>
          <w:sz w:val="18"/>
          <w:szCs w:val="18"/>
          <w:color w:val="auto"/>
        </w:rPr>
        <w:t>Additionally, when we do not control the prosecution, maintenance and enforcement of certain important intellectual property, such as a drug candidate in</w:t>
      </w:r>
      <w:r>
        <w:rPr>
          <w:rFonts w:ascii="MS PGothic" w:cs="MS PGothic" w:eastAsia="MS PGothic" w:hAnsi="MS PGothic"/>
          <w:sz w:val="18"/>
          <w:szCs w:val="18"/>
          <w:color w:val="auto"/>
        </w:rPr>
        <w:t>‑</w:t>
      </w:r>
      <w:r>
        <w:rPr>
          <w:rFonts w:ascii="Arial" w:cs="Arial" w:eastAsia="Arial" w:hAnsi="Arial"/>
          <w:sz w:val="18"/>
          <w:szCs w:val="18"/>
          <w:color w:val="auto"/>
        </w:rPr>
        <w:t>licensed to us or subject to a collaboration with a third-party, the protection of the intellectual property rights may not be in our hands. If we do not control the intellectual property rights in</w:t>
      </w:r>
      <w:r>
        <w:rPr>
          <w:rFonts w:ascii="MS PGothic" w:cs="MS PGothic" w:eastAsia="MS PGothic" w:hAnsi="MS PGothic"/>
          <w:sz w:val="18"/>
          <w:szCs w:val="18"/>
          <w:color w:val="auto"/>
        </w:rPr>
        <w:t>‑</w:t>
      </w:r>
      <w:r>
        <w:rPr>
          <w:rFonts w:ascii="Arial" w:cs="Arial" w:eastAsia="Arial" w:hAnsi="Arial"/>
          <w:sz w:val="18"/>
          <w:szCs w:val="18"/>
          <w:color w:val="auto"/>
        </w:rPr>
        <w:t>licensed to us with respect to a drug candidate and the entity that controls the intellectual property rights does not adequately protect those rights, our rights may be impaired, which may impact our ability to develop, market and commercialize the in</w:t>
      </w:r>
      <w:r>
        <w:rPr>
          <w:rFonts w:ascii="MS PGothic" w:cs="MS PGothic" w:eastAsia="MS PGothic" w:hAnsi="MS PGothic"/>
          <w:sz w:val="18"/>
          <w:szCs w:val="18"/>
          <w:color w:val="auto"/>
        </w:rPr>
        <w:t>‑</w:t>
      </w:r>
      <w:r>
        <w:rPr>
          <w:rFonts w:ascii="Arial" w:cs="Arial" w:eastAsia="Arial" w:hAnsi="Arial"/>
          <w:sz w:val="18"/>
          <w:szCs w:val="18"/>
          <w:color w:val="auto"/>
        </w:rPr>
        <w:t>licensed drug candidate.</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means of protecting our proprietary rights may not be adequate, and our competitors may:</w:t>
      </w:r>
    </w:p>
    <w:p>
      <w:pPr>
        <w:spacing w:after="0" w:line="225" w:lineRule="exact"/>
        <w:rPr>
          <w:sz w:val="20"/>
          <w:szCs w:val="20"/>
          <w:color w:val="auto"/>
        </w:rPr>
      </w:pPr>
    </w:p>
    <w:p>
      <w:pPr>
        <w:ind w:left="980" w:hanging="329"/>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independently develop substantially equivalent proprietary information, products and techniques;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otherwise gain access to our proprietary information; or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3" w:name="page84"/>
    <w:bookmarkEnd w:id="8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980" w:hanging="329"/>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design around patents issued to us or our other intellectual property.</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pursue a policy of having our employees, consultants and advisors execute proprietary information and invention agreements when they begin working for us. However, these agreements may not provide meaningful protection for our trade secrets or other proprietary information in the event of unauthorized use or disclosure. If we fail to maintain trade secret and patent protection, our potential future revenues may be decreased.</w:t>
      </w:r>
    </w:p>
    <w:p>
      <w:pPr>
        <w:spacing w:after="0" w:line="171" w:lineRule="exact"/>
        <w:rPr>
          <w:sz w:val="20"/>
          <w:szCs w:val="20"/>
          <w:color w:val="auto"/>
        </w:rPr>
      </w:pPr>
    </w:p>
    <w:p>
      <w:pPr>
        <w:jc w:val="both"/>
        <w:spacing w:after="0" w:line="381" w:lineRule="auto"/>
        <w:rPr>
          <w:sz w:val="20"/>
          <w:szCs w:val="20"/>
          <w:color w:val="auto"/>
        </w:rPr>
      </w:pPr>
      <w:r>
        <w:rPr>
          <w:rFonts w:ascii="Arial" w:cs="Arial" w:eastAsia="Arial" w:hAnsi="Arial"/>
          <w:sz w:val="15"/>
          <w:szCs w:val="15"/>
          <w:b w:val="1"/>
          <w:bCs w:val="1"/>
          <w:i w:val="1"/>
          <w:iCs w:val="1"/>
          <w:color w:val="auto"/>
        </w:rPr>
        <w:t>If the effective term of our patents is decreased due to changes in the United States patent laws or if we need to refile some of our patent applications, the value of our patent portfolio and the revenues we derive from it may be decreased.</w:t>
      </w:r>
    </w:p>
    <w:p>
      <w:pPr>
        <w:spacing w:after="0" w:line="101" w:lineRule="exact"/>
        <w:rPr>
          <w:sz w:val="20"/>
          <w:szCs w:val="20"/>
          <w:color w:val="auto"/>
        </w:rPr>
      </w:pPr>
    </w:p>
    <w:p>
      <w:pPr>
        <w:jc w:val="both"/>
        <w:ind w:firstLine="648"/>
        <w:spacing w:after="0" w:line="219" w:lineRule="exact"/>
        <w:rPr>
          <w:sz w:val="20"/>
          <w:szCs w:val="20"/>
          <w:color w:val="auto"/>
        </w:rPr>
      </w:pPr>
      <w:r>
        <w:rPr>
          <w:rFonts w:ascii="Arial" w:cs="Arial" w:eastAsia="Arial" w:hAnsi="Arial"/>
          <w:sz w:val="18"/>
          <w:szCs w:val="18"/>
          <w:color w:val="auto"/>
        </w:rPr>
        <w:t>The value of our patents depends, in part, on their duration. A shorter period of patent protection could lessen the value of our rights under any patents that we obtain and may decrease the revenues we derive from our patents. The United States patent laws were amended in 1995 to change the term of patent protection from 17 years from patent issuance to 20 years from the earliest effective filing date of the application. Because the time from filing to issuance of biotechnology applications may be more than three years depending on the subject matter, a 20</w:t>
      </w:r>
      <w:r>
        <w:rPr>
          <w:rFonts w:ascii="MS PGothic" w:cs="MS PGothic" w:eastAsia="MS PGothic" w:hAnsi="MS PGothic"/>
          <w:sz w:val="18"/>
          <w:szCs w:val="18"/>
          <w:color w:val="auto"/>
        </w:rPr>
        <w:t>‑</w:t>
      </w:r>
      <w:r>
        <w:rPr>
          <w:rFonts w:ascii="Arial" w:cs="Arial" w:eastAsia="Arial" w:hAnsi="Arial"/>
          <w:sz w:val="18"/>
          <w:szCs w:val="18"/>
          <w:color w:val="auto"/>
        </w:rPr>
        <w:t>year patent term from the filing date may result in substantially shorter patent protection.</w:t>
      </w:r>
    </w:p>
    <w:p>
      <w:pPr>
        <w:spacing w:after="0" w:line="203"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Additionally, United States patent laws were amended in 2011 with the enactment of the America Invents Act and third parties are now able to challenge the validity of issued U.S. patents through various review proceedings; thus rendering the validity of U.S. patents more uncertain. We may be obligated to participate in review proceedings to determine the validity of our U.S. patents. We cannot predict the ultimate outcome of these proceedings, the conduct of which could result in substantial costs and diversion of our efforts and resources. If we are unsuccessful in these proceedings some or all of our claims in the patents may be narrowed or invalidated and the patent protection for our products and drug candidates in the United States could be substantially shortened. Further, if all of the patents covering one of our products are invalidated, the FDA could approve requests to manufacture a generic version of that product prior to the expiration date of those patents.</w:t>
      </w:r>
    </w:p>
    <w:p>
      <w:pPr>
        <w:spacing w:after="0" w:line="166" w:lineRule="exact"/>
        <w:rPr>
          <w:sz w:val="20"/>
          <w:szCs w:val="20"/>
          <w:color w:val="auto"/>
        </w:rPr>
      </w:pPr>
    </w:p>
    <w:p>
      <w:pPr>
        <w:jc w:val="both"/>
        <w:ind w:firstLine="648"/>
        <w:spacing w:after="0" w:line="217" w:lineRule="exact"/>
        <w:rPr>
          <w:sz w:val="20"/>
          <w:szCs w:val="20"/>
          <w:color w:val="auto"/>
        </w:rPr>
      </w:pPr>
      <w:r>
        <w:rPr>
          <w:rFonts w:ascii="Arial" w:cs="Arial" w:eastAsia="Arial" w:hAnsi="Arial"/>
          <w:sz w:val="17"/>
          <w:szCs w:val="17"/>
          <w:color w:val="auto"/>
        </w:rPr>
        <w:t>Other changes in the United States patent laws or changes in the interpretation of patent laws could diminish the value of our patents or narrow the scope of our patent protection. For example, the Supreme Court of the United States recently ruled that isolated DNA sequences cannot be patented. Although we no longer receive significant revenues generated from our former information products business, the majority of our gene patent portfolio from that business consists of patents on isolated DNA sequences, and this ruling limits our ability to derive additional revenues from our gene patent portfolio. Additionally, the Supreme Court resolved a split among the circuit courts of appeals regarding antitrust challenges to settlements of patent infringement lawsuits under the Hatch</w:t>
      </w:r>
      <w:r>
        <w:rPr>
          <w:rFonts w:ascii="MS PGothic" w:cs="MS PGothic" w:eastAsia="MS PGothic" w:hAnsi="MS PGothic"/>
          <w:sz w:val="17"/>
          <w:szCs w:val="17"/>
          <w:color w:val="auto"/>
        </w:rPr>
        <w:t>‑</w:t>
      </w:r>
      <w:r>
        <w:rPr>
          <w:rFonts w:ascii="Arial" w:cs="Arial" w:eastAsia="Arial" w:hAnsi="Arial"/>
          <w:sz w:val="17"/>
          <w:szCs w:val="17"/>
          <w:color w:val="auto"/>
        </w:rPr>
        <w:t>Waxman Act between brand</w:t>
      </w:r>
      <w:r>
        <w:rPr>
          <w:rFonts w:ascii="MS PGothic" w:cs="MS PGothic" w:eastAsia="MS PGothic" w:hAnsi="MS PGothic"/>
          <w:sz w:val="17"/>
          <w:szCs w:val="17"/>
          <w:color w:val="auto"/>
        </w:rPr>
        <w:t>‑</w:t>
      </w:r>
      <w:r>
        <w:rPr>
          <w:rFonts w:ascii="Arial" w:cs="Arial" w:eastAsia="Arial" w:hAnsi="Arial"/>
          <w:sz w:val="17"/>
          <w:szCs w:val="17"/>
          <w:color w:val="auto"/>
        </w:rPr>
        <w:t>name drug companies and generic drug companies. The Court rejected the “scope of the patent” test and ruled that settlements involving “reverse payments” from brand</w:t>
      </w:r>
      <w:r>
        <w:rPr>
          <w:rFonts w:ascii="MS PGothic" w:cs="MS PGothic" w:eastAsia="MS PGothic" w:hAnsi="MS PGothic"/>
          <w:sz w:val="17"/>
          <w:szCs w:val="17"/>
          <w:color w:val="auto"/>
        </w:rPr>
        <w:t>‑</w:t>
      </w:r>
      <w:r>
        <w:rPr>
          <w:rFonts w:ascii="Arial" w:cs="Arial" w:eastAsia="Arial" w:hAnsi="Arial"/>
          <w:sz w:val="17"/>
          <w:szCs w:val="17"/>
          <w:color w:val="auto"/>
        </w:rPr>
        <w:t>name drug companies to generic drug companies should be analyzed under the rule of reason. This ruling may create uncertainty and make it more difficult to settle patent litigation if a company seeking to manufacture a generic version of one of our products challenges the patents covering that product prior to the expiration date of those patents.</w:t>
      </w:r>
    </w:p>
    <w:p>
      <w:pPr>
        <w:spacing w:after="0" w:line="20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International patent protection is particularly uncertain and costly, and our involvement in opposition proceedings in foreign countries may result in the expenditure of substantial sums and management resources.</w:t>
      </w:r>
    </w:p>
    <w:p>
      <w:pPr>
        <w:spacing w:after="0" w:line="147" w:lineRule="exact"/>
        <w:rPr>
          <w:sz w:val="20"/>
          <w:szCs w:val="20"/>
          <w:color w:val="auto"/>
        </w:rPr>
      </w:pPr>
    </w:p>
    <w:p>
      <w:pPr>
        <w:jc w:val="both"/>
        <w:ind w:firstLine="648"/>
        <w:spacing w:after="0" w:line="217" w:lineRule="exact"/>
        <w:rPr>
          <w:sz w:val="20"/>
          <w:szCs w:val="20"/>
          <w:color w:val="auto"/>
        </w:rPr>
      </w:pPr>
      <w:r>
        <w:rPr>
          <w:rFonts w:ascii="Arial" w:cs="Arial" w:eastAsia="Arial" w:hAnsi="Arial"/>
          <w:sz w:val="16"/>
          <w:szCs w:val="16"/>
          <w:color w:val="auto"/>
        </w:rPr>
        <w:t>Biotechnology and pharmaceutical patent law outside the United States is even more uncertain and costly than in the United States and is currently undergoing review and revision in many countries. Further, the laws of some foreign countries may not protect our intellectual property rights to the same extent as United States laws. For example, certain countries do not grant patent claims that are directed to the treatment of humans. We have participated, and may in the future participate, in opposition proceedings to determine the validity of our foreign patents or our competitors’ foreign patents, which could result in substantial costs and diversion of our efforts. For example, there is a patent opposition proceeding in India against our Indian patent that covers the composition of matter and use of certain Janus Kinase inhibitors, including ruxolitinib phosphate, for the treatment of myeloid proliferative disorders, cancer, immune</w:t>
      </w:r>
      <w:r>
        <w:rPr>
          <w:rFonts w:ascii="MS PGothic" w:cs="MS PGothic" w:eastAsia="MS PGothic" w:hAnsi="MS PGothic"/>
          <w:sz w:val="16"/>
          <w:szCs w:val="16"/>
          <w:color w:val="auto"/>
        </w:rPr>
        <w:t>‑</w:t>
      </w:r>
      <w:r>
        <w:rPr>
          <w:rFonts w:ascii="Arial" w:cs="Arial" w:eastAsia="Arial" w:hAnsi="Arial"/>
          <w:sz w:val="16"/>
          <w:szCs w:val="16"/>
          <w:color w:val="auto"/>
        </w:rPr>
        <w:t>related diseases, skin disorders, and other diseases. Successful challenges to our patent or other intellectual property rights through these proceedings could result in a loss of rights in the relevant jurisdiction and allow third parties to use our proprietary technologies without a license from us or our collaborators, which may also result in loss of future royalty payments. In</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4" w:name="page85"/>
    <w:bookmarkEnd w:id="8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addition, successful challenges may jeopardize or delay our ability to enter into new collaborations or commercialize potential products, which could harm our business and results of operations.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RELATING TO INFORMATION TECHNOLOGY AND DATA PRIVACY</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Significant disruptions of information technology systems, breaches of data security, or unauthorized disclosures of sensitive data or personally identifiable information or individually identifiable health information could adversely affect our business, and could subject us to liability or reputational damage.</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business is increasingly dependent on critical, complex, and interdependent information technology (IT) systems, including Internet-based systems, some of which are managed or hosted by third parties, to support business processes as well as internal and external communications. The size and complexity of our IT systems make us potentially vulnerable to IT system breakdowns, malicious intrusion, and computer viruses, which may result in the impairment of our ability to operate our business effectively.</w:t>
      </w:r>
    </w:p>
    <w:p>
      <w:pPr>
        <w:spacing w:after="0" w:line="18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are currently in the process of enhancing our IT systems to address our planned growth as well as to support our planned manufacturing operations. There are inherent costs and risks associated with implementing the enhancements to our IT systems, including potential delays in access to, or errors in, critical business and financial information, substantial capital expenditures, additional administrative time and operating expenses, retention of sufficiently skilled personnel to implement and operate the enhanced systems, demands on management time, and costs of delays or difficulties in transitioning to the enhanced systems, any of which could harm our business and results of operations. In addition, the implementation of enhancements to our IT systems may not result in productivity improvements at a level that outweighs the costs of implementation, or at all.</w:t>
      </w:r>
    </w:p>
    <w:p>
      <w:pPr>
        <w:spacing w:after="0" w:line="19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addition, our systems and the systems of our third-party providers and collaborators are potentially vulnerable to data security breaches which may expose sensitive data to unauthorized persons or to the public. Such data security breaches could lead to the loss of confidential information, trade secrets or other intellectual property, could lead to the public exposure of personal information (including personally identifiable information or individually identifiable health information) of our employees, clinical trial patients, customers, business partners, and others, or could lead to potential identity theft. Data security breaches could also result in loss of clinical trial data or damage to the integrity of that data. In addition, the increased use of social media by our employees and contractors could result in inadvertent disclosure of sensitive data or personal information, including but not limited to, confidential information, trade secrets and other intellectual property.</w:t>
      </w:r>
    </w:p>
    <w:p>
      <w:pPr>
        <w:spacing w:after="0" w:line="19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Any such disruption or security breach, as well as any action by us or our employees or contractors that might be inconsistent with the rapidly evolving data privacy and security laws and regulations applicable within the United States and elsewhere where we conduct business, could result in enforcement actions by U.S. states, the U.S. Federal government or foreign governments, liability or sanctions under data privacy laws that protect personally identifiable information, regulatory penalties, other legal proceedings such as but not limited to private litigation, the incurrence of significant remediation costs, disruptions to our development programs, business operations and collaborations, diversion of management efforts and damage to our reputation, which could harm our business and operations. Because of the rapidly moving nature of technology and the increasing sophistication of cybersecurity threats, our measures to prevent, respond to and minimize such risks may be unsuccessful.</w:t>
      </w:r>
    </w:p>
    <w:p>
      <w:pPr>
        <w:spacing w:after="0" w:line="182"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In addition, the European Parliament and the Council of the European Union adopted a comprehensive general data privacy regulation, known as the GDPR, which took effect in May 2018 and governs the collection and use of personal data in the European Union. The GDPR, which is wide-ranging in scope, imposes several requirements relating to the consent of the individuals to whom the personal data relates, the information provided to the individuals, the security and confidentiality of the personal data, data breach notification and the use of third party processors in connection with the processing of the personal data. The GDPR also imposes strict rules on the transfer of personal data out of the European Union to the United States, provides an enforcement authority and imposes large penalties for noncompliance, including the potential for fines of up to €20 million or 4% of the annual global revenues of the infringer, whichever is greater.</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5" w:name="page86"/>
    <w:bookmarkEnd w:id="8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Increasing use of social media could give rise to liability, breaches of data security, or reputational damage.</w:t>
      </w:r>
    </w:p>
    <w:p>
      <w:pPr>
        <w:spacing w:after="0" w:line="23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We and our employees are increasingly utilizing social media tools as a means of communication both internally and externally. Despite our efforts to monitor evolving social media communication guidelines and comply with applicable rules, there is risk that the use of social media by us or our employees to communicate about our products or business may cause us to be found in violation of applicable requirements. In addition, our employees may knowingly or inadvertently make use of social media in ways that may not comply with our social media policy or other legal or contractual requirements, which may give rise to liability, lead to the loss of trade secrets or other intellectual property, or result in public exposure of personal information of our employees, clinical trial patients, customers, and others. Furthermore, negative posts or comments about us or our products in social media could seriously damage our reputation, brand image, and goodwill.</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6" w:name="page87"/>
    <w:bookmarkEnd w:id="8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8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540" w:type="dxa"/>
            <w:vAlign w:val="bottom"/>
            <w:gridSpan w:val="5"/>
            <w:vMerge w:val="restart"/>
          </w:tcPr>
          <w:p>
            <w:pPr>
              <w:ind w:left="840"/>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71"/>
        </w:trPr>
        <w:tc>
          <w:tcPr>
            <w:tcW w:w="118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54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85"/>
        </w:trPr>
        <w:tc>
          <w:tcPr>
            <w:tcW w:w="9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10.1#</w:t>
            </w:r>
          </w:p>
        </w:tc>
        <w:tc>
          <w:tcPr>
            <w:tcW w:w="280" w:type="dxa"/>
            <w:vAlign w:val="bottom"/>
          </w:tcPr>
          <w:p>
            <w:pPr>
              <w:spacing w:after="0"/>
              <w:rPr>
                <w:sz w:val="24"/>
                <w:szCs w:val="24"/>
                <w:color w:val="auto"/>
              </w:rPr>
            </w:pPr>
          </w:p>
        </w:tc>
        <w:tc>
          <w:tcPr>
            <w:tcW w:w="7880" w:type="dxa"/>
            <w:vAlign w:val="bottom"/>
            <w:tcBorders>
              <w:top w:val="single" w:sz="8" w:color="auto"/>
              <w:bottom w:val="single" w:sz="8" w:color="0000EE"/>
            </w:tcBorders>
            <w:gridSpan w:val="8"/>
          </w:tcPr>
          <w:p>
            <w:pPr>
              <w:spacing w:after="0"/>
              <w:rPr>
                <w:rFonts w:ascii="Arial" w:cs="Arial" w:eastAsia="Arial" w:hAnsi="Arial"/>
                <w:sz w:val="18"/>
                <w:szCs w:val="18"/>
                <w:color w:val="0000EE"/>
                <w:w w:val="96"/>
              </w:rPr>
            </w:pPr>
            <w:hyperlink r:id="rId104">
              <w:r>
                <w:rPr>
                  <w:rFonts w:ascii="Arial" w:cs="Arial" w:eastAsia="Arial" w:hAnsi="Arial"/>
                  <w:sz w:val="18"/>
                  <w:szCs w:val="18"/>
                  <w:color w:val="0000EE"/>
                  <w:w w:val="96"/>
                </w:rPr>
                <w:t>Form of Employment Agreement between the Company and Maria E. Pasquale (effective as of April 9,</w:t>
              </w:r>
            </w:hyperlink>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80" w:type="dxa"/>
            <w:vAlign w:val="bottom"/>
            <w:tcBorders>
              <w:bottom w:val="single" w:sz="8" w:color="0000EE"/>
            </w:tcBorders>
            <w:gridSpan w:val="8"/>
          </w:tcPr>
          <w:p>
            <w:pPr>
              <w:spacing w:after="0" w:line="196" w:lineRule="exact"/>
              <w:rPr>
                <w:rFonts w:ascii="Arial" w:cs="Arial" w:eastAsia="Arial" w:hAnsi="Arial"/>
                <w:sz w:val="18"/>
                <w:szCs w:val="18"/>
                <w:color w:val="0000EE"/>
                <w:w w:val="94"/>
              </w:rPr>
            </w:pPr>
            <w:hyperlink r:id="rId104">
              <w:r>
                <w:rPr>
                  <w:rFonts w:ascii="Arial" w:cs="Arial" w:eastAsia="Arial" w:hAnsi="Arial"/>
                  <w:sz w:val="18"/>
                  <w:szCs w:val="18"/>
                  <w:color w:val="0000EE"/>
                  <w:w w:val="94"/>
                </w:rPr>
                <w:t>2018) (incorporated by reference to Exhibit 10.14 to the Company’s Annual Report on Form 10-K for the</w:t>
              </w:r>
            </w:hyperlink>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80" w:type="dxa"/>
            <w:vAlign w:val="bottom"/>
            <w:gridSpan w:val="8"/>
          </w:tcPr>
          <w:p>
            <w:pPr>
              <w:spacing w:after="0" w:line="196" w:lineRule="exact"/>
              <w:rPr>
                <w:rFonts w:ascii="Arial" w:cs="Arial" w:eastAsia="Arial" w:hAnsi="Arial"/>
                <w:sz w:val="18"/>
                <w:szCs w:val="18"/>
                <w:color w:val="0000EE"/>
              </w:rPr>
            </w:pPr>
            <w:hyperlink r:id="rId104">
              <w:r>
                <w:rPr>
                  <w:rFonts w:ascii="Arial" w:cs="Arial" w:eastAsia="Arial" w:hAnsi="Arial"/>
                  <w:sz w:val="18"/>
                  <w:szCs w:val="18"/>
                  <w:color w:val="0000EE"/>
                </w:rPr>
                <w:t>year ended December 31, 2012).</w:t>
              </w:r>
            </w:hyperlink>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00" w:type="dxa"/>
            <w:vAlign w:val="bottom"/>
          </w:tcPr>
          <w:p>
            <w:pPr>
              <w:spacing w:after="0"/>
              <w:rPr>
                <w:sz w:val="20"/>
                <w:szCs w:val="20"/>
                <w:color w:val="auto"/>
              </w:rPr>
            </w:pPr>
            <w:r>
              <w:rPr>
                <w:rFonts w:ascii="Arial" w:cs="Arial" w:eastAsia="Arial" w:hAnsi="Arial"/>
                <w:sz w:val="18"/>
                <w:szCs w:val="18"/>
                <w:color w:val="auto"/>
              </w:rPr>
              <w:t>10.2#*</w:t>
            </w:r>
          </w:p>
        </w:tc>
        <w:tc>
          <w:tcPr>
            <w:tcW w:w="280" w:type="dxa"/>
            <w:vAlign w:val="bottom"/>
          </w:tcPr>
          <w:p>
            <w:pPr>
              <w:spacing w:after="0"/>
              <w:rPr>
                <w:sz w:val="24"/>
                <w:szCs w:val="24"/>
                <w:color w:val="auto"/>
              </w:rPr>
            </w:pPr>
          </w:p>
        </w:tc>
        <w:tc>
          <w:tcPr>
            <w:tcW w:w="7880" w:type="dxa"/>
            <w:vAlign w:val="bottom"/>
            <w:gridSpan w:val="8"/>
          </w:tcPr>
          <w:p>
            <w:pPr>
              <w:spacing w:after="0"/>
              <w:rPr>
                <w:rFonts w:ascii="Arial" w:cs="Arial" w:eastAsia="Arial" w:hAnsi="Arial"/>
                <w:sz w:val="18"/>
                <w:szCs w:val="18"/>
                <w:color w:val="0000EE"/>
                <w:w w:val="91"/>
              </w:rPr>
            </w:pPr>
            <w:hyperlink w:anchor="page89">
              <w:r>
                <w:rPr>
                  <w:rFonts w:ascii="Arial" w:cs="Arial" w:eastAsia="Arial" w:hAnsi="Arial"/>
                  <w:sz w:val="18"/>
                  <w:szCs w:val="18"/>
                  <w:color w:val="0000EE"/>
                  <w:w w:val="91"/>
                </w:rPr>
                <w:t>Form of Performance Stock Award Agreement under the Amended and Restated 2010 Stock Incentive Plan.</w:t>
              </w:r>
            </w:hyperlink>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96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6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00" w:type="dxa"/>
            <w:vAlign w:val="bottom"/>
          </w:tcPr>
          <w:p>
            <w:pPr>
              <w:spacing w:after="0"/>
              <w:rPr>
                <w:sz w:val="20"/>
                <w:szCs w:val="20"/>
                <w:color w:val="auto"/>
              </w:rPr>
            </w:pPr>
            <w:r>
              <w:rPr>
                <w:rFonts w:ascii="Arial" w:cs="Arial" w:eastAsia="Arial" w:hAnsi="Arial"/>
                <w:sz w:val="18"/>
                <w:szCs w:val="18"/>
                <w:color w:val="auto"/>
              </w:rPr>
              <w:t>10.3#</w:t>
            </w:r>
          </w:p>
        </w:tc>
        <w:tc>
          <w:tcPr>
            <w:tcW w:w="280" w:type="dxa"/>
            <w:vAlign w:val="bottom"/>
          </w:tcPr>
          <w:p>
            <w:pPr>
              <w:spacing w:after="0"/>
              <w:rPr>
                <w:sz w:val="24"/>
                <w:szCs w:val="24"/>
                <w:color w:val="auto"/>
              </w:rPr>
            </w:pPr>
          </w:p>
        </w:tc>
        <w:tc>
          <w:tcPr>
            <w:tcW w:w="7880" w:type="dxa"/>
            <w:vAlign w:val="bottom"/>
            <w:tcBorders>
              <w:bottom w:val="single" w:sz="8" w:color="0000EE"/>
            </w:tcBorders>
            <w:gridSpan w:val="8"/>
          </w:tcPr>
          <w:p>
            <w:pPr>
              <w:spacing w:after="0"/>
              <w:rPr>
                <w:rFonts w:ascii="Arial" w:cs="Arial" w:eastAsia="Arial" w:hAnsi="Arial"/>
                <w:sz w:val="18"/>
                <w:szCs w:val="18"/>
                <w:color w:val="0000EE"/>
                <w:w w:val="98"/>
              </w:rPr>
            </w:pPr>
            <w:hyperlink r:id="rId105">
              <w:r>
                <w:rPr>
                  <w:rFonts w:ascii="Arial" w:cs="Arial" w:eastAsia="Arial" w:hAnsi="Arial"/>
                  <w:sz w:val="18"/>
                  <w:szCs w:val="18"/>
                  <w:color w:val="0000EE"/>
                  <w:w w:val="98"/>
                </w:rPr>
                <w:t>Incyte Corporation Amended and Restated 2010 Stock Incentive Plan, as amended (incorporated by</w:t>
              </w:r>
            </w:hyperlink>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6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r:id="rId105">
              <w:r>
                <w:rPr>
                  <w:rFonts w:ascii="Arial" w:cs="Arial" w:eastAsia="Arial" w:hAnsi="Arial"/>
                  <w:sz w:val="18"/>
                  <w:szCs w:val="18"/>
                  <w:color w:val="0000EE"/>
                  <w:w w:val="91"/>
                </w:rPr>
                <w:t>reference to Exhibit 10.1 to the Company’s Current Report on Form 8-K filed May 2, 2018).</w:t>
              </w:r>
            </w:hyperlink>
          </w:p>
        </w:tc>
        <w:tc>
          <w:tcPr>
            <w:tcW w:w="12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00" w:type="dxa"/>
            <w:vAlign w:val="bottom"/>
          </w:tcPr>
          <w:p>
            <w:pPr>
              <w:spacing w:after="0"/>
              <w:rPr>
                <w:sz w:val="20"/>
                <w:szCs w:val="20"/>
                <w:color w:val="auto"/>
              </w:rPr>
            </w:pPr>
            <w:r>
              <w:rPr>
                <w:rFonts w:ascii="Arial" w:cs="Arial" w:eastAsia="Arial" w:hAnsi="Arial"/>
                <w:sz w:val="18"/>
                <w:szCs w:val="18"/>
                <w:color w:val="auto"/>
              </w:rPr>
              <w:t>31.1*</w:t>
            </w:r>
          </w:p>
        </w:tc>
        <w:tc>
          <w:tcPr>
            <w:tcW w:w="280" w:type="dxa"/>
            <w:vAlign w:val="bottom"/>
          </w:tcPr>
          <w:p>
            <w:pPr>
              <w:spacing w:after="0"/>
              <w:rPr>
                <w:sz w:val="24"/>
                <w:szCs w:val="24"/>
                <w:color w:val="auto"/>
              </w:rPr>
            </w:pPr>
          </w:p>
        </w:tc>
        <w:tc>
          <w:tcPr>
            <w:tcW w:w="7880" w:type="dxa"/>
            <w:vAlign w:val="bottom"/>
            <w:gridSpan w:val="8"/>
          </w:tcPr>
          <w:p>
            <w:pPr>
              <w:spacing w:after="0"/>
              <w:rPr>
                <w:rFonts w:ascii="Arial" w:cs="Arial" w:eastAsia="Arial" w:hAnsi="Arial"/>
                <w:sz w:val="18"/>
                <w:szCs w:val="18"/>
                <w:color w:val="0000EE"/>
              </w:rPr>
            </w:pPr>
            <w:hyperlink w:anchor="page96">
              <w:r>
                <w:rPr>
                  <w:rFonts w:ascii="Arial" w:cs="Arial" w:eastAsia="Arial" w:hAnsi="Arial"/>
                  <w:sz w:val="18"/>
                  <w:szCs w:val="18"/>
                  <w:color w:val="0000EE"/>
                </w:rPr>
                <w:t>Rule 13a-14(a) Certification of Chief Executive Officer</w:t>
              </w:r>
            </w:hyperlink>
          </w:p>
        </w:tc>
        <w:tc>
          <w:tcPr>
            <w:tcW w:w="0" w:type="dxa"/>
            <w:vAlign w:val="bottom"/>
          </w:tcPr>
          <w:p>
            <w:pPr>
              <w:spacing w:after="0"/>
              <w:rPr>
                <w:sz w:val="1"/>
                <w:szCs w:val="1"/>
                <w:color w:val="auto"/>
              </w:rPr>
            </w:pPr>
          </w:p>
        </w:tc>
      </w:tr>
      <w:tr>
        <w:trPr>
          <w:trHeight w:val="412"/>
        </w:trPr>
        <w:tc>
          <w:tcPr>
            <w:tcW w:w="900" w:type="dxa"/>
            <w:vAlign w:val="bottom"/>
          </w:tcPr>
          <w:p>
            <w:pPr>
              <w:spacing w:after="0"/>
              <w:rPr>
                <w:sz w:val="20"/>
                <w:szCs w:val="20"/>
                <w:color w:val="auto"/>
              </w:rPr>
            </w:pPr>
            <w:r>
              <w:rPr>
                <w:rFonts w:ascii="Arial" w:cs="Arial" w:eastAsia="Arial" w:hAnsi="Arial"/>
                <w:sz w:val="18"/>
                <w:szCs w:val="18"/>
                <w:color w:val="auto"/>
              </w:rPr>
              <w:t>31.2*</w:t>
            </w:r>
          </w:p>
        </w:tc>
        <w:tc>
          <w:tcPr>
            <w:tcW w:w="280" w:type="dxa"/>
            <w:vAlign w:val="bottom"/>
          </w:tcPr>
          <w:p>
            <w:pPr>
              <w:spacing w:after="0"/>
              <w:rPr>
                <w:sz w:val="24"/>
                <w:szCs w:val="24"/>
                <w:color w:val="auto"/>
              </w:rPr>
            </w:pPr>
          </w:p>
        </w:tc>
        <w:tc>
          <w:tcPr>
            <w:tcW w:w="396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3"/>
              </w:rPr>
            </w:pPr>
            <w:hyperlink w:anchor="page97">
              <w:r>
                <w:rPr>
                  <w:rFonts w:ascii="Arial" w:cs="Arial" w:eastAsia="Arial" w:hAnsi="Arial"/>
                  <w:sz w:val="18"/>
                  <w:szCs w:val="18"/>
                  <w:color w:val="0000EE"/>
                  <w:w w:val="93"/>
                </w:rPr>
                <w:t>Rule 13a-14(a) Certification of Chief Financial Officer</w:t>
              </w:r>
            </w:hyperlink>
          </w:p>
        </w:tc>
        <w:tc>
          <w:tcPr>
            <w:tcW w:w="40" w:type="dxa"/>
            <w:vAlign w:val="bottom"/>
            <w:tcBorders>
              <w:top w:val="single" w:sz="8" w:color="0000EE"/>
            </w:tcBorders>
          </w:tcPr>
          <w:p>
            <w:pPr>
              <w:spacing w:after="0"/>
              <w:rPr>
                <w:sz w:val="24"/>
                <w:szCs w:val="24"/>
                <w:color w:val="auto"/>
              </w:rPr>
            </w:pPr>
          </w:p>
        </w:tc>
        <w:tc>
          <w:tcPr>
            <w:tcW w:w="38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900" w:type="dxa"/>
            <w:vAlign w:val="bottom"/>
          </w:tcPr>
          <w:p>
            <w:pPr>
              <w:spacing w:after="0"/>
              <w:rPr>
                <w:sz w:val="20"/>
                <w:szCs w:val="20"/>
                <w:color w:val="auto"/>
              </w:rPr>
            </w:pPr>
            <w:r>
              <w:rPr>
                <w:rFonts w:ascii="Arial" w:cs="Arial" w:eastAsia="Arial" w:hAnsi="Arial"/>
                <w:sz w:val="18"/>
                <w:szCs w:val="18"/>
                <w:color w:val="auto"/>
              </w:rPr>
              <w:t>32.1**</w:t>
            </w:r>
          </w:p>
        </w:tc>
        <w:tc>
          <w:tcPr>
            <w:tcW w:w="280" w:type="dxa"/>
            <w:vAlign w:val="bottom"/>
          </w:tcPr>
          <w:p>
            <w:pPr>
              <w:spacing w:after="0"/>
              <w:rPr>
                <w:sz w:val="24"/>
                <w:szCs w:val="24"/>
                <w:color w:val="auto"/>
              </w:rPr>
            </w:pPr>
          </w:p>
        </w:tc>
        <w:tc>
          <w:tcPr>
            <w:tcW w:w="7880" w:type="dxa"/>
            <w:vAlign w:val="bottom"/>
            <w:tcBorders>
              <w:bottom w:val="single" w:sz="8" w:color="0000EE"/>
            </w:tcBorders>
            <w:gridSpan w:val="8"/>
          </w:tcPr>
          <w:p>
            <w:pPr>
              <w:spacing w:after="0"/>
              <w:rPr>
                <w:rFonts w:ascii="Arial" w:cs="Arial" w:eastAsia="Arial" w:hAnsi="Arial"/>
                <w:sz w:val="18"/>
                <w:szCs w:val="18"/>
                <w:color w:val="0000EE"/>
                <w:w w:val="93"/>
              </w:rPr>
            </w:pPr>
            <w:hyperlink w:anchor="page98">
              <w:r>
                <w:rPr>
                  <w:rFonts w:ascii="Arial" w:cs="Arial" w:eastAsia="Arial" w:hAnsi="Arial"/>
                  <w:sz w:val="18"/>
                  <w:szCs w:val="18"/>
                  <w:color w:val="0000EE"/>
                  <w:w w:val="93"/>
                </w:rPr>
                <w:t>Statement of the Chief Executive Officer under Section 906 of the Sarbanes-Oxley Act of 2002 (18 U.S.C.</w:t>
              </w:r>
            </w:hyperlink>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80" w:type="dxa"/>
            <w:vAlign w:val="bottom"/>
            <w:gridSpan w:val="8"/>
          </w:tcPr>
          <w:p>
            <w:pPr>
              <w:spacing w:after="0" w:line="196" w:lineRule="exact"/>
              <w:rPr>
                <w:rFonts w:ascii="Arial" w:cs="Arial" w:eastAsia="Arial" w:hAnsi="Arial"/>
                <w:sz w:val="18"/>
                <w:szCs w:val="18"/>
                <w:color w:val="0000EE"/>
              </w:rPr>
            </w:pPr>
            <w:hyperlink w:anchor="page98">
              <w:r>
                <w:rPr>
                  <w:rFonts w:ascii="Arial" w:cs="Arial" w:eastAsia="Arial" w:hAnsi="Arial"/>
                  <w:sz w:val="18"/>
                  <w:szCs w:val="18"/>
                  <w:color w:val="0000EE"/>
                </w:rPr>
                <w:t>Section 1350)</w:t>
              </w:r>
            </w:hyperlink>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688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00" w:type="dxa"/>
            <w:vAlign w:val="bottom"/>
          </w:tcPr>
          <w:p>
            <w:pPr>
              <w:spacing w:after="0"/>
              <w:rPr>
                <w:sz w:val="20"/>
                <w:szCs w:val="20"/>
                <w:color w:val="auto"/>
              </w:rPr>
            </w:pPr>
            <w:r>
              <w:rPr>
                <w:rFonts w:ascii="Arial" w:cs="Arial" w:eastAsia="Arial" w:hAnsi="Arial"/>
                <w:sz w:val="18"/>
                <w:szCs w:val="18"/>
                <w:color w:val="auto"/>
              </w:rPr>
              <w:t>32.2**</w:t>
            </w:r>
          </w:p>
        </w:tc>
        <w:tc>
          <w:tcPr>
            <w:tcW w:w="280" w:type="dxa"/>
            <w:vAlign w:val="bottom"/>
          </w:tcPr>
          <w:p>
            <w:pPr>
              <w:spacing w:after="0"/>
              <w:rPr>
                <w:sz w:val="24"/>
                <w:szCs w:val="24"/>
                <w:color w:val="auto"/>
              </w:rPr>
            </w:pPr>
          </w:p>
        </w:tc>
        <w:tc>
          <w:tcPr>
            <w:tcW w:w="7880" w:type="dxa"/>
            <w:vAlign w:val="bottom"/>
            <w:tcBorders>
              <w:bottom w:val="single" w:sz="8" w:color="0000EE"/>
            </w:tcBorders>
            <w:gridSpan w:val="8"/>
          </w:tcPr>
          <w:p>
            <w:pPr>
              <w:spacing w:after="0"/>
              <w:rPr>
                <w:rFonts w:ascii="Arial" w:cs="Arial" w:eastAsia="Arial" w:hAnsi="Arial"/>
                <w:sz w:val="18"/>
                <w:szCs w:val="18"/>
                <w:color w:val="0000EE"/>
                <w:w w:val="94"/>
              </w:rPr>
            </w:pPr>
            <w:hyperlink w:anchor="page99">
              <w:r>
                <w:rPr>
                  <w:rFonts w:ascii="Arial" w:cs="Arial" w:eastAsia="Arial" w:hAnsi="Arial"/>
                  <w:sz w:val="18"/>
                  <w:szCs w:val="18"/>
                  <w:color w:val="0000EE"/>
                  <w:w w:val="94"/>
                </w:rPr>
                <w:t>Statement of the Chief Financial Officer under Section 906 of the Sarbanes-Oxley Act of 2002 (18 U.S.C.</w:t>
              </w:r>
            </w:hyperlink>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80" w:type="dxa"/>
            <w:vAlign w:val="bottom"/>
            <w:gridSpan w:val="8"/>
          </w:tcPr>
          <w:p>
            <w:pPr>
              <w:spacing w:after="0" w:line="196" w:lineRule="exact"/>
              <w:rPr>
                <w:rFonts w:ascii="Arial" w:cs="Arial" w:eastAsia="Arial" w:hAnsi="Arial"/>
                <w:sz w:val="18"/>
                <w:szCs w:val="18"/>
                <w:color w:val="0000EE"/>
              </w:rPr>
            </w:pPr>
            <w:hyperlink w:anchor="page99">
              <w:r>
                <w:rPr>
                  <w:rFonts w:ascii="Arial" w:cs="Arial" w:eastAsia="Arial" w:hAnsi="Arial"/>
                  <w:sz w:val="18"/>
                  <w:szCs w:val="18"/>
                  <w:color w:val="0000EE"/>
                </w:rPr>
                <w:t>Section 1350)</w:t>
              </w:r>
            </w:hyperlink>
          </w:p>
        </w:tc>
        <w:tc>
          <w:tcPr>
            <w:tcW w:w="0" w:type="dxa"/>
            <w:vAlign w:val="bottom"/>
          </w:tcPr>
          <w:p>
            <w:pPr>
              <w:spacing w:after="0"/>
              <w:rPr>
                <w:sz w:val="1"/>
                <w:szCs w:val="1"/>
                <w:color w:val="auto"/>
              </w:rPr>
            </w:pPr>
          </w:p>
        </w:tc>
      </w:tr>
      <w:tr>
        <w:trPr>
          <w:trHeight w:val="20"/>
        </w:trPr>
        <w:tc>
          <w:tcPr>
            <w:tcW w:w="1180" w:type="dxa"/>
            <w:vAlign w:val="bottom"/>
            <w:gridSpan w:val="2"/>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688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180" w:type="dxa"/>
            <w:vAlign w:val="bottom"/>
            <w:gridSpan w:val="2"/>
          </w:tcPr>
          <w:p>
            <w:pPr>
              <w:spacing w:after="0"/>
              <w:rPr>
                <w:sz w:val="20"/>
                <w:szCs w:val="20"/>
                <w:color w:val="auto"/>
              </w:rPr>
            </w:pPr>
            <w:r>
              <w:rPr>
                <w:rFonts w:ascii="Arial" w:cs="Arial" w:eastAsia="Arial" w:hAnsi="Arial"/>
                <w:sz w:val="18"/>
                <w:szCs w:val="18"/>
                <w:color w:val="auto"/>
              </w:rPr>
              <w:t>101.INS*</w:t>
            </w:r>
          </w:p>
        </w:tc>
        <w:tc>
          <w:tcPr>
            <w:tcW w:w="7880" w:type="dxa"/>
            <w:vAlign w:val="bottom"/>
            <w:gridSpan w:val="8"/>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432"/>
        </w:trPr>
        <w:tc>
          <w:tcPr>
            <w:tcW w:w="1180" w:type="dxa"/>
            <w:vAlign w:val="bottom"/>
            <w:gridSpan w:val="2"/>
          </w:tcPr>
          <w:p>
            <w:pPr>
              <w:spacing w:after="0"/>
              <w:rPr>
                <w:sz w:val="20"/>
                <w:szCs w:val="20"/>
                <w:color w:val="auto"/>
              </w:rPr>
            </w:pPr>
            <w:r>
              <w:rPr>
                <w:rFonts w:ascii="Arial" w:cs="Arial" w:eastAsia="Arial" w:hAnsi="Arial"/>
                <w:sz w:val="18"/>
                <w:szCs w:val="18"/>
                <w:color w:val="auto"/>
              </w:rPr>
              <w:t>101.SCH*</w:t>
            </w:r>
          </w:p>
        </w:tc>
        <w:tc>
          <w:tcPr>
            <w:tcW w:w="7880" w:type="dxa"/>
            <w:vAlign w:val="bottom"/>
            <w:gridSpan w:val="8"/>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432"/>
        </w:trPr>
        <w:tc>
          <w:tcPr>
            <w:tcW w:w="1180" w:type="dxa"/>
            <w:vAlign w:val="bottom"/>
            <w:gridSpan w:val="2"/>
          </w:tcPr>
          <w:p>
            <w:pPr>
              <w:spacing w:after="0"/>
              <w:rPr>
                <w:sz w:val="20"/>
                <w:szCs w:val="20"/>
                <w:color w:val="auto"/>
              </w:rPr>
            </w:pPr>
            <w:r>
              <w:rPr>
                <w:rFonts w:ascii="Arial" w:cs="Arial" w:eastAsia="Arial" w:hAnsi="Arial"/>
                <w:sz w:val="18"/>
                <w:szCs w:val="18"/>
                <w:color w:val="auto"/>
              </w:rPr>
              <w:t>101.CAL*</w:t>
            </w:r>
          </w:p>
        </w:tc>
        <w:tc>
          <w:tcPr>
            <w:tcW w:w="7880" w:type="dxa"/>
            <w:vAlign w:val="bottom"/>
            <w:gridSpan w:val="8"/>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432"/>
        </w:trPr>
        <w:tc>
          <w:tcPr>
            <w:tcW w:w="1180" w:type="dxa"/>
            <w:vAlign w:val="bottom"/>
            <w:gridSpan w:val="2"/>
          </w:tcPr>
          <w:p>
            <w:pPr>
              <w:spacing w:after="0"/>
              <w:rPr>
                <w:sz w:val="20"/>
                <w:szCs w:val="20"/>
                <w:color w:val="auto"/>
              </w:rPr>
            </w:pPr>
            <w:r>
              <w:rPr>
                <w:rFonts w:ascii="Arial" w:cs="Arial" w:eastAsia="Arial" w:hAnsi="Arial"/>
                <w:sz w:val="18"/>
                <w:szCs w:val="18"/>
                <w:color w:val="auto"/>
              </w:rPr>
              <w:t>101.LAB*</w:t>
            </w:r>
          </w:p>
        </w:tc>
        <w:tc>
          <w:tcPr>
            <w:tcW w:w="7880" w:type="dxa"/>
            <w:vAlign w:val="bottom"/>
            <w:gridSpan w:val="8"/>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432"/>
        </w:trPr>
        <w:tc>
          <w:tcPr>
            <w:tcW w:w="1180" w:type="dxa"/>
            <w:vAlign w:val="bottom"/>
            <w:gridSpan w:val="2"/>
          </w:tcPr>
          <w:p>
            <w:pPr>
              <w:spacing w:after="0"/>
              <w:rPr>
                <w:sz w:val="20"/>
                <w:szCs w:val="20"/>
                <w:color w:val="auto"/>
              </w:rPr>
            </w:pPr>
            <w:r>
              <w:rPr>
                <w:rFonts w:ascii="Arial" w:cs="Arial" w:eastAsia="Arial" w:hAnsi="Arial"/>
                <w:sz w:val="18"/>
                <w:szCs w:val="18"/>
                <w:color w:val="auto"/>
              </w:rPr>
              <w:t>101.PRE*</w:t>
            </w:r>
          </w:p>
        </w:tc>
        <w:tc>
          <w:tcPr>
            <w:tcW w:w="7880" w:type="dxa"/>
            <w:vAlign w:val="bottom"/>
            <w:gridSpan w:val="8"/>
          </w:tcPr>
          <w:p>
            <w:pPr>
              <w:spacing w:after="0"/>
              <w:rPr>
                <w:sz w:val="20"/>
                <w:szCs w:val="20"/>
                <w:color w:val="auto"/>
              </w:rPr>
            </w:pPr>
            <w:r>
              <w:rPr>
                <w:rFonts w:ascii="Arial" w:cs="Arial" w:eastAsia="Arial" w:hAnsi="Arial"/>
                <w:sz w:val="18"/>
                <w:szCs w:val="18"/>
                <w:color w:val="auto"/>
              </w:rPr>
              <w:t>XBRL Taxonomy Presentation Linkbase Document</w:t>
            </w:r>
          </w:p>
        </w:tc>
        <w:tc>
          <w:tcPr>
            <w:tcW w:w="0" w:type="dxa"/>
            <w:vAlign w:val="bottom"/>
          </w:tcPr>
          <w:p>
            <w:pPr>
              <w:spacing w:after="0"/>
              <w:rPr>
                <w:sz w:val="1"/>
                <w:szCs w:val="1"/>
                <w:color w:val="auto"/>
              </w:rPr>
            </w:pPr>
          </w:p>
        </w:tc>
      </w:tr>
      <w:tr>
        <w:trPr>
          <w:trHeight w:val="432"/>
        </w:trPr>
        <w:tc>
          <w:tcPr>
            <w:tcW w:w="1180" w:type="dxa"/>
            <w:vAlign w:val="bottom"/>
            <w:gridSpan w:val="2"/>
          </w:tcPr>
          <w:p>
            <w:pPr>
              <w:spacing w:after="0"/>
              <w:rPr>
                <w:sz w:val="20"/>
                <w:szCs w:val="20"/>
                <w:color w:val="auto"/>
              </w:rPr>
            </w:pPr>
            <w:r>
              <w:rPr>
                <w:rFonts w:ascii="Arial" w:cs="Arial" w:eastAsia="Arial" w:hAnsi="Arial"/>
                <w:sz w:val="18"/>
                <w:szCs w:val="18"/>
                <w:color w:val="auto"/>
              </w:rPr>
              <w:t>101.DEF*</w:t>
            </w:r>
          </w:p>
        </w:tc>
        <w:tc>
          <w:tcPr>
            <w:tcW w:w="7880" w:type="dxa"/>
            <w:vAlign w:val="bottom"/>
            <w:gridSpan w:val="8"/>
          </w:tcPr>
          <w:p>
            <w:pPr>
              <w:spacing w:after="0"/>
              <w:rPr>
                <w:sz w:val="20"/>
                <w:szCs w:val="20"/>
                <w:color w:val="auto"/>
              </w:rPr>
            </w:pPr>
            <w:r>
              <w:rPr>
                <w:rFonts w:ascii="Arial" w:cs="Arial" w:eastAsia="Arial" w:hAnsi="Arial"/>
                <w:sz w:val="18"/>
                <w:szCs w:val="18"/>
                <w:color w:val="auto"/>
              </w:rPr>
              <w:t>XBRL Taxonomy Definition Linkbase Document</w:t>
            </w:r>
          </w:p>
        </w:tc>
        <w:tc>
          <w:tcPr>
            <w:tcW w:w="0" w:type="dxa"/>
            <w:vAlign w:val="bottom"/>
          </w:tcPr>
          <w:p>
            <w:pPr>
              <w:spacing w:after="0"/>
              <w:rPr>
                <w:sz w:val="1"/>
                <w:szCs w:val="1"/>
                <w:color w:val="auto"/>
              </w:rPr>
            </w:pPr>
          </w:p>
        </w:tc>
      </w:tr>
      <w:tr>
        <w:trPr>
          <w:trHeight w:val="324"/>
        </w:trPr>
        <w:tc>
          <w:tcPr>
            <w:tcW w:w="9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900" w:type="dxa"/>
            <w:vAlign w:val="bottom"/>
          </w:tcPr>
          <w:p>
            <w:pPr>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540" w:type="dxa"/>
            <w:vAlign w:val="bottom"/>
            <w:gridSpan w:val="5"/>
          </w:tcPr>
          <w:p>
            <w:pPr>
              <w:ind w:left="96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540" w:type="dxa"/>
            <w:vAlign w:val="bottom"/>
            <w:gridSpan w:val="5"/>
          </w:tcPr>
          <w:p>
            <w:pPr>
              <w:ind w:left="960"/>
              <w:spacing w:after="0"/>
              <w:rPr>
                <w:sz w:val="20"/>
                <w:szCs w:val="20"/>
                <w:color w:val="auto"/>
              </w:rPr>
            </w:pPr>
            <w:r>
              <w:rPr>
                <w:rFonts w:ascii="Arial" w:cs="Arial" w:eastAsia="Arial" w:hAnsi="Arial"/>
                <w:sz w:val="18"/>
                <w:szCs w:val="18"/>
                <w:color w:val="auto"/>
                <w:w w:val="94"/>
              </w:rPr>
              <w:t>In accordance with Item 601(b)(32)(ii) of Regulation S-K and</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540" w:type="dxa"/>
            <w:vAlign w:val="bottom"/>
            <w:gridSpan w:val="5"/>
          </w:tcPr>
          <w:p>
            <w:pPr>
              <w:ind w:left="960"/>
              <w:spacing w:after="0"/>
              <w:rPr>
                <w:sz w:val="20"/>
                <w:szCs w:val="20"/>
                <w:color w:val="auto"/>
              </w:rPr>
            </w:pPr>
            <w:r>
              <w:rPr>
                <w:rFonts w:ascii="Arial" w:cs="Arial" w:eastAsia="Arial" w:hAnsi="Arial"/>
                <w:sz w:val="18"/>
                <w:szCs w:val="18"/>
                <w:color w:val="auto"/>
                <w:w w:val="99"/>
              </w:rPr>
              <w:t>SEC Release No. 34-47986, the certifications furnished in</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540" w:type="dxa"/>
            <w:vAlign w:val="bottom"/>
            <w:gridSpan w:val="5"/>
          </w:tcPr>
          <w:p>
            <w:pPr>
              <w:ind w:left="960"/>
              <w:spacing w:after="0"/>
              <w:rPr>
                <w:sz w:val="20"/>
                <w:szCs w:val="20"/>
                <w:color w:val="auto"/>
              </w:rPr>
            </w:pPr>
            <w:r>
              <w:rPr>
                <w:rFonts w:ascii="Arial" w:cs="Arial" w:eastAsia="Arial" w:hAnsi="Arial"/>
                <w:sz w:val="18"/>
                <w:szCs w:val="18"/>
                <w:color w:val="auto"/>
                <w:w w:val="93"/>
              </w:rPr>
              <w:t>Exhibits 32.1 and 32.2 hereto are deemed to accompany this</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540" w:type="dxa"/>
            <w:vAlign w:val="bottom"/>
            <w:gridSpan w:val="5"/>
          </w:tcPr>
          <w:p>
            <w:pPr>
              <w:ind w:left="960"/>
              <w:spacing w:after="0"/>
              <w:rPr>
                <w:sz w:val="20"/>
                <w:szCs w:val="20"/>
                <w:color w:val="auto"/>
              </w:rPr>
            </w:pPr>
            <w:r>
              <w:rPr>
                <w:rFonts w:ascii="Arial" w:cs="Arial" w:eastAsia="Arial" w:hAnsi="Arial"/>
                <w:sz w:val="18"/>
                <w:szCs w:val="18"/>
                <w:color w:val="auto"/>
              </w:rPr>
              <w:t>Form 10-Q and will not be deemed “filed” for purposes of</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540" w:type="dxa"/>
            <w:vAlign w:val="bottom"/>
            <w:gridSpan w:val="5"/>
          </w:tcPr>
          <w:p>
            <w:pPr>
              <w:ind w:left="960"/>
              <w:spacing w:after="0"/>
              <w:rPr>
                <w:sz w:val="20"/>
                <w:szCs w:val="20"/>
                <w:color w:val="auto"/>
              </w:rPr>
            </w:pPr>
            <w:r>
              <w:rPr>
                <w:rFonts w:ascii="Arial" w:cs="Arial" w:eastAsia="Arial" w:hAnsi="Arial"/>
                <w:sz w:val="18"/>
                <w:szCs w:val="18"/>
                <w:color w:val="auto"/>
                <w:w w:val="92"/>
              </w:rPr>
              <w:t>Section 18 of the Exchange Act. Such certifications will not be</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540" w:type="dxa"/>
            <w:vAlign w:val="bottom"/>
            <w:gridSpan w:val="5"/>
          </w:tcPr>
          <w:p>
            <w:pPr>
              <w:ind w:left="960"/>
              <w:spacing w:after="0"/>
              <w:rPr>
                <w:sz w:val="20"/>
                <w:szCs w:val="20"/>
                <w:color w:val="auto"/>
              </w:rPr>
            </w:pPr>
            <w:r>
              <w:rPr>
                <w:rFonts w:ascii="Arial" w:cs="Arial" w:eastAsia="Arial" w:hAnsi="Arial"/>
                <w:sz w:val="18"/>
                <w:szCs w:val="18"/>
                <w:color w:val="auto"/>
                <w:w w:val="94"/>
              </w:rPr>
              <w:t>deemed to be incorporated by reference into any filing under</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540" w:type="dxa"/>
            <w:vAlign w:val="bottom"/>
            <w:gridSpan w:val="5"/>
          </w:tcPr>
          <w:p>
            <w:pPr>
              <w:ind w:left="960"/>
              <w:spacing w:after="0"/>
              <w:rPr>
                <w:sz w:val="20"/>
                <w:szCs w:val="20"/>
                <w:color w:val="auto"/>
              </w:rPr>
            </w:pPr>
            <w:r>
              <w:rPr>
                <w:rFonts w:ascii="Arial" w:cs="Arial" w:eastAsia="Arial" w:hAnsi="Arial"/>
                <w:sz w:val="18"/>
                <w:szCs w:val="18"/>
                <w:color w:val="auto"/>
              </w:rPr>
              <w:t>the Securities Act or the Exchange Act.</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260" w:hanging="257"/>
        <w:spacing w:after="0"/>
        <w:tabs>
          <w:tab w:leader="none" w:pos="2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 or arrangement.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81" w:lineRule="exact"/>
        <w:rPr>
          <w:rFonts w:ascii="Arial" w:cs="Arial" w:eastAsia="Arial" w:hAnsi="Arial"/>
          <w:sz w:val="18"/>
          <w:szCs w:val="18"/>
          <w:color w:val="auto"/>
        </w:rPr>
      </w:pPr>
    </w:p>
    <w:p>
      <w:pPr>
        <w:ind w:left="4440"/>
        <w:spacing w:after="0"/>
        <w:rPr>
          <w:rFonts w:ascii="Arial" w:cs="Arial" w:eastAsia="Arial" w:hAnsi="Arial"/>
          <w:sz w:val="18"/>
          <w:szCs w:val="18"/>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7" w:name="page88"/>
    <w:bookmarkEnd w:id="8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20" w:type="dxa"/>
            <w:vAlign w:val="bottom"/>
          </w:tcPr>
          <w:p>
            <w:pPr>
              <w:spacing w:after="0"/>
              <w:rPr>
                <w:sz w:val="20"/>
                <w:szCs w:val="20"/>
                <w:color w:val="auto"/>
              </w:rPr>
            </w:pPr>
          </w:p>
        </w:tc>
        <w:tc>
          <w:tcPr>
            <w:tcW w:w="6040" w:type="dxa"/>
            <w:vAlign w:val="bottom"/>
            <w:gridSpan w:val="2"/>
          </w:tcPr>
          <w:p>
            <w:pPr>
              <w:ind w:left="1520"/>
              <w:spacing w:after="0"/>
              <w:rPr>
                <w:sz w:val="20"/>
                <w:szCs w:val="20"/>
                <w:color w:val="auto"/>
              </w:rPr>
            </w:pPr>
            <w:r>
              <w:rPr>
                <w:rFonts w:ascii="Arial" w:cs="Arial" w:eastAsia="Arial" w:hAnsi="Arial"/>
                <w:sz w:val="18"/>
                <w:szCs w:val="18"/>
                <w:color w:val="auto"/>
              </w:rPr>
              <w:t>INCYTE CORPORATION</w:t>
            </w:r>
          </w:p>
        </w:tc>
      </w:tr>
      <w:tr>
        <w:trPr>
          <w:trHeight w:val="432"/>
        </w:trPr>
        <w:tc>
          <w:tcPr>
            <w:tcW w:w="3020" w:type="dxa"/>
            <w:vAlign w:val="bottom"/>
          </w:tcPr>
          <w:p>
            <w:pPr>
              <w:spacing w:after="0"/>
              <w:rPr>
                <w:sz w:val="20"/>
                <w:szCs w:val="20"/>
                <w:color w:val="auto"/>
              </w:rPr>
            </w:pPr>
            <w:r>
              <w:rPr>
                <w:rFonts w:ascii="Arial" w:cs="Arial" w:eastAsia="Arial" w:hAnsi="Arial"/>
                <w:sz w:val="18"/>
                <w:szCs w:val="18"/>
                <w:color w:val="auto"/>
              </w:rPr>
              <w:t>Dated: July 31, 2018</w:t>
            </w:r>
          </w:p>
        </w:tc>
        <w:tc>
          <w:tcPr>
            <w:tcW w:w="1920" w:type="dxa"/>
            <w:vAlign w:val="bottom"/>
          </w:tcPr>
          <w:p>
            <w:pPr>
              <w:ind w:left="1520"/>
              <w:spacing w:after="0"/>
              <w:rPr>
                <w:sz w:val="20"/>
                <w:szCs w:val="20"/>
                <w:color w:val="auto"/>
              </w:rPr>
            </w:pPr>
            <w:r>
              <w:rPr>
                <w:rFonts w:ascii="Arial" w:cs="Arial" w:eastAsia="Arial" w:hAnsi="Arial"/>
                <w:sz w:val="18"/>
                <w:szCs w:val="18"/>
                <w:color w:val="auto"/>
              </w:rPr>
              <w:t>By:</w:t>
            </w:r>
          </w:p>
        </w:tc>
        <w:tc>
          <w:tcPr>
            <w:tcW w:w="4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HERVÉ HOPPENOT</w:t>
            </w:r>
          </w:p>
        </w:tc>
      </w:tr>
      <w:tr>
        <w:trPr>
          <w:trHeight w:val="195"/>
        </w:trPr>
        <w:tc>
          <w:tcPr>
            <w:tcW w:w="30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4120" w:type="dxa"/>
            <w:vAlign w:val="bottom"/>
          </w:tcPr>
          <w:p>
            <w:pPr>
              <w:spacing w:after="0" w:line="195" w:lineRule="exact"/>
              <w:rPr>
                <w:sz w:val="20"/>
                <w:szCs w:val="20"/>
                <w:color w:val="auto"/>
              </w:rPr>
            </w:pPr>
            <w:r>
              <w:rPr>
                <w:rFonts w:ascii="Arial" w:cs="Arial" w:eastAsia="Arial" w:hAnsi="Arial"/>
                <w:sz w:val="18"/>
                <w:szCs w:val="18"/>
                <w:color w:val="auto"/>
              </w:rPr>
              <w:t>Hervé Hoppenot</w:t>
            </w:r>
          </w:p>
        </w:tc>
      </w:tr>
      <w:tr>
        <w:trPr>
          <w:trHeight w:val="216"/>
        </w:trPr>
        <w:tc>
          <w:tcPr>
            <w:tcW w:w="30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Chairman, President, and Chief Executive Officer</w:t>
            </w:r>
          </w:p>
        </w:tc>
      </w:tr>
      <w:tr>
        <w:trPr>
          <w:trHeight w:val="230"/>
        </w:trPr>
        <w:tc>
          <w:tcPr>
            <w:tcW w:w="30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432"/>
        </w:trPr>
        <w:tc>
          <w:tcPr>
            <w:tcW w:w="3020" w:type="dxa"/>
            <w:vAlign w:val="bottom"/>
          </w:tcPr>
          <w:p>
            <w:pPr>
              <w:spacing w:after="0"/>
              <w:rPr>
                <w:sz w:val="20"/>
                <w:szCs w:val="20"/>
                <w:color w:val="auto"/>
              </w:rPr>
            </w:pPr>
            <w:r>
              <w:rPr>
                <w:rFonts w:ascii="Arial" w:cs="Arial" w:eastAsia="Arial" w:hAnsi="Arial"/>
                <w:sz w:val="18"/>
                <w:szCs w:val="18"/>
                <w:color w:val="auto"/>
              </w:rPr>
              <w:t>Dated: July 31, 2018</w:t>
            </w:r>
          </w:p>
        </w:tc>
        <w:tc>
          <w:tcPr>
            <w:tcW w:w="1920" w:type="dxa"/>
            <w:vAlign w:val="bottom"/>
          </w:tcPr>
          <w:p>
            <w:pPr>
              <w:ind w:left="1520"/>
              <w:spacing w:after="0"/>
              <w:rPr>
                <w:sz w:val="20"/>
                <w:szCs w:val="20"/>
                <w:color w:val="auto"/>
              </w:rPr>
            </w:pPr>
            <w:r>
              <w:rPr>
                <w:rFonts w:ascii="Arial" w:cs="Arial" w:eastAsia="Arial" w:hAnsi="Arial"/>
                <w:sz w:val="18"/>
                <w:szCs w:val="18"/>
                <w:color w:val="auto"/>
              </w:rPr>
              <w:t>By:</w:t>
            </w:r>
          </w:p>
        </w:tc>
        <w:tc>
          <w:tcPr>
            <w:tcW w:w="4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W. GRYSKA</w:t>
            </w:r>
          </w:p>
        </w:tc>
      </w:tr>
      <w:tr>
        <w:trPr>
          <w:trHeight w:val="211"/>
        </w:trPr>
        <w:tc>
          <w:tcPr>
            <w:tcW w:w="30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David W. Gryska</w:t>
            </w:r>
          </w:p>
        </w:tc>
      </w:tr>
    </w:tbl>
    <w:p>
      <w:pPr>
        <w:ind w:left="4940"/>
        <w:spacing w:after="0"/>
        <w:rPr>
          <w:sz w:val="20"/>
          <w:szCs w:val="20"/>
          <w:color w:val="auto"/>
        </w:rPr>
      </w:pPr>
      <w:r>
        <w:rPr>
          <w:rFonts w:ascii="Arial" w:cs="Arial" w:eastAsia="Arial" w:hAnsi="Arial"/>
          <w:sz w:val="18"/>
          <w:szCs w:val="18"/>
          <w:color w:val="auto"/>
        </w:rPr>
        <w:t>Chief Financial Officer</w:t>
      </w:r>
    </w:p>
    <w:p>
      <w:pPr>
        <w:spacing w:after="0" w:line="7"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8" w:name="page89"/>
    <w:bookmarkEnd w:id="88"/>
    <w:p>
      <w:pPr>
        <w:jc w:val="right"/>
        <w:ind w:right="139"/>
        <w:spacing w:after="0"/>
        <w:rPr>
          <w:sz w:val="20"/>
          <w:szCs w:val="20"/>
          <w:color w:val="auto"/>
        </w:rPr>
      </w:pPr>
      <w:r>
        <w:rPr>
          <w:rFonts w:ascii="Arial" w:cs="Arial" w:eastAsia="Arial" w:hAnsi="Arial"/>
          <w:sz w:val="22"/>
          <w:szCs w:val="22"/>
          <w:b w:val="1"/>
          <w:bCs w:val="1"/>
          <w:color w:val="auto"/>
        </w:rPr>
        <w:t>Exhibit 10.2</w:t>
      </w:r>
    </w:p>
    <w:p>
      <w:pPr>
        <w:spacing w:after="0" w:line="383"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INCYTE CORPORATION</w:t>
      </w:r>
    </w:p>
    <w:p>
      <w:pPr>
        <w:jc w:val="center"/>
        <w:ind w:right="-20"/>
        <w:spacing w:after="0"/>
        <w:rPr>
          <w:sz w:val="20"/>
          <w:szCs w:val="20"/>
          <w:color w:val="auto"/>
        </w:rPr>
      </w:pPr>
      <w:r>
        <w:rPr>
          <w:rFonts w:ascii="Arial" w:cs="Arial" w:eastAsia="Arial" w:hAnsi="Arial"/>
          <w:sz w:val="22"/>
          <w:szCs w:val="22"/>
          <w:b w:val="1"/>
          <w:bCs w:val="1"/>
          <w:color w:val="auto"/>
        </w:rPr>
        <w:t>AMENDED AND RESTATED 2010 STOCK INCENTIVE PLAN</w:t>
      </w:r>
    </w:p>
    <w:p>
      <w:pPr>
        <w:spacing w:after="0" w:line="155"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NOTICE OF PERFORMANCE SHARE AWARD</w:t>
      </w:r>
    </w:p>
    <w:p>
      <w:pPr>
        <w:spacing w:after="0" w:line="293" w:lineRule="exact"/>
        <w:rPr>
          <w:sz w:val="20"/>
          <w:szCs w:val="20"/>
          <w:color w:val="auto"/>
        </w:rPr>
      </w:pPr>
    </w:p>
    <w:p>
      <w:pPr>
        <w:jc w:val="both"/>
        <w:ind w:left="160" w:right="239" w:firstLine="648"/>
        <w:spacing w:after="0" w:line="268" w:lineRule="auto"/>
        <w:rPr>
          <w:sz w:val="20"/>
          <w:szCs w:val="20"/>
          <w:color w:val="auto"/>
        </w:rPr>
      </w:pPr>
      <w:r>
        <w:rPr>
          <w:rFonts w:ascii="Arial" w:cs="Arial" w:eastAsia="Arial" w:hAnsi="Arial"/>
          <w:sz w:val="19"/>
          <w:szCs w:val="19"/>
          <w:color w:val="auto"/>
        </w:rPr>
        <w:t>You have been granted the following award of Performance Shares, representing the right to receive on a future date shares of common stock of INCYTE CORPORATION (“Incyte”) under the Incyte Corporation Amended and Restated 2010 Stock Incentive Plan, as amended (the “Plan”):</w:t>
      </w:r>
    </w:p>
    <w:p>
      <w:pPr>
        <w:spacing w:after="0" w:line="254" w:lineRule="exact"/>
        <w:rPr>
          <w:sz w:val="20"/>
          <w:szCs w:val="20"/>
          <w:color w:val="auto"/>
        </w:rPr>
      </w:pPr>
    </w:p>
    <w:tbl>
      <w:tblPr>
        <w:tblLayout w:type="fixed"/>
        <w:tblInd w:w="160" w:type="dxa"/>
        <w:tblCellMar>
          <w:top w:w="0" w:type="dxa"/>
          <w:left w:w="0" w:type="dxa"/>
          <w:bottom w:w="0" w:type="dxa"/>
          <w:right w:w="0" w:type="dxa"/>
        </w:tblCellMar>
      </w:tblPr>
      <w:tr>
        <w:trPr>
          <w:trHeight w:val="275"/>
        </w:trPr>
        <w:tc>
          <w:tcPr>
            <w:tcW w:w="2060" w:type="dxa"/>
            <w:vAlign w:val="bottom"/>
          </w:tcPr>
          <w:p>
            <w:pPr>
              <w:spacing w:after="0"/>
              <w:rPr>
                <w:sz w:val="20"/>
                <w:szCs w:val="20"/>
                <w:color w:val="auto"/>
              </w:rPr>
            </w:pPr>
            <w:r>
              <w:rPr>
                <w:rFonts w:ascii="Arial" w:cs="Arial" w:eastAsia="Arial" w:hAnsi="Arial"/>
                <w:sz w:val="22"/>
                <w:szCs w:val="22"/>
                <w:i w:val="1"/>
                <w:iCs w:val="1"/>
                <w:color w:val="auto"/>
              </w:rPr>
              <w:t>Date of Grant:</w:t>
            </w:r>
          </w:p>
        </w:tc>
        <w:tc>
          <w:tcPr>
            <w:tcW w:w="6540" w:type="dxa"/>
            <w:vAlign w:val="bottom"/>
            <w:gridSpan w:val="7"/>
          </w:tcPr>
          <w:p>
            <w:pPr>
              <w:ind w:left="220"/>
              <w:spacing w:after="0"/>
              <w:rPr>
                <w:sz w:val="20"/>
                <w:szCs w:val="20"/>
                <w:color w:val="auto"/>
              </w:rPr>
            </w:pPr>
            <w:r>
              <w:rPr>
                <w:rFonts w:ascii="Arial" w:cs="Arial" w:eastAsia="Arial" w:hAnsi="Arial"/>
                <w:sz w:val="22"/>
                <w:szCs w:val="22"/>
                <w:color w:val="auto"/>
              </w:rPr>
              <w:t>[Date of Grant]</w:t>
            </w:r>
          </w:p>
        </w:tc>
      </w:tr>
      <w:tr>
        <w:trPr>
          <w:trHeight w:val="392"/>
        </w:trPr>
        <w:tc>
          <w:tcPr>
            <w:tcW w:w="2060" w:type="dxa"/>
            <w:vAlign w:val="bottom"/>
          </w:tcPr>
          <w:p>
            <w:pPr>
              <w:spacing w:after="0"/>
              <w:rPr>
                <w:sz w:val="20"/>
                <w:szCs w:val="20"/>
                <w:color w:val="auto"/>
              </w:rPr>
            </w:pPr>
            <w:r>
              <w:rPr>
                <w:rFonts w:ascii="Arial" w:cs="Arial" w:eastAsia="Arial" w:hAnsi="Arial"/>
                <w:sz w:val="22"/>
                <w:szCs w:val="22"/>
                <w:i w:val="1"/>
                <w:iCs w:val="1"/>
                <w:color w:val="auto"/>
              </w:rPr>
              <w:t>Name of Recipient:</w:t>
            </w:r>
          </w:p>
        </w:tc>
        <w:tc>
          <w:tcPr>
            <w:tcW w:w="6540" w:type="dxa"/>
            <w:vAlign w:val="bottom"/>
            <w:gridSpan w:val="7"/>
          </w:tcPr>
          <w:p>
            <w:pPr>
              <w:ind w:left="220"/>
              <w:spacing w:after="0"/>
              <w:rPr>
                <w:sz w:val="20"/>
                <w:szCs w:val="20"/>
                <w:color w:val="auto"/>
              </w:rPr>
            </w:pPr>
            <w:r>
              <w:rPr>
                <w:rFonts w:ascii="Arial" w:cs="Arial" w:eastAsia="Arial" w:hAnsi="Arial"/>
                <w:sz w:val="22"/>
                <w:szCs w:val="22"/>
                <w:color w:val="auto"/>
              </w:rPr>
              <w:t>[Name of Recipient]</w:t>
            </w:r>
          </w:p>
        </w:tc>
      </w:tr>
      <w:tr>
        <w:trPr>
          <w:trHeight w:val="333"/>
        </w:trPr>
        <w:tc>
          <w:tcPr>
            <w:tcW w:w="2060" w:type="dxa"/>
            <w:vAlign w:val="bottom"/>
          </w:tcPr>
          <w:p>
            <w:pPr>
              <w:spacing w:after="0"/>
              <w:rPr>
                <w:sz w:val="20"/>
                <w:szCs w:val="20"/>
                <w:color w:val="auto"/>
              </w:rPr>
            </w:pPr>
            <w:r>
              <w:rPr>
                <w:rFonts w:ascii="Arial" w:cs="Arial" w:eastAsia="Arial" w:hAnsi="Arial"/>
                <w:sz w:val="22"/>
                <w:szCs w:val="22"/>
                <w:i w:val="1"/>
                <w:iCs w:val="1"/>
                <w:color w:val="auto"/>
              </w:rPr>
              <w:t>Target Grant of</w:t>
            </w:r>
          </w:p>
        </w:tc>
        <w:tc>
          <w:tcPr>
            <w:tcW w:w="2040" w:type="dxa"/>
            <w:vAlign w:val="bottom"/>
            <w:gridSpan w:val="2"/>
          </w:tcPr>
          <w:p>
            <w:pPr>
              <w:ind w:left="220"/>
              <w:spacing w:after="0"/>
              <w:rPr>
                <w:sz w:val="20"/>
                <w:szCs w:val="20"/>
                <w:color w:val="auto"/>
              </w:rPr>
            </w:pPr>
            <w:r>
              <w:rPr>
                <w:rFonts w:ascii="Arial" w:cs="Arial" w:eastAsia="Arial" w:hAnsi="Arial"/>
                <w:sz w:val="22"/>
                <w:szCs w:val="22"/>
                <w:color w:val="auto"/>
              </w:rPr>
              <w:t>[___________]</w:t>
            </w:r>
          </w:p>
        </w:tc>
        <w:tc>
          <w:tcPr>
            <w:tcW w:w="2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75"/>
        </w:trPr>
        <w:tc>
          <w:tcPr>
            <w:tcW w:w="2060" w:type="dxa"/>
            <w:vAlign w:val="bottom"/>
          </w:tcPr>
          <w:p>
            <w:pPr>
              <w:spacing w:after="0"/>
              <w:rPr>
                <w:sz w:val="20"/>
                <w:szCs w:val="20"/>
                <w:color w:val="auto"/>
              </w:rPr>
            </w:pPr>
            <w:r>
              <w:rPr>
                <w:rFonts w:ascii="Arial" w:cs="Arial" w:eastAsia="Arial" w:hAnsi="Arial"/>
                <w:sz w:val="22"/>
                <w:szCs w:val="22"/>
                <w:i w:val="1"/>
                <w:iCs w:val="1"/>
                <w:color w:val="auto"/>
                <w:w w:val="98"/>
              </w:rPr>
              <w:t>Performance Shares:</w:t>
            </w:r>
          </w:p>
        </w:tc>
        <w:tc>
          <w:tcPr>
            <w:tcW w:w="12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3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324"/>
        </w:trPr>
        <w:tc>
          <w:tcPr>
            <w:tcW w:w="2060" w:type="dxa"/>
            <w:vAlign w:val="bottom"/>
          </w:tcPr>
          <w:p>
            <w:pPr>
              <w:spacing w:after="0"/>
              <w:rPr>
                <w:sz w:val="20"/>
                <w:szCs w:val="20"/>
                <w:color w:val="auto"/>
              </w:rPr>
            </w:pPr>
            <w:r>
              <w:rPr>
                <w:rFonts w:ascii="Arial" w:cs="Arial" w:eastAsia="Arial" w:hAnsi="Arial"/>
                <w:sz w:val="22"/>
                <w:szCs w:val="22"/>
                <w:i w:val="1"/>
                <w:iCs w:val="1"/>
                <w:color w:val="auto"/>
              </w:rPr>
              <w:t>Performance Period:</w:t>
            </w:r>
          </w:p>
        </w:tc>
        <w:tc>
          <w:tcPr>
            <w:tcW w:w="2040" w:type="dxa"/>
            <w:vAlign w:val="bottom"/>
            <w:gridSpan w:val="2"/>
          </w:tcPr>
          <w:p>
            <w:pPr>
              <w:ind w:left="220"/>
              <w:spacing w:after="0"/>
              <w:rPr>
                <w:sz w:val="20"/>
                <w:szCs w:val="20"/>
                <w:color w:val="auto"/>
              </w:rPr>
            </w:pPr>
            <w:r>
              <w:rPr>
                <w:rFonts w:ascii="Arial" w:cs="Arial" w:eastAsia="Arial" w:hAnsi="Arial"/>
                <w:sz w:val="22"/>
                <w:szCs w:val="22"/>
                <w:color w:val="auto"/>
              </w:rPr>
              <w:t>[___________]</w:t>
            </w:r>
          </w:p>
        </w:tc>
        <w:tc>
          <w:tcPr>
            <w:tcW w:w="2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33"/>
        </w:trPr>
        <w:tc>
          <w:tcPr>
            <w:tcW w:w="2060" w:type="dxa"/>
            <w:vAlign w:val="bottom"/>
          </w:tcPr>
          <w:p>
            <w:pPr>
              <w:spacing w:after="0"/>
              <w:rPr>
                <w:sz w:val="20"/>
                <w:szCs w:val="20"/>
                <w:color w:val="auto"/>
              </w:rPr>
            </w:pPr>
            <w:r>
              <w:rPr>
                <w:rFonts w:ascii="Arial" w:cs="Arial" w:eastAsia="Arial" w:hAnsi="Arial"/>
                <w:sz w:val="22"/>
                <w:szCs w:val="22"/>
                <w:i w:val="1"/>
                <w:iCs w:val="1"/>
                <w:color w:val="auto"/>
              </w:rPr>
              <w:t>Performance Goals:</w:t>
            </w:r>
          </w:p>
        </w:tc>
        <w:tc>
          <w:tcPr>
            <w:tcW w:w="6540" w:type="dxa"/>
            <w:vAlign w:val="bottom"/>
            <w:gridSpan w:val="7"/>
          </w:tcPr>
          <w:p>
            <w:pPr>
              <w:ind w:left="220"/>
              <w:spacing w:after="0"/>
              <w:rPr>
                <w:sz w:val="20"/>
                <w:szCs w:val="20"/>
                <w:color w:val="auto"/>
              </w:rPr>
            </w:pPr>
            <w:r>
              <w:rPr>
                <w:rFonts w:ascii="Arial" w:cs="Arial" w:eastAsia="Arial" w:hAnsi="Arial"/>
                <w:sz w:val="22"/>
                <w:szCs w:val="22"/>
                <w:color w:val="auto"/>
                <w:w w:val="89"/>
              </w:rPr>
              <w:t>Your Performance Shares may be converted into actual shares of Incyte</w:t>
            </w:r>
          </w:p>
        </w:tc>
      </w:tr>
      <w:tr>
        <w:trPr>
          <w:trHeight w:val="216"/>
        </w:trPr>
        <w:tc>
          <w:tcPr>
            <w:tcW w:w="2060" w:type="dxa"/>
            <w:vAlign w:val="bottom"/>
          </w:tcPr>
          <w:p>
            <w:pPr>
              <w:spacing w:after="0"/>
              <w:rPr>
                <w:sz w:val="18"/>
                <w:szCs w:val="18"/>
                <w:color w:val="auto"/>
              </w:rPr>
            </w:pPr>
          </w:p>
        </w:tc>
        <w:tc>
          <w:tcPr>
            <w:tcW w:w="6540" w:type="dxa"/>
            <w:vAlign w:val="bottom"/>
            <w:gridSpan w:val="7"/>
          </w:tcPr>
          <w:p>
            <w:pPr>
              <w:ind w:left="220"/>
              <w:spacing w:after="0" w:line="217" w:lineRule="exact"/>
              <w:rPr>
                <w:sz w:val="20"/>
                <w:szCs w:val="20"/>
                <w:color w:val="auto"/>
              </w:rPr>
            </w:pPr>
            <w:r>
              <w:rPr>
                <w:rFonts w:ascii="Arial" w:cs="Arial" w:eastAsia="Arial" w:hAnsi="Arial"/>
                <w:sz w:val="22"/>
                <w:szCs w:val="22"/>
                <w:color w:val="auto"/>
                <w:w w:val="87"/>
              </w:rPr>
              <w:t>common stock as soon as practicable after each vesting date described in</w:t>
            </w:r>
          </w:p>
        </w:tc>
      </w:tr>
      <w:tr>
        <w:trPr>
          <w:trHeight w:val="216"/>
        </w:trPr>
        <w:tc>
          <w:tcPr>
            <w:tcW w:w="2060" w:type="dxa"/>
            <w:vAlign w:val="bottom"/>
          </w:tcPr>
          <w:p>
            <w:pPr>
              <w:spacing w:after="0"/>
              <w:rPr>
                <w:sz w:val="18"/>
                <w:szCs w:val="18"/>
                <w:color w:val="auto"/>
              </w:rPr>
            </w:pPr>
          </w:p>
        </w:tc>
        <w:tc>
          <w:tcPr>
            <w:tcW w:w="6540" w:type="dxa"/>
            <w:vAlign w:val="bottom"/>
            <w:gridSpan w:val="7"/>
          </w:tcPr>
          <w:p>
            <w:pPr>
              <w:ind w:left="220"/>
              <w:spacing w:after="0" w:line="217" w:lineRule="exact"/>
              <w:rPr>
                <w:sz w:val="20"/>
                <w:szCs w:val="20"/>
                <w:color w:val="auto"/>
              </w:rPr>
            </w:pPr>
            <w:r>
              <w:rPr>
                <w:rFonts w:ascii="Arial" w:cs="Arial" w:eastAsia="Arial" w:hAnsi="Arial"/>
                <w:sz w:val="22"/>
                <w:szCs w:val="22"/>
                <w:color w:val="auto"/>
                <w:w w:val="91"/>
              </w:rPr>
              <w:t>the Vesting Schedule below, depending on the level of Incyte’s or your</w:t>
            </w:r>
          </w:p>
        </w:tc>
      </w:tr>
      <w:tr>
        <w:trPr>
          <w:trHeight w:val="224"/>
        </w:trPr>
        <w:tc>
          <w:tcPr>
            <w:tcW w:w="2060" w:type="dxa"/>
            <w:vAlign w:val="bottom"/>
          </w:tcPr>
          <w:p>
            <w:pPr>
              <w:spacing w:after="0"/>
              <w:rPr>
                <w:sz w:val="19"/>
                <w:szCs w:val="19"/>
                <w:color w:val="auto"/>
              </w:rPr>
            </w:pPr>
          </w:p>
        </w:tc>
        <w:tc>
          <w:tcPr>
            <w:tcW w:w="6540" w:type="dxa"/>
            <w:vAlign w:val="bottom"/>
            <w:gridSpan w:val="7"/>
          </w:tcPr>
          <w:p>
            <w:pPr>
              <w:ind w:left="220"/>
              <w:spacing w:after="0" w:line="224" w:lineRule="exact"/>
              <w:rPr>
                <w:sz w:val="20"/>
                <w:szCs w:val="20"/>
                <w:color w:val="auto"/>
              </w:rPr>
            </w:pPr>
            <w:r>
              <w:rPr>
                <w:rFonts w:ascii="Arial" w:cs="Arial" w:eastAsia="Arial" w:hAnsi="Arial"/>
                <w:sz w:val="22"/>
                <w:szCs w:val="22"/>
                <w:color w:val="auto"/>
                <w:w w:val="88"/>
              </w:rPr>
              <w:t>achievement of the performance goal(s) described in Exhibit 1 during the</w:t>
            </w:r>
          </w:p>
        </w:tc>
      </w:tr>
      <w:tr>
        <w:trPr>
          <w:trHeight w:val="20"/>
        </w:trPr>
        <w:tc>
          <w:tcPr>
            <w:tcW w:w="20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88"/>
        </w:trPr>
        <w:tc>
          <w:tcPr>
            <w:tcW w:w="2060" w:type="dxa"/>
            <w:vAlign w:val="bottom"/>
          </w:tcPr>
          <w:p>
            <w:pPr>
              <w:spacing w:after="0"/>
              <w:rPr>
                <w:sz w:val="16"/>
                <w:szCs w:val="16"/>
                <w:color w:val="auto"/>
              </w:rPr>
            </w:pPr>
          </w:p>
        </w:tc>
        <w:tc>
          <w:tcPr>
            <w:tcW w:w="6540" w:type="dxa"/>
            <w:vAlign w:val="bottom"/>
            <w:gridSpan w:val="7"/>
          </w:tcPr>
          <w:p>
            <w:pPr>
              <w:ind w:left="220"/>
              <w:spacing w:after="0" w:line="188" w:lineRule="exact"/>
              <w:rPr>
                <w:sz w:val="20"/>
                <w:szCs w:val="20"/>
                <w:color w:val="auto"/>
              </w:rPr>
            </w:pPr>
            <w:r>
              <w:rPr>
                <w:rFonts w:ascii="Arial" w:cs="Arial" w:eastAsia="Arial" w:hAnsi="Arial"/>
                <w:sz w:val="21"/>
                <w:szCs w:val="21"/>
                <w:color w:val="auto"/>
                <w:w w:val="92"/>
              </w:rPr>
              <w:t>Performance Period and your continued service through the vesting date.</w:t>
            </w:r>
          </w:p>
        </w:tc>
      </w:tr>
      <w:tr>
        <w:trPr>
          <w:trHeight w:val="216"/>
        </w:trPr>
        <w:tc>
          <w:tcPr>
            <w:tcW w:w="2060" w:type="dxa"/>
            <w:vAlign w:val="bottom"/>
          </w:tcPr>
          <w:p>
            <w:pPr>
              <w:spacing w:after="0"/>
              <w:rPr>
                <w:sz w:val="18"/>
                <w:szCs w:val="18"/>
                <w:color w:val="auto"/>
              </w:rPr>
            </w:pPr>
          </w:p>
        </w:tc>
        <w:tc>
          <w:tcPr>
            <w:tcW w:w="6540" w:type="dxa"/>
            <w:vAlign w:val="bottom"/>
            <w:gridSpan w:val="7"/>
          </w:tcPr>
          <w:p>
            <w:pPr>
              <w:ind w:left="220"/>
              <w:spacing w:after="0" w:line="217" w:lineRule="exact"/>
              <w:rPr>
                <w:sz w:val="20"/>
                <w:szCs w:val="20"/>
                <w:color w:val="auto"/>
              </w:rPr>
            </w:pPr>
            <w:r>
              <w:rPr>
                <w:rFonts w:ascii="Arial" w:cs="Arial" w:eastAsia="Arial" w:hAnsi="Arial"/>
                <w:sz w:val="22"/>
                <w:szCs w:val="22"/>
                <w:color w:val="auto"/>
              </w:rPr>
              <w:t>No actual shares will be issued unless Incyte or you achieve the</w:t>
            </w:r>
          </w:p>
        </w:tc>
      </w:tr>
      <w:tr>
        <w:trPr>
          <w:trHeight w:val="224"/>
        </w:trPr>
        <w:tc>
          <w:tcPr>
            <w:tcW w:w="2060" w:type="dxa"/>
            <w:vAlign w:val="bottom"/>
          </w:tcPr>
          <w:p>
            <w:pPr>
              <w:spacing w:after="0"/>
              <w:rPr>
                <w:sz w:val="19"/>
                <w:szCs w:val="19"/>
                <w:color w:val="auto"/>
              </w:rPr>
            </w:pPr>
          </w:p>
        </w:tc>
        <w:tc>
          <w:tcPr>
            <w:tcW w:w="6540" w:type="dxa"/>
            <w:vAlign w:val="bottom"/>
            <w:gridSpan w:val="7"/>
          </w:tcPr>
          <w:p>
            <w:pPr>
              <w:ind w:left="220"/>
              <w:spacing w:after="0" w:line="224" w:lineRule="exact"/>
              <w:rPr>
                <w:sz w:val="20"/>
                <w:szCs w:val="20"/>
                <w:color w:val="auto"/>
              </w:rPr>
            </w:pPr>
            <w:r>
              <w:rPr>
                <w:rFonts w:ascii="Arial" w:cs="Arial" w:eastAsia="Arial" w:hAnsi="Arial"/>
                <w:sz w:val="22"/>
                <w:szCs w:val="22"/>
                <w:color w:val="auto"/>
              </w:rPr>
              <w:t>performance goal(s) at the level(s) described in Exhibit 1.</w:t>
            </w:r>
          </w:p>
        </w:tc>
      </w:tr>
      <w:tr>
        <w:trPr>
          <w:trHeight w:val="304"/>
        </w:trPr>
        <w:tc>
          <w:tcPr>
            <w:tcW w:w="2060" w:type="dxa"/>
            <w:vAlign w:val="bottom"/>
          </w:tcPr>
          <w:p>
            <w:pPr>
              <w:spacing w:after="0"/>
              <w:rPr>
                <w:sz w:val="20"/>
                <w:szCs w:val="20"/>
                <w:color w:val="auto"/>
              </w:rPr>
            </w:pPr>
            <w:r>
              <w:rPr>
                <w:rFonts w:ascii="Arial" w:cs="Arial" w:eastAsia="Arial" w:hAnsi="Arial"/>
                <w:sz w:val="22"/>
                <w:szCs w:val="22"/>
                <w:i w:val="1"/>
                <w:iCs w:val="1"/>
                <w:color w:val="auto"/>
              </w:rPr>
              <w:t>Vesting Schedule:</w:t>
            </w:r>
          </w:p>
        </w:tc>
        <w:tc>
          <w:tcPr>
            <w:tcW w:w="4340" w:type="dxa"/>
            <w:vAlign w:val="bottom"/>
            <w:gridSpan w:val="3"/>
          </w:tcPr>
          <w:p>
            <w:pPr>
              <w:ind w:left="220"/>
              <w:spacing w:after="0"/>
              <w:rPr>
                <w:sz w:val="20"/>
                <w:szCs w:val="20"/>
                <w:color w:val="auto"/>
              </w:rPr>
            </w:pPr>
            <w:r>
              <w:rPr>
                <w:rFonts w:ascii="Arial" w:cs="Arial" w:eastAsia="Arial" w:hAnsi="Arial"/>
                <w:sz w:val="22"/>
                <w:szCs w:val="22"/>
                <w:color w:val="auto"/>
              </w:rPr>
              <w:t>Set forth in Exhibit 1.</w:t>
            </w:r>
          </w:p>
        </w:tc>
        <w:tc>
          <w:tcPr>
            <w:tcW w:w="800" w:type="dxa"/>
            <w:vAlign w:val="bottom"/>
            <w:tcBorders>
              <w:top w:val="single" w:sz="8" w:color="auto"/>
            </w:tcBorders>
            <w:gridSpan w:val="2"/>
          </w:tcPr>
          <w:p>
            <w:pPr>
              <w:spacing w:after="0"/>
              <w:rPr>
                <w:sz w:val="24"/>
                <w:szCs w:val="24"/>
                <w:color w:val="auto"/>
              </w:rPr>
            </w:pPr>
          </w:p>
        </w:tc>
        <w:tc>
          <w:tcPr>
            <w:tcW w:w="1400" w:type="dxa"/>
            <w:vAlign w:val="bottom"/>
            <w:gridSpan w:val="2"/>
          </w:tcPr>
          <w:p>
            <w:pPr>
              <w:spacing w:after="0"/>
              <w:rPr>
                <w:sz w:val="24"/>
                <w:szCs w:val="24"/>
                <w:color w:val="auto"/>
              </w:rPr>
            </w:pPr>
          </w:p>
        </w:tc>
      </w:tr>
      <w:tr>
        <w:trPr>
          <w:trHeight w:val="20"/>
        </w:trPr>
        <w:tc>
          <w:tcPr>
            <w:tcW w:w="20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bl>
    <w:p>
      <w:pPr>
        <w:spacing w:after="0" w:line="378" w:lineRule="exact"/>
        <w:rPr>
          <w:sz w:val="20"/>
          <w:szCs w:val="20"/>
          <w:color w:val="auto"/>
        </w:rPr>
      </w:pPr>
    </w:p>
    <w:p>
      <w:pPr>
        <w:ind w:left="160" w:right="419"/>
        <w:spacing w:after="0" w:line="227" w:lineRule="auto"/>
        <w:rPr>
          <w:sz w:val="20"/>
          <w:szCs w:val="20"/>
          <w:color w:val="auto"/>
        </w:rPr>
      </w:pPr>
      <w:r>
        <w:rPr>
          <w:rFonts w:ascii="Arial" w:cs="Arial" w:eastAsia="Arial" w:hAnsi="Arial"/>
          <w:sz w:val="22"/>
          <w:szCs w:val="22"/>
          <w:b w:val="1"/>
          <w:bCs w:val="1"/>
          <w:color w:val="auto"/>
        </w:rPr>
        <w:t>You and Incyte agree that this award of Performance Shares is granted under and governed by the terms and conditions of the Plan and the Performance Share Award Agreement (the “Agreement”), including Exhibit 1 thereto, that can be reviewed by clicking on the link provided above. By accepting this Notice, you are agreeing to all of those terms and conditions.</w:t>
      </w:r>
    </w:p>
    <w:p>
      <w:pPr>
        <w:spacing w:after="0" w:line="168" w:lineRule="exact"/>
        <w:rPr>
          <w:sz w:val="20"/>
          <w:szCs w:val="20"/>
          <w:color w:val="auto"/>
        </w:rPr>
      </w:pPr>
    </w:p>
    <w:p>
      <w:pPr>
        <w:ind w:left="160" w:right="259"/>
        <w:spacing w:after="0" w:line="274" w:lineRule="auto"/>
        <w:rPr>
          <w:sz w:val="20"/>
          <w:szCs w:val="20"/>
          <w:color w:val="auto"/>
        </w:rPr>
      </w:pPr>
      <w:r>
        <w:rPr>
          <w:rFonts w:ascii="Arial" w:cs="Arial" w:eastAsia="Arial" w:hAnsi="Arial"/>
          <w:sz w:val="19"/>
          <w:szCs w:val="19"/>
          <w:b w:val="1"/>
          <w:bCs w:val="1"/>
          <w:color w:val="auto"/>
        </w:rPr>
        <w:t>You and Incyte agree that Incyte has the right to amend this Agreement at any time without your consent if Incyte determines that such amendment is necessary to comply with the terms of the Plan, including an amendment to provide for settlement in cash if settlement in shares would be precluded by the share limitations of Section 5 of the Plan.</w:t>
      </w:r>
    </w:p>
    <w:p>
      <w:pPr>
        <w:spacing w:after="0" w:line="137" w:lineRule="exact"/>
        <w:rPr>
          <w:sz w:val="20"/>
          <w:szCs w:val="20"/>
          <w:color w:val="auto"/>
        </w:rPr>
      </w:pPr>
    </w:p>
    <w:p>
      <w:pPr>
        <w:ind w:left="160" w:right="359"/>
        <w:spacing w:after="0" w:line="274" w:lineRule="auto"/>
        <w:rPr>
          <w:sz w:val="20"/>
          <w:szCs w:val="20"/>
          <w:color w:val="auto"/>
        </w:rPr>
      </w:pPr>
      <w:r>
        <w:rPr>
          <w:rFonts w:ascii="Arial" w:cs="Arial" w:eastAsia="Arial" w:hAnsi="Arial"/>
          <w:sz w:val="19"/>
          <w:szCs w:val="19"/>
          <w:b w:val="1"/>
          <w:bCs w:val="1"/>
          <w:color w:val="auto"/>
        </w:rPr>
        <w:t>By accepting this Notice, you further agree that Incyte may deliver by e-mail all documents related to the Plan or this award. You also agree that Incyte may deliver these documents by posting them on a website maintained by Incyte or by a third party under contract with Incyte. If Incyte posts these documents on a website, it will notify you by 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370205</wp:posOffset>
            </wp:positionV>
            <wp:extent cx="5548630"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8">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89" w:name="page90"/>
    <w:bookmarkEnd w:id="89"/>
    <w:p>
      <w:pPr>
        <w:jc w:val="center"/>
        <w:ind w:right="-20"/>
        <w:spacing w:after="0"/>
        <w:rPr>
          <w:sz w:val="20"/>
          <w:szCs w:val="20"/>
          <w:color w:val="auto"/>
        </w:rPr>
      </w:pPr>
      <w:r>
        <w:rPr>
          <w:rFonts w:ascii="Arial" w:cs="Arial" w:eastAsia="Arial" w:hAnsi="Arial"/>
          <w:sz w:val="22"/>
          <w:szCs w:val="22"/>
          <w:b w:val="1"/>
          <w:bCs w:val="1"/>
          <w:color w:val="auto"/>
        </w:rPr>
        <w:t>INCYTE CORPORATION</w:t>
      </w:r>
    </w:p>
    <w:p>
      <w:pPr>
        <w:jc w:val="center"/>
        <w:ind w:right="-20"/>
        <w:spacing w:after="0" w:line="214" w:lineRule="auto"/>
        <w:rPr>
          <w:sz w:val="20"/>
          <w:szCs w:val="20"/>
          <w:color w:val="auto"/>
        </w:rPr>
      </w:pPr>
      <w:r>
        <w:rPr>
          <w:rFonts w:ascii="Arial" w:cs="Arial" w:eastAsia="Arial" w:hAnsi="Arial"/>
          <w:sz w:val="21"/>
          <w:szCs w:val="21"/>
          <w:b w:val="1"/>
          <w:bCs w:val="1"/>
          <w:color w:val="auto"/>
        </w:rPr>
        <w:t>AMENDED AND RESTATED 2010 STOCK INCENTIVE PLAN</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PERFORMANCE SHARE AWARD AGREEMENT</w:t>
      </w:r>
    </w:p>
    <w:p>
      <w:pPr>
        <w:sectPr>
          <w:pgSz w:w="11900" w:h="16838" w:orient="portrait"/>
          <w:cols w:equalWidth="0" w:num="1">
            <w:col w:w="9019"/>
          </w:cols>
          <w:pgMar w:left="1440" w:top="423" w:right="1440" w:bottom="1440" w:gutter="0" w:footer="0" w:header="0"/>
        </w:sectPr>
      </w:pPr>
    </w:p>
    <w:p>
      <w:pPr>
        <w:spacing w:after="0" w:line="169" w:lineRule="exact"/>
        <w:rPr>
          <w:sz w:val="20"/>
          <w:szCs w:val="20"/>
          <w:color w:val="auto"/>
        </w:rPr>
      </w:pPr>
    </w:p>
    <w:p>
      <w:pPr>
        <w:ind w:left="260"/>
        <w:spacing w:after="0"/>
        <w:rPr>
          <w:sz w:val="20"/>
          <w:szCs w:val="20"/>
          <w:color w:val="auto"/>
        </w:rPr>
      </w:pPr>
      <w:r>
        <w:rPr>
          <w:rFonts w:ascii="Arial" w:cs="Arial" w:eastAsia="Arial" w:hAnsi="Arial"/>
          <w:sz w:val="19"/>
          <w:szCs w:val="19"/>
          <w:b w:val="1"/>
          <w:bCs w:val="1"/>
          <w:color w:val="auto"/>
        </w:rPr>
        <w:t>Payment</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ind w:right="459"/>
        <w:spacing w:after="0" w:line="249" w:lineRule="auto"/>
        <w:rPr>
          <w:sz w:val="20"/>
          <w:szCs w:val="20"/>
          <w:color w:val="auto"/>
        </w:rPr>
      </w:pPr>
      <w:r>
        <w:rPr>
          <w:rFonts w:ascii="Arial" w:cs="Arial" w:eastAsia="Arial" w:hAnsi="Arial"/>
          <w:sz w:val="19"/>
          <w:szCs w:val="19"/>
          <w:color w:val="auto"/>
        </w:rPr>
        <w:t>No cash payment is required upon receipt of this award, or for the issuance of shares of Incyte common stock on settlement of the Performance Shares. Incyte will, however, withhold shares of Incyte common stock on settlement of the Performance Shares for the payment of any withholding taxes due as a result of the settlement of the Performance Shares.</w:t>
      </w:r>
    </w:p>
    <w:p>
      <w:pPr>
        <w:spacing w:after="0" w:line="147" w:lineRule="exact"/>
        <w:rPr>
          <w:sz w:val="20"/>
          <w:szCs w:val="20"/>
          <w:color w:val="auto"/>
        </w:rPr>
      </w:pPr>
    </w:p>
    <w:p>
      <w:pPr>
        <w:sectPr>
          <w:pgSz w:w="11900" w:h="16838" w:orient="portrait"/>
          <w:cols w:equalWidth="0" w:num="2">
            <w:col w:w="2120" w:space="720"/>
            <w:col w:w="6179"/>
          </w:cols>
          <w:pgMar w:left="1440" w:top="423" w:right="1440" w:bottom="1440" w:gutter="0" w:footer="0" w:header="0"/>
          <w:type w:val="continuous"/>
        </w:sectPr>
      </w:pPr>
    </w:p>
    <w:p>
      <w:pPr>
        <w:ind w:left="2840" w:right="299" w:hanging="2579"/>
        <w:spacing w:after="0" w:line="242" w:lineRule="auto"/>
        <w:tabs>
          <w:tab w:leader="none" w:pos="2820" w:val="left"/>
        </w:tabs>
        <w:rPr>
          <w:sz w:val="20"/>
          <w:szCs w:val="20"/>
          <w:color w:val="auto"/>
        </w:rPr>
      </w:pPr>
      <w:r>
        <w:rPr>
          <w:rFonts w:ascii="Arial" w:cs="Arial" w:eastAsia="Arial" w:hAnsi="Arial"/>
          <w:sz w:val="22"/>
          <w:szCs w:val="22"/>
          <w:b w:val="1"/>
          <w:bCs w:val="1"/>
          <w:color w:val="auto"/>
        </w:rPr>
        <w:t>Performance Shares</w:t>
      </w:r>
      <w:r>
        <w:rPr>
          <w:sz w:val="20"/>
          <w:szCs w:val="20"/>
          <w:color w:val="auto"/>
        </w:rPr>
        <w:tab/>
      </w:r>
      <w:r>
        <w:rPr>
          <w:rFonts w:ascii="Arial" w:cs="Arial" w:eastAsia="Arial" w:hAnsi="Arial"/>
          <w:sz w:val="19"/>
          <w:szCs w:val="19"/>
          <w:color w:val="auto"/>
        </w:rPr>
        <w:t xml:space="preserve">Your target grant of Performance Shares is shown in the Notice of Performance Share Award (the “award notice”). This is the number of actual shares of Incyte common stock that may be issued to you after the end of the Performance Period if Incyte or you achieve the “target” level of performance with respect to each performance goal for the Performance Period, as set forth in </w:t>
      </w:r>
      <w:r>
        <w:rPr>
          <w:rFonts w:ascii="Arial" w:cs="Arial" w:eastAsia="Arial" w:hAnsi="Arial"/>
          <w:sz w:val="19"/>
          <w:szCs w:val="19"/>
          <w:u w:val="single" w:color="auto"/>
          <w:color w:val="auto"/>
        </w:rPr>
        <w:t>Exhibit 1</w:t>
      </w:r>
      <w:r>
        <w:rPr>
          <w:rFonts w:ascii="Arial" w:cs="Arial" w:eastAsia="Arial" w:hAnsi="Arial"/>
          <w:sz w:val="19"/>
          <w:szCs w:val="19"/>
          <w:color w:val="auto"/>
        </w:rPr>
        <w:t xml:space="preserve">. Depending on Incyte’s or your performance, you may receive a number of actual shares that is greater or less than your target grant. If Incyte or you do not achieve at least the “threshold” level of performance with respect to at least one of the performance goals set for the Performance Period, as set forth in </w:t>
      </w:r>
      <w:r>
        <w:rPr>
          <w:rFonts w:ascii="Arial" w:cs="Arial" w:eastAsia="Arial" w:hAnsi="Arial"/>
          <w:sz w:val="19"/>
          <w:szCs w:val="19"/>
          <w:u w:val="single" w:color="auto"/>
          <w:color w:val="auto"/>
        </w:rPr>
        <w:t>Exhibit 1</w:t>
      </w:r>
      <w:r>
        <w:rPr>
          <w:rFonts w:ascii="Arial" w:cs="Arial" w:eastAsia="Arial" w:hAnsi="Arial"/>
          <w:sz w:val="19"/>
          <w:szCs w:val="19"/>
          <w:color w:val="auto"/>
        </w:rPr>
        <w:t>, you will receive no actual shares of Incyte common stock under this award.</w:t>
      </w:r>
    </w:p>
    <w:p>
      <w:pPr>
        <w:spacing w:after="0" w:line="165" w:lineRule="exact"/>
        <w:rPr>
          <w:sz w:val="20"/>
          <w:szCs w:val="20"/>
          <w:color w:val="auto"/>
        </w:rPr>
      </w:pPr>
    </w:p>
    <w:p>
      <w:pPr>
        <w:ind w:left="2840" w:right="739" w:hanging="2579"/>
        <w:spacing w:after="0" w:line="232" w:lineRule="auto"/>
        <w:tabs>
          <w:tab w:leader="none" w:pos="2820" w:val="left"/>
        </w:tabs>
        <w:rPr>
          <w:sz w:val="20"/>
          <w:szCs w:val="20"/>
          <w:color w:val="auto"/>
        </w:rPr>
      </w:pPr>
      <w:r>
        <w:rPr>
          <w:rFonts w:ascii="Arial" w:cs="Arial" w:eastAsia="Arial" w:hAnsi="Arial"/>
          <w:sz w:val="22"/>
          <w:szCs w:val="22"/>
          <w:b w:val="1"/>
          <w:bCs w:val="1"/>
          <w:color w:val="auto"/>
        </w:rPr>
        <w:t>Performance Period</w:t>
      </w:r>
      <w:r>
        <w:rPr>
          <w:sz w:val="20"/>
          <w:szCs w:val="20"/>
          <w:color w:val="auto"/>
        </w:rPr>
        <w:tab/>
      </w:r>
      <w:r>
        <w:rPr>
          <w:rFonts w:ascii="Arial" w:cs="Arial" w:eastAsia="Arial" w:hAnsi="Arial"/>
          <w:sz w:val="22"/>
          <w:szCs w:val="22"/>
          <w:color w:val="auto"/>
        </w:rPr>
        <w:t>The Performance Period covered by this award is shown in the award notice.</w:t>
      </w:r>
    </w:p>
    <w:p>
      <w:pPr>
        <w:spacing w:after="0" w:line="165" w:lineRule="exact"/>
        <w:rPr>
          <w:sz w:val="20"/>
          <w:szCs w:val="20"/>
          <w:color w:val="auto"/>
        </w:rPr>
      </w:pPr>
    </w:p>
    <w:p>
      <w:pPr>
        <w:ind w:left="2840" w:right="319"/>
        <w:spacing w:after="0" w:line="257" w:lineRule="auto"/>
        <w:rPr>
          <w:sz w:val="20"/>
          <w:szCs w:val="20"/>
          <w:color w:val="auto"/>
        </w:rPr>
      </w:pPr>
      <w:r>
        <w:rPr>
          <w:rFonts w:ascii="Arial" w:cs="Arial" w:eastAsia="Arial" w:hAnsi="Arial"/>
          <w:sz w:val="19"/>
          <w:szCs w:val="19"/>
          <w:color w:val="auto"/>
        </w:rPr>
        <w:t>You must remain in service with Incyte (or any subsidiary) as an employee, director, consultant or advisor for the entire Performance Period in order to remain entitled to receive any actual shares of Incyte common stock in settlement of the Performance Shares.</w:t>
      </w:r>
    </w:p>
    <w:p>
      <w:pPr>
        <w:spacing w:after="0" w:line="139" w:lineRule="exact"/>
        <w:rPr>
          <w:sz w:val="20"/>
          <w:szCs w:val="20"/>
          <w:color w:val="auto"/>
        </w:rPr>
      </w:pPr>
    </w:p>
    <w:p>
      <w:pPr>
        <w:ind w:left="260"/>
        <w:spacing w:after="0"/>
        <w:tabs>
          <w:tab w:leader="none" w:pos="2820" w:val="left"/>
        </w:tabs>
        <w:rPr>
          <w:sz w:val="20"/>
          <w:szCs w:val="20"/>
          <w:color w:val="auto"/>
        </w:rPr>
      </w:pPr>
      <w:r>
        <w:rPr>
          <w:rFonts w:ascii="Arial" w:cs="Arial" w:eastAsia="Arial" w:hAnsi="Arial"/>
          <w:sz w:val="21"/>
          <w:szCs w:val="21"/>
          <w:b w:val="1"/>
          <w:bCs w:val="1"/>
          <w:color w:val="auto"/>
        </w:rPr>
        <w:t>Vesting</w:t>
      </w:r>
      <w:r>
        <w:rPr>
          <w:sz w:val="20"/>
          <w:szCs w:val="20"/>
          <w:color w:val="auto"/>
        </w:rPr>
        <w:tab/>
      </w:r>
      <w:r>
        <w:rPr>
          <w:rFonts w:ascii="Arial" w:cs="Arial" w:eastAsia="Arial" w:hAnsi="Arial"/>
          <w:sz w:val="21"/>
          <w:szCs w:val="21"/>
          <w:color w:val="auto"/>
        </w:rPr>
        <w:t>The Performance Shares vest as shown in the award notice.</w:t>
      </w:r>
    </w:p>
    <w:p>
      <w:pPr>
        <w:spacing w:after="0" w:line="197" w:lineRule="exact"/>
        <w:rPr>
          <w:sz w:val="20"/>
          <w:szCs w:val="20"/>
          <w:color w:val="auto"/>
        </w:rPr>
      </w:pPr>
    </w:p>
    <w:p>
      <w:pPr>
        <w:ind w:left="2840" w:right="299"/>
        <w:spacing w:after="0" w:line="218" w:lineRule="auto"/>
        <w:rPr>
          <w:sz w:val="20"/>
          <w:szCs w:val="20"/>
          <w:color w:val="auto"/>
        </w:rPr>
      </w:pPr>
      <w:r>
        <w:rPr>
          <w:rFonts w:ascii="Arial" w:cs="Arial" w:eastAsia="Arial" w:hAnsi="Arial"/>
          <w:sz w:val="22"/>
          <w:szCs w:val="22"/>
          <w:color w:val="auto"/>
        </w:rPr>
        <w:t>No additional Performance Shares will vest after your service as an employee, director, consultant or advisor of Incyte (or any subsidiary) has terminated for any reason, except as provided below under “Change in Control.”</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187325</wp:posOffset>
            </wp:positionV>
            <wp:extent cx="554863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9">
                      <a:extLst>
                        <a:ext uri="{28A0092B-C50C-407E-A947-70E740481C1C}"/>
                      </a:extLst>
                    </a:blip>
                    <a:srcRect/>
                    <a:stretch>
                      <a:fillRect/>
                    </a:stretch>
                  </pic:blipFill>
                  <pic:spPr bwMode="auto">
                    <a:xfrm>
                      <a:off x="0" y="0"/>
                      <a:ext cx="5548630" cy="17145"/>
                    </a:xfrm>
                    <a:prstGeom prst="rect">
                      <a:avLst/>
                    </a:prstGeom>
                    <a:noFill/>
                  </pic:spPr>
                </pic:pic>
              </a:graphicData>
            </a:graphic>
          </wp:anchor>
        </w:drawing>
      </w:r>
    </w:p>
    <w:p>
      <w:pPr>
        <w:sectPr>
          <w:pgSz w:w="11900" w:h="16838" w:orient="portrait"/>
          <w:cols w:equalWidth="0" w:num="1">
            <w:col w:w="9019"/>
          </w:cols>
          <w:pgMar w:left="1440" w:top="423" w:right="1440" w:bottom="1440" w:gutter="0" w:footer="0" w:header="0"/>
          <w:type w:val="continuous"/>
        </w:sectPr>
      </w:pPr>
    </w:p>
    <w:bookmarkStart w:id="90" w:name="page91"/>
    <w:bookmarkEnd w:id="90"/>
    <w:p>
      <w:pPr>
        <w:spacing w:after="0" w:line="143" w:lineRule="exact"/>
        <w:rPr>
          <w:sz w:val="20"/>
          <w:szCs w:val="20"/>
          <w:color w:val="auto"/>
        </w:rPr>
      </w:pPr>
    </w:p>
    <w:p>
      <w:pPr>
        <w:ind w:left="260"/>
        <w:spacing w:after="0"/>
        <w:rPr>
          <w:sz w:val="20"/>
          <w:szCs w:val="20"/>
          <w:color w:val="auto"/>
        </w:rPr>
      </w:pPr>
      <w:r>
        <w:rPr>
          <w:rFonts w:ascii="Arial" w:cs="Arial" w:eastAsia="Arial" w:hAnsi="Arial"/>
          <w:sz w:val="22"/>
          <w:szCs w:val="22"/>
          <w:b w:val="1"/>
          <w:bCs w:val="1"/>
          <w:color w:val="auto"/>
        </w:rPr>
        <w:t>Forfeiture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Leaves of Absence</w:t>
      </w:r>
    </w:p>
    <w:p>
      <w:pPr>
        <w:spacing w:after="0" w:line="20" w:lineRule="exact"/>
        <w:rPr>
          <w:sz w:val="20"/>
          <w:szCs w:val="20"/>
          <w:color w:val="auto"/>
        </w:rPr>
      </w:pPr>
      <w:r>
        <w:rPr>
          <w:sz w:val="20"/>
          <w:szCs w:val="20"/>
          <w:color w:val="auto"/>
        </w:rPr>
        <w:br w:type="column"/>
      </w:r>
    </w:p>
    <w:p>
      <w:pPr>
        <w:ind w:right="399"/>
        <w:spacing w:after="0" w:line="246" w:lineRule="auto"/>
        <w:rPr>
          <w:sz w:val="20"/>
          <w:szCs w:val="20"/>
          <w:color w:val="auto"/>
        </w:rPr>
      </w:pPr>
      <w:r>
        <w:rPr>
          <w:rFonts w:ascii="Arial" w:cs="Arial" w:eastAsia="Arial" w:hAnsi="Arial"/>
          <w:sz w:val="19"/>
          <w:szCs w:val="19"/>
          <w:color w:val="auto"/>
        </w:rPr>
        <w:t>If your service as an employee, director, consultant or advisor of Incyte (or any subsidiary) terminates for any reason, then your Performance Shares will be forfeited to the extent they have not vested before the termination date and do not vest as a result of the termination. This means that the Performance Shares will be immediately canceled and you will receive no actual shares of Incyte common stock. You will receive no payment for any Performance Shares that are forfeited.</w:t>
      </w:r>
    </w:p>
    <w:p>
      <w:pPr>
        <w:spacing w:after="0" w:line="153" w:lineRule="exact"/>
        <w:rPr>
          <w:sz w:val="20"/>
          <w:szCs w:val="20"/>
          <w:color w:val="auto"/>
        </w:rPr>
      </w:pPr>
    </w:p>
    <w:p>
      <w:pPr>
        <w:spacing w:after="0"/>
        <w:rPr>
          <w:sz w:val="20"/>
          <w:szCs w:val="20"/>
          <w:color w:val="auto"/>
        </w:rPr>
      </w:pPr>
      <w:r>
        <w:rPr>
          <w:rFonts w:ascii="Arial" w:cs="Arial" w:eastAsia="Arial" w:hAnsi="Arial"/>
          <w:sz w:val="19"/>
          <w:szCs w:val="19"/>
          <w:color w:val="auto"/>
        </w:rPr>
        <w:t>Incyte determines when your service terminates for this purpose.</w:t>
      </w:r>
    </w:p>
    <w:p>
      <w:pPr>
        <w:spacing w:after="0" w:line="214" w:lineRule="exact"/>
        <w:rPr>
          <w:sz w:val="20"/>
          <w:szCs w:val="20"/>
          <w:color w:val="auto"/>
        </w:rPr>
      </w:pPr>
    </w:p>
    <w:p>
      <w:pPr>
        <w:ind w:right="479"/>
        <w:spacing w:after="0" w:line="249" w:lineRule="auto"/>
        <w:rPr>
          <w:sz w:val="20"/>
          <w:szCs w:val="20"/>
          <w:color w:val="auto"/>
        </w:rPr>
      </w:pPr>
      <w:r>
        <w:rPr>
          <w:rFonts w:ascii="Arial" w:cs="Arial" w:eastAsia="Arial" w:hAnsi="Arial"/>
          <w:sz w:val="19"/>
          <w:szCs w:val="19"/>
          <w:color w:val="auto"/>
        </w:rPr>
        <w:t xml:space="preserve">For purposes of this award, your service does not terminate when you go on a military leave, a sick leave or another </w:t>
      </w:r>
      <w:r>
        <w:rPr>
          <w:rFonts w:ascii="Arial" w:cs="Arial" w:eastAsia="Arial" w:hAnsi="Arial"/>
          <w:sz w:val="19"/>
          <w:szCs w:val="19"/>
          <w:i w:val="1"/>
          <w:iCs w:val="1"/>
          <w:color w:val="auto"/>
        </w:rPr>
        <w:t>bona fide</w:t>
      </w:r>
      <w:r>
        <w:rPr>
          <w:rFonts w:ascii="Arial" w:cs="Arial" w:eastAsia="Arial" w:hAnsi="Arial"/>
          <w:sz w:val="19"/>
          <w:szCs w:val="19"/>
          <w:color w:val="auto"/>
        </w:rPr>
        <w:t xml:space="preserve"> leave of absence, if the leave was approved by Incyte in writing and the terms of the leave or applicable law requires continued service crediting. But your service terminates when the approved leave ends, unless you immediately return to active work.</w:t>
      </w:r>
    </w:p>
    <w:p>
      <w:pPr>
        <w:spacing w:after="0" w:line="110" w:lineRule="exact"/>
        <w:rPr>
          <w:sz w:val="20"/>
          <w:szCs w:val="20"/>
          <w:color w:val="auto"/>
        </w:rPr>
      </w:pPr>
    </w:p>
    <w:p>
      <w:pPr>
        <w:sectPr>
          <w:pgSz w:w="11900" w:h="16838" w:orient="portrait"/>
          <w:cols w:equalWidth="0" w:num="2">
            <w:col w:w="2120" w:space="720"/>
            <w:col w:w="6179"/>
          </w:cols>
          <w:pgMar w:left="1440" w:top="294" w:right="1440" w:bottom="1440" w:gutter="0" w:footer="0" w:header="0"/>
        </w:sectPr>
      </w:pPr>
    </w:p>
    <w:tbl>
      <w:tblPr>
        <w:tblLayout w:type="fixed"/>
        <w:tblInd w:w="140" w:type="dxa"/>
        <w:tblCellMar>
          <w:top w:w="0" w:type="dxa"/>
          <w:left w:w="0" w:type="dxa"/>
          <w:bottom w:w="0" w:type="dxa"/>
          <w:right w:w="0" w:type="dxa"/>
        </w:tblCellMar>
      </w:tblPr>
      <w:tr>
        <w:trPr>
          <w:trHeight w:val="253"/>
        </w:trPr>
        <w:tc>
          <w:tcPr>
            <w:tcW w:w="2480" w:type="dxa"/>
            <w:vAlign w:val="bottom"/>
          </w:tcPr>
          <w:p>
            <w:pPr>
              <w:ind w:left="120"/>
              <w:spacing w:after="0"/>
              <w:rPr>
                <w:sz w:val="20"/>
                <w:szCs w:val="20"/>
                <w:color w:val="auto"/>
              </w:rPr>
            </w:pPr>
            <w:r>
              <w:rPr>
                <w:rFonts w:ascii="Arial" w:cs="Arial" w:eastAsia="Arial" w:hAnsi="Arial"/>
                <w:sz w:val="22"/>
                <w:szCs w:val="22"/>
                <w:b w:val="1"/>
                <w:bCs w:val="1"/>
                <w:color w:val="auto"/>
                <w:w w:val="98"/>
              </w:rPr>
              <w:t>Nature of Performance</w:t>
            </w:r>
          </w:p>
        </w:tc>
        <w:tc>
          <w:tcPr>
            <w:tcW w:w="6260" w:type="dxa"/>
            <w:vAlign w:val="bottom"/>
          </w:tcPr>
          <w:p>
            <w:pPr>
              <w:ind w:left="220"/>
              <w:spacing w:after="0"/>
              <w:rPr>
                <w:sz w:val="20"/>
                <w:szCs w:val="20"/>
                <w:color w:val="auto"/>
              </w:rPr>
            </w:pPr>
            <w:r>
              <w:rPr>
                <w:rFonts w:ascii="Arial" w:cs="Arial" w:eastAsia="Arial" w:hAnsi="Arial"/>
                <w:sz w:val="22"/>
                <w:szCs w:val="22"/>
                <w:color w:val="auto"/>
                <w:w w:val="94"/>
              </w:rPr>
              <w:t>The Performance Shares granted under this Agreement are mere</w:t>
            </w:r>
          </w:p>
        </w:tc>
      </w:tr>
      <w:tr>
        <w:trPr>
          <w:trHeight w:val="222"/>
        </w:trPr>
        <w:tc>
          <w:tcPr>
            <w:tcW w:w="2480" w:type="dxa"/>
            <w:vAlign w:val="bottom"/>
          </w:tcPr>
          <w:p>
            <w:pPr>
              <w:ind w:left="120"/>
              <w:spacing w:after="0" w:line="222" w:lineRule="exact"/>
              <w:rPr>
                <w:sz w:val="20"/>
                <w:szCs w:val="20"/>
                <w:color w:val="auto"/>
              </w:rPr>
            </w:pPr>
            <w:r>
              <w:rPr>
                <w:rFonts w:ascii="Arial" w:cs="Arial" w:eastAsia="Arial" w:hAnsi="Arial"/>
                <w:sz w:val="22"/>
                <w:szCs w:val="22"/>
                <w:b w:val="1"/>
                <w:bCs w:val="1"/>
                <w:color w:val="auto"/>
              </w:rPr>
              <w:t>Shares</w:t>
            </w:r>
          </w:p>
        </w:tc>
        <w:tc>
          <w:tcPr>
            <w:tcW w:w="6260" w:type="dxa"/>
            <w:vAlign w:val="bottom"/>
          </w:tcPr>
          <w:p>
            <w:pPr>
              <w:ind w:left="220"/>
              <w:spacing w:after="0" w:line="222" w:lineRule="exact"/>
              <w:rPr>
                <w:sz w:val="20"/>
                <w:szCs w:val="20"/>
                <w:color w:val="auto"/>
              </w:rPr>
            </w:pPr>
            <w:r>
              <w:rPr>
                <w:rFonts w:ascii="Arial" w:cs="Arial" w:eastAsia="Arial" w:hAnsi="Arial"/>
                <w:sz w:val="22"/>
                <w:szCs w:val="22"/>
                <w:color w:val="auto"/>
                <w:w w:val="96"/>
              </w:rPr>
              <w:t>bookkeeping entries. They represent only Incyte’s unfunded and</w:t>
            </w:r>
          </w:p>
        </w:tc>
      </w:tr>
      <w:tr>
        <w:trPr>
          <w:trHeight w:val="216"/>
        </w:trPr>
        <w:tc>
          <w:tcPr>
            <w:tcW w:w="2480" w:type="dxa"/>
            <w:vAlign w:val="bottom"/>
          </w:tcPr>
          <w:p>
            <w:pPr>
              <w:spacing w:after="0"/>
              <w:rPr>
                <w:sz w:val="18"/>
                <w:szCs w:val="18"/>
                <w:color w:val="auto"/>
              </w:rPr>
            </w:pPr>
          </w:p>
        </w:tc>
        <w:tc>
          <w:tcPr>
            <w:tcW w:w="6260" w:type="dxa"/>
            <w:vAlign w:val="bottom"/>
          </w:tcPr>
          <w:p>
            <w:pPr>
              <w:ind w:left="220"/>
              <w:spacing w:after="0" w:line="217" w:lineRule="exact"/>
              <w:rPr>
                <w:sz w:val="20"/>
                <w:szCs w:val="20"/>
                <w:color w:val="auto"/>
              </w:rPr>
            </w:pPr>
            <w:r>
              <w:rPr>
                <w:rFonts w:ascii="Arial" w:cs="Arial" w:eastAsia="Arial" w:hAnsi="Arial"/>
                <w:sz w:val="22"/>
                <w:szCs w:val="22"/>
                <w:color w:val="auto"/>
                <w:w w:val="95"/>
              </w:rPr>
              <w:t>unsecured promise to issue shares of Incyte common stock on a</w:t>
            </w:r>
          </w:p>
        </w:tc>
      </w:tr>
      <w:tr>
        <w:trPr>
          <w:trHeight w:val="216"/>
        </w:trPr>
        <w:tc>
          <w:tcPr>
            <w:tcW w:w="2480" w:type="dxa"/>
            <w:vAlign w:val="bottom"/>
          </w:tcPr>
          <w:p>
            <w:pPr>
              <w:spacing w:after="0"/>
              <w:rPr>
                <w:sz w:val="18"/>
                <w:szCs w:val="18"/>
                <w:color w:val="auto"/>
              </w:rPr>
            </w:pPr>
          </w:p>
        </w:tc>
        <w:tc>
          <w:tcPr>
            <w:tcW w:w="6260" w:type="dxa"/>
            <w:vAlign w:val="bottom"/>
          </w:tcPr>
          <w:p>
            <w:pPr>
              <w:ind w:left="220"/>
              <w:spacing w:after="0" w:line="217" w:lineRule="exact"/>
              <w:rPr>
                <w:sz w:val="20"/>
                <w:szCs w:val="20"/>
                <w:color w:val="auto"/>
              </w:rPr>
            </w:pPr>
            <w:r>
              <w:rPr>
                <w:rFonts w:ascii="Arial" w:cs="Arial" w:eastAsia="Arial" w:hAnsi="Arial"/>
                <w:sz w:val="22"/>
                <w:szCs w:val="22"/>
                <w:color w:val="auto"/>
              </w:rPr>
              <w:t>future date based on the level of Incyte’s achievement of the</w:t>
            </w:r>
          </w:p>
        </w:tc>
      </w:tr>
      <w:tr>
        <w:trPr>
          <w:trHeight w:val="216"/>
        </w:trPr>
        <w:tc>
          <w:tcPr>
            <w:tcW w:w="2480" w:type="dxa"/>
            <w:vAlign w:val="bottom"/>
          </w:tcPr>
          <w:p>
            <w:pPr>
              <w:spacing w:after="0"/>
              <w:rPr>
                <w:sz w:val="18"/>
                <w:szCs w:val="18"/>
                <w:color w:val="auto"/>
              </w:rPr>
            </w:pPr>
          </w:p>
        </w:tc>
        <w:tc>
          <w:tcPr>
            <w:tcW w:w="6260" w:type="dxa"/>
            <w:vAlign w:val="bottom"/>
          </w:tcPr>
          <w:p>
            <w:pPr>
              <w:ind w:left="220"/>
              <w:spacing w:after="0" w:line="217" w:lineRule="exact"/>
              <w:rPr>
                <w:sz w:val="20"/>
                <w:szCs w:val="20"/>
                <w:color w:val="auto"/>
              </w:rPr>
            </w:pPr>
            <w:r>
              <w:rPr>
                <w:rFonts w:ascii="Arial" w:cs="Arial" w:eastAsia="Arial" w:hAnsi="Arial"/>
                <w:sz w:val="22"/>
                <w:szCs w:val="22"/>
                <w:color w:val="auto"/>
                <w:w w:val="94"/>
              </w:rPr>
              <w:t>specified performance goals. As a holder of Performance Shares,</w:t>
            </w:r>
          </w:p>
        </w:tc>
      </w:tr>
      <w:tr>
        <w:trPr>
          <w:trHeight w:val="216"/>
        </w:trPr>
        <w:tc>
          <w:tcPr>
            <w:tcW w:w="2480" w:type="dxa"/>
            <w:vAlign w:val="bottom"/>
          </w:tcPr>
          <w:p>
            <w:pPr>
              <w:spacing w:after="0"/>
              <w:rPr>
                <w:sz w:val="18"/>
                <w:szCs w:val="18"/>
                <w:color w:val="auto"/>
              </w:rPr>
            </w:pPr>
          </w:p>
        </w:tc>
        <w:tc>
          <w:tcPr>
            <w:tcW w:w="6260" w:type="dxa"/>
            <w:vAlign w:val="bottom"/>
          </w:tcPr>
          <w:p>
            <w:pPr>
              <w:ind w:left="220"/>
              <w:spacing w:after="0" w:line="217" w:lineRule="exact"/>
              <w:rPr>
                <w:sz w:val="20"/>
                <w:szCs w:val="20"/>
                <w:color w:val="auto"/>
              </w:rPr>
            </w:pPr>
            <w:r>
              <w:rPr>
                <w:rFonts w:ascii="Arial" w:cs="Arial" w:eastAsia="Arial" w:hAnsi="Arial"/>
                <w:sz w:val="22"/>
                <w:szCs w:val="22"/>
                <w:color w:val="auto"/>
                <w:w w:val="99"/>
              </w:rPr>
              <w:t>you have no rights other than the rights of a general creditor of</w:t>
            </w:r>
          </w:p>
        </w:tc>
      </w:tr>
      <w:tr>
        <w:trPr>
          <w:trHeight w:val="275"/>
        </w:trPr>
        <w:tc>
          <w:tcPr>
            <w:tcW w:w="2480" w:type="dxa"/>
            <w:vAlign w:val="bottom"/>
          </w:tcPr>
          <w:p>
            <w:pPr>
              <w:spacing w:after="0"/>
              <w:rPr>
                <w:sz w:val="23"/>
                <w:szCs w:val="23"/>
                <w:color w:val="auto"/>
              </w:rPr>
            </w:pPr>
          </w:p>
        </w:tc>
        <w:tc>
          <w:tcPr>
            <w:tcW w:w="6260" w:type="dxa"/>
            <w:vAlign w:val="bottom"/>
          </w:tcPr>
          <w:p>
            <w:pPr>
              <w:ind w:left="220"/>
              <w:spacing w:after="0"/>
              <w:rPr>
                <w:sz w:val="20"/>
                <w:szCs w:val="20"/>
                <w:color w:val="auto"/>
              </w:rPr>
            </w:pPr>
            <w:r>
              <w:rPr>
                <w:rFonts w:ascii="Arial" w:cs="Arial" w:eastAsia="Arial" w:hAnsi="Arial"/>
                <w:sz w:val="22"/>
                <w:szCs w:val="22"/>
                <w:color w:val="auto"/>
              </w:rPr>
              <w:t>Incyte.</w:t>
            </w:r>
          </w:p>
        </w:tc>
      </w:tr>
      <w:tr>
        <w:trPr>
          <w:trHeight w:val="368"/>
        </w:trPr>
        <w:tc>
          <w:tcPr>
            <w:tcW w:w="2480" w:type="dxa"/>
            <w:vAlign w:val="bottom"/>
          </w:tcPr>
          <w:p>
            <w:pPr>
              <w:ind w:left="120"/>
              <w:spacing w:after="0"/>
              <w:rPr>
                <w:sz w:val="20"/>
                <w:szCs w:val="20"/>
                <w:color w:val="auto"/>
              </w:rPr>
            </w:pPr>
            <w:r>
              <w:rPr>
                <w:rFonts w:ascii="Arial" w:cs="Arial" w:eastAsia="Arial" w:hAnsi="Arial"/>
                <w:sz w:val="22"/>
                <w:szCs w:val="22"/>
                <w:b w:val="1"/>
                <w:bCs w:val="1"/>
                <w:color w:val="auto"/>
              </w:rPr>
              <w:t>No Voting Rights or</w:t>
            </w:r>
          </w:p>
        </w:tc>
        <w:tc>
          <w:tcPr>
            <w:tcW w:w="6260" w:type="dxa"/>
            <w:vAlign w:val="bottom"/>
          </w:tcPr>
          <w:p>
            <w:pPr>
              <w:ind w:left="220"/>
              <w:spacing w:after="0"/>
              <w:rPr>
                <w:sz w:val="20"/>
                <w:szCs w:val="20"/>
                <w:color w:val="auto"/>
              </w:rPr>
            </w:pPr>
            <w:r>
              <w:rPr>
                <w:rFonts w:ascii="Arial" w:cs="Arial" w:eastAsia="Arial" w:hAnsi="Arial"/>
                <w:sz w:val="22"/>
                <w:szCs w:val="22"/>
                <w:color w:val="auto"/>
                <w:w w:val="95"/>
              </w:rPr>
              <w:t>Your Performance Shares carry neither voting rights nor rights to</w:t>
            </w:r>
          </w:p>
        </w:tc>
      </w:tr>
      <w:tr>
        <w:trPr>
          <w:trHeight w:val="222"/>
        </w:trPr>
        <w:tc>
          <w:tcPr>
            <w:tcW w:w="2480" w:type="dxa"/>
            <w:vAlign w:val="bottom"/>
          </w:tcPr>
          <w:p>
            <w:pPr>
              <w:ind w:left="120"/>
              <w:spacing w:after="0" w:line="222" w:lineRule="exact"/>
              <w:rPr>
                <w:sz w:val="20"/>
                <w:szCs w:val="20"/>
                <w:color w:val="auto"/>
              </w:rPr>
            </w:pPr>
            <w:r>
              <w:rPr>
                <w:rFonts w:ascii="Arial" w:cs="Arial" w:eastAsia="Arial" w:hAnsi="Arial"/>
                <w:sz w:val="22"/>
                <w:szCs w:val="22"/>
                <w:b w:val="1"/>
                <w:bCs w:val="1"/>
                <w:color w:val="auto"/>
              </w:rPr>
              <w:t>Dividends</w:t>
            </w:r>
          </w:p>
        </w:tc>
        <w:tc>
          <w:tcPr>
            <w:tcW w:w="6260" w:type="dxa"/>
            <w:vAlign w:val="bottom"/>
          </w:tcPr>
          <w:p>
            <w:pPr>
              <w:ind w:left="220"/>
              <w:spacing w:after="0" w:line="222" w:lineRule="exact"/>
              <w:rPr>
                <w:sz w:val="20"/>
                <w:szCs w:val="20"/>
                <w:color w:val="auto"/>
              </w:rPr>
            </w:pPr>
            <w:r>
              <w:rPr>
                <w:rFonts w:ascii="Arial" w:cs="Arial" w:eastAsia="Arial" w:hAnsi="Arial"/>
                <w:sz w:val="22"/>
                <w:szCs w:val="22"/>
                <w:color w:val="auto"/>
              </w:rPr>
              <w:t>dividends. You, or your estate or heirs, have no rights as a</w:t>
            </w:r>
          </w:p>
        </w:tc>
      </w:tr>
      <w:tr>
        <w:trPr>
          <w:trHeight w:val="216"/>
        </w:trPr>
        <w:tc>
          <w:tcPr>
            <w:tcW w:w="2480" w:type="dxa"/>
            <w:vAlign w:val="bottom"/>
          </w:tcPr>
          <w:p>
            <w:pPr>
              <w:spacing w:after="0"/>
              <w:rPr>
                <w:sz w:val="18"/>
                <w:szCs w:val="18"/>
                <w:color w:val="auto"/>
              </w:rPr>
            </w:pPr>
          </w:p>
        </w:tc>
        <w:tc>
          <w:tcPr>
            <w:tcW w:w="6260" w:type="dxa"/>
            <w:vAlign w:val="bottom"/>
          </w:tcPr>
          <w:p>
            <w:pPr>
              <w:ind w:left="220"/>
              <w:spacing w:after="0" w:line="217" w:lineRule="exact"/>
              <w:rPr>
                <w:sz w:val="20"/>
                <w:szCs w:val="20"/>
                <w:color w:val="auto"/>
              </w:rPr>
            </w:pPr>
            <w:r>
              <w:rPr>
                <w:rFonts w:ascii="Arial" w:cs="Arial" w:eastAsia="Arial" w:hAnsi="Arial"/>
                <w:sz w:val="22"/>
                <w:szCs w:val="22"/>
                <w:color w:val="auto"/>
                <w:w w:val="91"/>
              </w:rPr>
              <w:t>stockholder of Incyte unless and until your Performance Shares are</w:t>
            </w:r>
          </w:p>
        </w:tc>
      </w:tr>
      <w:tr>
        <w:trPr>
          <w:trHeight w:val="216"/>
        </w:trPr>
        <w:tc>
          <w:tcPr>
            <w:tcW w:w="2480" w:type="dxa"/>
            <w:vAlign w:val="bottom"/>
          </w:tcPr>
          <w:p>
            <w:pPr>
              <w:spacing w:after="0"/>
              <w:rPr>
                <w:sz w:val="18"/>
                <w:szCs w:val="18"/>
                <w:color w:val="auto"/>
              </w:rPr>
            </w:pPr>
          </w:p>
        </w:tc>
        <w:tc>
          <w:tcPr>
            <w:tcW w:w="6260" w:type="dxa"/>
            <w:vAlign w:val="bottom"/>
          </w:tcPr>
          <w:p>
            <w:pPr>
              <w:ind w:left="220"/>
              <w:spacing w:after="0" w:line="217" w:lineRule="exact"/>
              <w:rPr>
                <w:sz w:val="20"/>
                <w:szCs w:val="20"/>
                <w:color w:val="auto"/>
              </w:rPr>
            </w:pPr>
            <w:r>
              <w:rPr>
                <w:rFonts w:ascii="Arial" w:cs="Arial" w:eastAsia="Arial" w:hAnsi="Arial"/>
                <w:sz w:val="22"/>
                <w:szCs w:val="22"/>
                <w:color w:val="auto"/>
                <w:w w:val="96"/>
              </w:rPr>
              <w:t>settled by issuing shares of Incyte’s common stock. No dividend</w:t>
            </w:r>
          </w:p>
        </w:tc>
      </w:tr>
      <w:tr>
        <w:trPr>
          <w:trHeight w:val="216"/>
        </w:trPr>
        <w:tc>
          <w:tcPr>
            <w:tcW w:w="2480" w:type="dxa"/>
            <w:vAlign w:val="bottom"/>
          </w:tcPr>
          <w:p>
            <w:pPr>
              <w:spacing w:after="0"/>
              <w:rPr>
                <w:sz w:val="18"/>
                <w:szCs w:val="18"/>
                <w:color w:val="auto"/>
              </w:rPr>
            </w:pPr>
          </w:p>
        </w:tc>
        <w:tc>
          <w:tcPr>
            <w:tcW w:w="6260" w:type="dxa"/>
            <w:vAlign w:val="bottom"/>
          </w:tcPr>
          <w:p>
            <w:pPr>
              <w:ind w:left="220"/>
              <w:spacing w:after="0" w:line="217" w:lineRule="exact"/>
              <w:rPr>
                <w:sz w:val="20"/>
                <w:szCs w:val="20"/>
                <w:color w:val="auto"/>
              </w:rPr>
            </w:pPr>
            <w:r>
              <w:rPr>
                <w:rFonts w:ascii="Arial" w:cs="Arial" w:eastAsia="Arial" w:hAnsi="Arial"/>
                <w:sz w:val="22"/>
                <w:szCs w:val="22"/>
                <w:color w:val="auto"/>
                <w:w w:val="95"/>
              </w:rPr>
              <w:t>equivalents will be provided and no adjustments will be made for</w:t>
            </w:r>
          </w:p>
        </w:tc>
      </w:tr>
      <w:tr>
        <w:trPr>
          <w:trHeight w:val="216"/>
        </w:trPr>
        <w:tc>
          <w:tcPr>
            <w:tcW w:w="2480" w:type="dxa"/>
            <w:vAlign w:val="bottom"/>
          </w:tcPr>
          <w:p>
            <w:pPr>
              <w:spacing w:after="0"/>
              <w:rPr>
                <w:sz w:val="18"/>
                <w:szCs w:val="18"/>
                <w:color w:val="auto"/>
              </w:rPr>
            </w:pPr>
          </w:p>
        </w:tc>
        <w:tc>
          <w:tcPr>
            <w:tcW w:w="6260" w:type="dxa"/>
            <w:vAlign w:val="bottom"/>
          </w:tcPr>
          <w:p>
            <w:pPr>
              <w:ind w:left="220"/>
              <w:spacing w:after="0" w:line="217" w:lineRule="exact"/>
              <w:rPr>
                <w:sz w:val="20"/>
                <w:szCs w:val="20"/>
                <w:color w:val="auto"/>
              </w:rPr>
            </w:pPr>
            <w:r>
              <w:rPr>
                <w:rFonts w:ascii="Arial" w:cs="Arial" w:eastAsia="Arial" w:hAnsi="Arial"/>
                <w:sz w:val="22"/>
                <w:szCs w:val="22"/>
                <w:color w:val="auto"/>
                <w:w w:val="92"/>
              </w:rPr>
              <w:t>dividends or other rights if the applicable record date occurs before</w:t>
            </w:r>
          </w:p>
        </w:tc>
      </w:tr>
      <w:tr>
        <w:trPr>
          <w:trHeight w:val="216"/>
        </w:trPr>
        <w:tc>
          <w:tcPr>
            <w:tcW w:w="2480" w:type="dxa"/>
            <w:vAlign w:val="bottom"/>
          </w:tcPr>
          <w:p>
            <w:pPr>
              <w:spacing w:after="0"/>
              <w:rPr>
                <w:sz w:val="18"/>
                <w:szCs w:val="18"/>
                <w:color w:val="auto"/>
              </w:rPr>
            </w:pPr>
          </w:p>
        </w:tc>
        <w:tc>
          <w:tcPr>
            <w:tcW w:w="6260" w:type="dxa"/>
            <w:vAlign w:val="bottom"/>
          </w:tcPr>
          <w:p>
            <w:pPr>
              <w:ind w:left="220"/>
              <w:spacing w:after="0" w:line="217" w:lineRule="exact"/>
              <w:rPr>
                <w:sz w:val="20"/>
                <w:szCs w:val="20"/>
                <w:color w:val="auto"/>
              </w:rPr>
            </w:pPr>
            <w:r>
              <w:rPr>
                <w:rFonts w:ascii="Arial" w:cs="Arial" w:eastAsia="Arial" w:hAnsi="Arial"/>
                <w:sz w:val="22"/>
                <w:szCs w:val="22"/>
                <w:color w:val="auto"/>
                <w:w w:val="91"/>
              </w:rPr>
              <w:t>your stock certificate is issued, except that in the case of a dividend</w:t>
            </w:r>
          </w:p>
        </w:tc>
      </w:tr>
      <w:tr>
        <w:trPr>
          <w:trHeight w:val="216"/>
        </w:trPr>
        <w:tc>
          <w:tcPr>
            <w:tcW w:w="2480" w:type="dxa"/>
            <w:vAlign w:val="bottom"/>
          </w:tcPr>
          <w:p>
            <w:pPr>
              <w:spacing w:after="0"/>
              <w:rPr>
                <w:sz w:val="18"/>
                <w:szCs w:val="18"/>
                <w:color w:val="auto"/>
              </w:rPr>
            </w:pPr>
          </w:p>
        </w:tc>
        <w:tc>
          <w:tcPr>
            <w:tcW w:w="6260" w:type="dxa"/>
            <w:vAlign w:val="bottom"/>
          </w:tcPr>
          <w:p>
            <w:pPr>
              <w:ind w:left="220"/>
              <w:spacing w:after="0" w:line="217" w:lineRule="exact"/>
              <w:rPr>
                <w:sz w:val="20"/>
                <w:szCs w:val="20"/>
                <w:color w:val="auto"/>
              </w:rPr>
            </w:pPr>
            <w:r>
              <w:rPr>
                <w:rFonts w:ascii="Arial" w:cs="Arial" w:eastAsia="Arial" w:hAnsi="Arial"/>
                <w:sz w:val="22"/>
                <w:szCs w:val="22"/>
                <w:color w:val="auto"/>
                <w:w w:val="95"/>
              </w:rPr>
              <w:t>payable in the form of additional shares of Incyte common stock,</w:t>
            </w:r>
          </w:p>
        </w:tc>
      </w:tr>
      <w:tr>
        <w:trPr>
          <w:trHeight w:val="216"/>
        </w:trPr>
        <w:tc>
          <w:tcPr>
            <w:tcW w:w="2480" w:type="dxa"/>
            <w:vAlign w:val="bottom"/>
          </w:tcPr>
          <w:p>
            <w:pPr>
              <w:spacing w:after="0"/>
              <w:rPr>
                <w:sz w:val="18"/>
                <w:szCs w:val="18"/>
                <w:color w:val="auto"/>
              </w:rPr>
            </w:pPr>
          </w:p>
        </w:tc>
        <w:tc>
          <w:tcPr>
            <w:tcW w:w="6260" w:type="dxa"/>
            <w:vAlign w:val="bottom"/>
          </w:tcPr>
          <w:p>
            <w:pPr>
              <w:ind w:left="220"/>
              <w:spacing w:after="0" w:line="217" w:lineRule="exact"/>
              <w:rPr>
                <w:sz w:val="20"/>
                <w:szCs w:val="20"/>
                <w:color w:val="auto"/>
              </w:rPr>
            </w:pPr>
            <w:r>
              <w:rPr>
                <w:rFonts w:ascii="Arial" w:cs="Arial" w:eastAsia="Arial" w:hAnsi="Arial"/>
                <w:sz w:val="22"/>
                <w:szCs w:val="22"/>
                <w:color w:val="auto"/>
              </w:rPr>
              <w:t>your target number of Performance Shares will be adjusted</w:t>
            </w:r>
          </w:p>
        </w:tc>
      </w:tr>
      <w:tr>
        <w:trPr>
          <w:trHeight w:val="216"/>
        </w:trPr>
        <w:tc>
          <w:tcPr>
            <w:tcW w:w="2480" w:type="dxa"/>
            <w:vAlign w:val="bottom"/>
          </w:tcPr>
          <w:p>
            <w:pPr>
              <w:spacing w:after="0"/>
              <w:rPr>
                <w:sz w:val="18"/>
                <w:szCs w:val="18"/>
                <w:color w:val="auto"/>
              </w:rPr>
            </w:pPr>
          </w:p>
        </w:tc>
        <w:tc>
          <w:tcPr>
            <w:tcW w:w="6260" w:type="dxa"/>
            <w:vAlign w:val="bottom"/>
          </w:tcPr>
          <w:p>
            <w:pPr>
              <w:ind w:left="220"/>
              <w:spacing w:after="0" w:line="217" w:lineRule="exact"/>
              <w:rPr>
                <w:sz w:val="20"/>
                <w:szCs w:val="20"/>
                <w:color w:val="auto"/>
              </w:rPr>
            </w:pPr>
            <w:r>
              <w:rPr>
                <w:rFonts w:ascii="Arial" w:cs="Arial" w:eastAsia="Arial" w:hAnsi="Arial"/>
                <w:sz w:val="22"/>
                <w:szCs w:val="22"/>
                <w:color w:val="auto"/>
                <w:w w:val="92"/>
              </w:rPr>
              <w:t>proportionately by multiplying that number by the number of shares</w:t>
            </w:r>
          </w:p>
        </w:tc>
      </w:tr>
      <w:tr>
        <w:trPr>
          <w:trHeight w:val="216"/>
        </w:trPr>
        <w:tc>
          <w:tcPr>
            <w:tcW w:w="2480" w:type="dxa"/>
            <w:vAlign w:val="bottom"/>
          </w:tcPr>
          <w:p>
            <w:pPr>
              <w:spacing w:after="0"/>
              <w:rPr>
                <w:sz w:val="18"/>
                <w:szCs w:val="18"/>
                <w:color w:val="auto"/>
              </w:rPr>
            </w:pPr>
          </w:p>
        </w:tc>
        <w:tc>
          <w:tcPr>
            <w:tcW w:w="6260" w:type="dxa"/>
            <w:vAlign w:val="bottom"/>
          </w:tcPr>
          <w:p>
            <w:pPr>
              <w:ind w:left="220"/>
              <w:spacing w:after="0" w:line="217" w:lineRule="exact"/>
              <w:rPr>
                <w:sz w:val="20"/>
                <w:szCs w:val="20"/>
                <w:color w:val="auto"/>
              </w:rPr>
            </w:pPr>
            <w:r>
              <w:rPr>
                <w:rFonts w:ascii="Arial" w:cs="Arial" w:eastAsia="Arial" w:hAnsi="Arial"/>
                <w:sz w:val="22"/>
                <w:szCs w:val="22"/>
                <w:color w:val="auto"/>
              </w:rPr>
              <w:t>of Incyte common stock that a holder of one share of Incyte</w:t>
            </w:r>
          </w:p>
        </w:tc>
      </w:tr>
      <w:tr>
        <w:trPr>
          <w:trHeight w:val="216"/>
        </w:trPr>
        <w:tc>
          <w:tcPr>
            <w:tcW w:w="2480" w:type="dxa"/>
            <w:vAlign w:val="bottom"/>
          </w:tcPr>
          <w:p>
            <w:pPr>
              <w:spacing w:after="0"/>
              <w:rPr>
                <w:sz w:val="18"/>
                <w:szCs w:val="18"/>
                <w:color w:val="auto"/>
              </w:rPr>
            </w:pPr>
          </w:p>
        </w:tc>
        <w:tc>
          <w:tcPr>
            <w:tcW w:w="6260" w:type="dxa"/>
            <w:vAlign w:val="bottom"/>
          </w:tcPr>
          <w:p>
            <w:pPr>
              <w:ind w:left="220"/>
              <w:spacing w:after="0" w:line="217" w:lineRule="exact"/>
              <w:rPr>
                <w:sz w:val="20"/>
                <w:szCs w:val="20"/>
                <w:color w:val="auto"/>
              </w:rPr>
            </w:pPr>
            <w:r>
              <w:rPr>
                <w:rFonts w:ascii="Arial" w:cs="Arial" w:eastAsia="Arial" w:hAnsi="Arial"/>
                <w:sz w:val="22"/>
                <w:szCs w:val="22"/>
                <w:color w:val="auto"/>
                <w:w w:val="94"/>
              </w:rPr>
              <w:t>common stock before the dividend payment date would hold after</w:t>
            </w:r>
          </w:p>
        </w:tc>
      </w:tr>
      <w:tr>
        <w:trPr>
          <w:trHeight w:val="275"/>
        </w:trPr>
        <w:tc>
          <w:tcPr>
            <w:tcW w:w="2480" w:type="dxa"/>
            <w:vAlign w:val="bottom"/>
          </w:tcPr>
          <w:p>
            <w:pPr>
              <w:spacing w:after="0"/>
              <w:rPr>
                <w:sz w:val="23"/>
                <w:szCs w:val="23"/>
                <w:color w:val="auto"/>
              </w:rPr>
            </w:pPr>
          </w:p>
        </w:tc>
        <w:tc>
          <w:tcPr>
            <w:tcW w:w="6260" w:type="dxa"/>
            <w:vAlign w:val="bottom"/>
          </w:tcPr>
          <w:p>
            <w:pPr>
              <w:ind w:left="220"/>
              <w:spacing w:after="0"/>
              <w:rPr>
                <w:sz w:val="20"/>
                <w:szCs w:val="20"/>
                <w:color w:val="auto"/>
              </w:rPr>
            </w:pPr>
            <w:r>
              <w:rPr>
                <w:rFonts w:ascii="Arial" w:cs="Arial" w:eastAsia="Arial" w:hAnsi="Arial"/>
                <w:sz w:val="22"/>
                <w:szCs w:val="22"/>
                <w:color w:val="auto"/>
              </w:rPr>
              <w:t>the dividend payment date.</w:t>
            </w:r>
          </w:p>
        </w:tc>
      </w:tr>
      <w:tr>
        <w:trPr>
          <w:trHeight w:val="648"/>
        </w:trPr>
        <w:tc>
          <w:tcPr>
            <w:tcW w:w="2480" w:type="dxa"/>
            <w:vAlign w:val="bottom"/>
          </w:tcPr>
          <w:p>
            <w:pPr>
              <w:spacing w:after="0"/>
              <w:rPr>
                <w:sz w:val="24"/>
                <w:szCs w:val="24"/>
                <w:color w:val="auto"/>
              </w:rPr>
            </w:pPr>
          </w:p>
        </w:tc>
        <w:tc>
          <w:tcPr>
            <w:tcW w:w="6260" w:type="dxa"/>
            <w:vAlign w:val="bottom"/>
          </w:tcPr>
          <w:p>
            <w:pPr>
              <w:ind w:left="1840"/>
              <w:spacing w:after="0"/>
              <w:rPr>
                <w:sz w:val="20"/>
                <w:szCs w:val="20"/>
                <w:color w:val="auto"/>
              </w:rPr>
            </w:pPr>
            <w:r>
              <w:rPr>
                <w:rFonts w:ascii="Arial" w:cs="Arial" w:eastAsia="Arial" w:hAnsi="Arial"/>
                <w:sz w:val="22"/>
                <w:szCs w:val="22"/>
                <w:color w:val="auto"/>
              </w:rPr>
              <w:t>2</w:t>
            </w:r>
          </w:p>
        </w:tc>
      </w:tr>
      <w:tr>
        <w:trPr>
          <w:trHeight w:val="294"/>
        </w:trPr>
        <w:tc>
          <w:tcPr>
            <w:tcW w:w="2480" w:type="dxa"/>
            <w:vAlign w:val="bottom"/>
            <w:tcBorders>
              <w:bottom w:val="single" w:sz="8" w:color="auto"/>
            </w:tcBorders>
          </w:tcPr>
          <w:p>
            <w:pPr>
              <w:spacing w:after="0"/>
              <w:rPr>
                <w:sz w:val="24"/>
                <w:szCs w:val="24"/>
                <w:color w:val="auto"/>
              </w:rPr>
            </w:pPr>
          </w:p>
        </w:tc>
        <w:tc>
          <w:tcPr>
            <w:tcW w:w="62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94" w:right="1440" w:bottom="1440" w:gutter="0" w:footer="0" w:header="0"/>
          <w:type w:val="continuous"/>
        </w:sectPr>
      </w:pPr>
    </w:p>
    <w:bookmarkStart w:id="91" w:name="page92"/>
    <w:bookmarkEnd w:id="91"/>
    <w:p>
      <w:pPr>
        <w:spacing w:after="0" w:line="143" w:lineRule="exact"/>
        <w:rPr>
          <w:sz w:val="20"/>
          <w:szCs w:val="20"/>
          <w:color w:val="auto"/>
        </w:rPr>
      </w:pPr>
    </w:p>
    <w:p>
      <w:pPr>
        <w:ind w:left="260"/>
        <w:spacing w:after="0" w:line="305" w:lineRule="auto"/>
        <w:rPr>
          <w:sz w:val="20"/>
          <w:szCs w:val="20"/>
          <w:color w:val="auto"/>
        </w:rPr>
      </w:pPr>
      <w:r>
        <w:rPr>
          <w:rFonts w:ascii="Arial" w:cs="Arial" w:eastAsia="Arial" w:hAnsi="Arial"/>
          <w:sz w:val="19"/>
          <w:szCs w:val="19"/>
          <w:b w:val="1"/>
          <w:bCs w:val="1"/>
          <w:color w:val="auto"/>
        </w:rPr>
        <w:t>Settlement of Performance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260"/>
        <w:spacing w:after="0"/>
        <w:rPr>
          <w:sz w:val="20"/>
          <w:szCs w:val="20"/>
          <w:color w:val="auto"/>
        </w:rPr>
      </w:pPr>
      <w:r>
        <w:rPr>
          <w:rFonts w:ascii="Arial" w:cs="Arial" w:eastAsia="Arial" w:hAnsi="Arial"/>
          <w:sz w:val="21"/>
          <w:szCs w:val="21"/>
          <w:b w:val="1"/>
          <w:bCs w:val="1"/>
          <w:color w:val="auto"/>
        </w:rPr>
        <w:t>Withholding Taxes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60"/>
        <w:spacing w:after="0"/>
        <w:rPr>
          <w:sz w:val="20"/>
          <w:szCs w:val="20"/>
          <w:color w:val="auto"/>
        </w:rPr>
      </w:pPr>
      <w:r>
        <w:rPr>
          <w:rFonts w:ascii="Arial" w:cs="Arial" w:eastAsia="Arial" w:hAnsi="Arial"/>
          <w:sz w:val="21"/>
          <w:szCs w:val="21"/>
          <w:b w:val="1"/>
          <w:bCs w:val="1"/>
          <w:color w:val="auto"/>
        </w:rPr>
        <w:t>Change in Control</w:t>
      </w:r>
    </w:p>
    <w:p>
      <w:pPr>
        <w:spacing w:after="0" w:line="20" w:lineRule="exact"/>
        <w:rPr>
          <w:sz w:val="20"/>
          <w:szCs w:val="20"/>
          <w:color w:val="auto"/>
        </w:rPr>
      </w:pPr>
      <w:r>
        <w:rPr>
          <w:sz w:val="20"/>
          <w:szCs w:val="20"/>
          <w:color w:val="auto"/>
        </w:rPr>
        <w:br w:type="column"/>
      </w:r>
    </w:p>
    <w:p>
      <w:pPr>
        <w:ind w:right="379"/>
        <w:spacing w:after="0" w:line="246" w:lineRule="auto"/>
        <w:rPr>
          <w:sz w:val="20"/>
          <w:szCs w:val="20"/>
          <w:color w:val="auto"/>
        </w:rPr>
      </w:pPr>
      <w:r>
        <w:rPr>
          <w:rFonts w:ascii="Arial" w:cs="Arial" w:eastAsia="Arial" w:hAnsi="Arial"/>
          <w:sz w:val="19"/>
          <w:szCs w:val="19"/>
          <w:color w:val="auto"/>
        </w:rPr>
        <w:t>The Performance Shares will be settled as soon as practicable after each vesting date, provided that the Compensation Committee of Incyte’s Board of Directors or its designee has certified Incyte’s level of achievement with respect to each of the performance goals specified for the Performance Period and has determined that a number of shares of Incyte common stock are issuable based on Incyte’s performance. In no event will settlement occur later than March 15th of the calendar year following the vesting date.</w:t>
      </w:r>
    </w:p>
    <w:p>
      <w:pPr>
        <w:spacing w:after="0" w:line="153" w:lineRule="exact"/>
        <w:rPr>
          <w:sz w:val="20"/>
          <w:szCs w:val="20"/>
          <w:color w:val="auto"/>
        </w:rPr>
      </w:pPr>
    </w:p>
    <w:p>
      <w:pPr>
        <w:ind w:right="279"/>
        <w:spacing w:after="0" w:line="252" w:lineRule="auto"/>
        <w:rPr>
          <w:sz w:val="20"/>
          <w:szCs w:val="20"/>
          <w:color w:val="auto"/>
        </w:rPr>
      </w:pPr>
      <w:r>
        <w:rPr>
          <w:rFonts w:ascii="Arial" w:cs="Arial" w:eastAsia="Arial" w:hAnsi="Arial"/>
          <w:sz w:val="19"/>
          <w:szCs w:val="19"/>
          <w:color w:val="auto"/>
        </w:rPr>
        <w:t>At the time of settlement, your target number of Performance Shares may be adjusted upwards or downwards based on Incyte’s performance for the Performance Period. You will receive one share of Incyte common stock for each Performance Share that you remain entitled to after any such adjustment.</w:t>
      </w:r>
    </w:p>
    <w:p>
      <w:pPr>
        <w:spacing w:after="0" w:line="149" w:lineRule="exact"/>
        <w:rPr>
          <w:sz w:val="20"/>
          <w:szCs w:val="20"/>
          <w:color w:val="auto"/>
        </w:rPr>
      </w:pPr>
    </w:p>
    <w:p>
      <w:pPr>
        <w:ind w:right="259"/>
        <w:spacing w:after="0" w:line="268" w:lineRule="auto"/>
        <w:rPr>
          <w:sz w:val="20"/>
          <w:szCs w:val="20"/>
          <w:color w:val="auto"/>
        </w:rPr>
      </w:pPr>
      <w:r>
        <w:rPr>
          <w:rFonts w:ascii="Arial" w:cs="Arial" w:eastAsia="Arial" w:hAnsi="Arial"/>
          <w:sz w:val="19"/>
          <w:szCs w:val="19"/>
          <w:color w:val="auto"/>
        </w:rPr>
        <w:t>Incyte will withhold shares of Incyte common stock on settlement of the Performance Shares for the payment of any withholding taxes due as a result of the settlement of the Performance Shares.</w:t>
      </w:r>
    </w:p>
    <w:p>
      <w:pPr>
        <w:spacing w:after="0" w:line="132" w:lineRule="exact"/>
        <w:rPr>
          <w:sz w:val="20"/>
          <w:szCs w:val="20"/>
          <w:color w:val="auto"/>
        </w:rPr>
      </w:pPr>
    </w:p>
    <w:p>
      <w:pPr>
        <w:ind w:right="279"/>
        <w:spacing w:after="0" w:line="242" w:lineRule="auto"/>
        <w:rPr>
          <w:sz w:val="20"/>
          <w:szCs w:val="20"/>
          <w:color w:val="auto"/>
        </w:rPr>
      </w:pPr>
      <w:r>
        <w:rPr>
          <w:rFonts w:ascii="Arial" w:cs="Arial" w:eastAsia="Arial" w:hAnsi="Arial"/>
          <w:sz w:val="19"/>
          <w:szCs w:val="19"/>
          <w:color w:val="auto"/>
        </w:rPr>
        <w:t>The following provisions will apply in the event a Change in Control (as defined in the Plan) occurs after the end of the Performance Period and while the Performance Shares granted under this Agreement are still outstanding, provided that the Compensation Committee of Incyte’s Board of Directors or its designee has determined that a number of shares of Incyte common stock are issuable with respect to the Performance Shares based on Incyte’s achievement of the performance goals for the Performance Period, and provided further that you are still performing service as an employee, director, consultant or advisor of Incyte (or any parent or subsidiary). For purposes of these provisions, Incyte or any parent or subsidiary for which you are performing service is referred to as the “Employer.”</w:t>
      </w:r>
    </w:p>
    <w:p>
      <w:pPr>
        <w:spacing w:after="0" w:line="161" w:lineRule="exact"/>
        <w:rPr>
          <w:sz w:val="20"/>
          <w:szCs w:val="20"/>
          <w:color w:val="auto"/>
        </w:rPr>
      </w:pPr>
    </w:p>
    <w:p>
      <w:pPr>
        <w:ind w:right="319"/>
        <w:spacing w:after="0" w:line="216" w:lineRule="auto"/>
        <w:rPr>
          <w:sz w:val="20"/>
          <w:szCs w:val="20"/>
          <w:color w:val="auto"/>
        </w:rPr>
      </w:pPr>
      <w:r>
        <w:rPr>
          <w:rFonts w:ascii="Arial" w:cs="Arial" w:eastAsia="Arial" w:hAnsi="Arial"/>
          <w:sz w:val="22"/>
          <w:szCs w:val="22"/>
          <w:color w:val="auto"/>
        </w:rPr>
        <w:t>If this Agreement is not assumed or replaced with a new comparable award by the Employer (with the determination of comparability to be made by the Committee), then there would be full accelerated vesting of the Performance Shares upon the Change in Control.</w:t>
      </w:r>
    </w:p>
    <w:p>
      <w:pPr>
        <w:spacing w:after="0" w:line="158" w:lineRule="exact"/>
        <w:rPr>
          <w:sz w:val="20"/>
          <w:szCs w:val="20"/>
          <w:color w:val="auto"/>
        </w:rPr>
      </w:pPr>
    </w:p>
    <w:p>
      <w:pPr>
        <w:ind w:right="399"/>
        <w:spacing w:after="0" w:line="226" w:lineRule="auto"/>
        <w:rPr>
          <w:sz w:val="20"/>
          <w:szCs w:val="20"/>
          <w:color w:val="auto"/>
        </w:rPr>
      </w:pPr>
      <w:r>
        <w:rPr>
          <w:rFonts w:ascii="Arial" w:cs="Arial" w:eastAsia="Arial" w:hAnsi="Arial"/>
          <w:sz w:val="21"/>
          <w:szCs w:val="21"/>
          <w:color w:val="auto"/>
        </w:rPr>
        <w:t>If this Agreement is assumed or replaced with a new comparable award, then the Performance Shares (or such comparable award) would vest in full if within one year following the Change in Control your service for the Employer is terminated without Cause or is Constructively Terminated.</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For purposes of this Agreement, “Cause” shall mean</w:t>
      </w:r>
    </w:p>
    <w:p>
      <w:pPr>
        <w:spacing w:after="0" w:line="395" w:lineRule="exact"/>
        <w:rPr>
          <w:sz w:val="20"/>
          <w:szCs w:val="20"/>
          <w:color w:val="auto"/>
        </w:rPr>
      </w:pPr>
    </w:p>
    <w:p>
      <w:pPr>
        <w:ind w:left="162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-1710690</wp:posOffset>
            </wp:positionH>
            <wp:positionV relativeFrom="paragraph">
              <wp:posOffset>187325</wp:posOffset>
            </wp:positionV>
            <wp:extent cx="5548630"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0">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2">
            <w:col w:w="2140" w:space="700"/>
            <w:col w:w="6179"/>
          </w:cols>
          <w:pgMar w:left="1440" w:top="294" w:right="1440" w:bottom="1440" w:gutter="0" w:footer="0" w:header="0"/>
        </w:sectPr>
      </w:pPr>
    </w:p>
    <w:bookmarkStart w:id="92" w:name="page93"/>
    <w:bookmarkEnd w:id="92"/>
    <w:p>
      <w:pPr>
        <w:ind w:left="2840" w:right="279" w:firstLine="47"/>
        <w:spacing w:after="0" w:line="241" w:lineRule="auto"/>
        <w:tabs>
          <w:tab w:leader="none" w:pos="3152" w:val="left"/>
        </w:tabs>
        <w:numPr>
          <w:ilvl w:val="0"/>
          <w:numId w:val="38"/>
        </w:numPr>
        <w:rPr>
          <w:rFonts w:ascii="Arial" w:cs="Arial" w:eastAsia="Arial" w:hAnsi="Arial"/>
          <w:sz w:val="19"/>
          <w:szCs w:val="19"/>
          <w:color w:val="auto"/>
        </w:rPr>
      </w:pPr>
      <w:r>
        <w:rPr>
          <w:rFonts w:ascii="Arial" w:cs="Arial" w:eastAsia="Arial" w:hAnsi="Arial"/>
          <w:sz w:val="19"/>
          <w:szCs w:val="19"/>
          <w:color w:val="auto"/>
        </w:rPr>
        <w:t>in the case where there is no employment agreement, consulting agreement, change in control agreement or similar agreement or plan in effect between Incyte and you on the date specified in the award notice (or where there is such an agreement or plan but it does not define “cause” (or words of like import)): (A) your continued failure to perform your duties with the Employer (other than any such failure resulting from incapacity due to physical or mental illness or total and permanent disability, which incapacity has been recognized as such by the Committee or its designee); (B) engagement in illegal conduct, gross misconduct or dishonesty that is injurious to the Employer or its affiliates; (C) unauthorized disclosure or misuse of any of the Employer’s secret, confidential or proprietary information, knowledge or data relating to the Employer or its affiliates; or (D) violation of any of the employee policies or procedures of the Employer; or</w:t>
      </w:r>
    </w:p>
    <w:p>
      <w:pPr>
        <w:spacing w:after="0" w:line="385" w:lineRule="exact"/>
        <w:rPr>
          <w:rFonts w:ascii="Arial" w:cs="Arial" w:eastAsia="Arial" w:hAnsi="Arial"/>
          <w:sz w:val="19"/>
          <w:szCs w:val="19"/>
          <w:color w:val="auto"/>
        </w:rPr>
      </w:pPr>
    </w:p>
    <w:p>
      <w:pPr>
        <w:ind w:left="2840" w:right="339" w:hanging="7"/>
        <w:spacing w:after="0" w:line="252" w:lineRule="auto"/>
        <w:tabs>
          <w:tab w:leader="none" w:pos="3158" w:val="left"/>
        </w:tabs>
        <w:numPr>
          <w:ilvl w:val="0"/>
          <w:numId w:val="38"/>
        </w:numPr>
        <w:rPr>
          <w:rFonts w:ascii="Arial" w:cs="Arial" w:eastAsia="Arial" w:hAnsi="Arial"/>
          <w:sz w:val="19"/>
          <w:szCs w:val="19"/>
          <w:color w:val="auto"/>
        </w:rPr>
      </w:pPr>
      <w:r>
        <w:rPr>
          <w:rFonts w:ascii="Arial" w:cs="Arial" w:eastAsia="Arial" w:hAnsi="Arial"/>
          <w:sz w:val="19"/>
          <w:szCs w:val="19"/>
          <w:color w:val="auto"/>
        </w:rPr>
        <w:t>in the case where there is an employment agreement, consulting agreement, change in control agreement or similar agreement or plan in effect between Incyte and you on the date specified in the award notice that defines “cause” (or words of like import), as defined under such agreement or plan.</w:t>
      </w:r>
    </w:p>
    <w:p>
      <w:pPr>
        <w:spacing w:after="0" w:line="149" w:lineRule="exact"/>
        <w:rPr>
          <w:sz w:val="20"/>
          <w:szCs w:val="20"/>
          <w:color w:val="auto"/>
        </w:rPr>
      </w:pPr>
    </w:p>
    <w:p>
      <w:pPr>
        <w:ind w:left="2840" w:right="479"/>
        <w:spacing w:after="0" w:line="232" w:lineRule="auto"/>
        <w:rPr>
          <w:sz w:val="20"/>
          <w:szCs w:val="20"/>
          <w:color w:val="auto"/>
        </w:rPr>
      </w:pPr>
      <w:r>
        <w:rPr>
          <w:rFonts w:ascii="Arial" w:cs="Arial" w:eastAsia="Arial" w:hAnsi="Arial"/>
          <w:sz w:val="22"/>
          <w:szCs w:val="22"/>
          <w:color w:val="auto"/>
        </w:rPr>
        <w:t>For purposes of this Agreement, “Constructive Termination” shall mean</w:t>
      </w:r>
    </w:p>
    <w:p>
      <w:pPr>
        <w:spacing w:after="0" w:line="159" w:lineRule="exact"/>
        <w:rPr>
          <w:sz w:val="20"/>
          <w:szCs w:val="20"/>
          <w:color w:val="auto"/>
        </w:rPr>
      </w:pPr>
    </w:p>
    <w:p>
      <w:pPr>
        <w:ind w:left="2840" w:right="339" w:hanging="23"/>
        <w:spacing w:after="0"/>
        <w:tabs>
          <w:tab w:leader="none" w:pos="3082" w:val="left"/>
        </w:tabs>
        <w:numPr>
          <w:ilvl w:val="0"/>
          <w:numId w:val="39"/>
        </w:numPr>
        <w:rPr>
          <w:rFonts w:ascii="Arial" w:cs="Arial" w:eastAsia="Arial" w:hAnsi="Arial"/>
          <w:sz w:val="19"/>
          <w:szCs w:val="19"/>
          <w:color w:val="auto"/>
        </w:rPr>
      </w:pPr>
      <w:r>
        <w:rPr>
          <w:rFonts w:ascii="Arial" w:cs="Arial" w:eastAsia="Arial" w:hAnsi="Arial"/>
          <w:sz w:val="19"/>
          <w:szCs w:val="19"/>
          <w:color w:val="auto"/>
        </w:rPr>
        <w:t>in the case where there is no employment agreement, consulting agreement, change in control agreement or similar agreement or plan in effect between Incyte and you on the date specified in the award notice (or where there is such an agreement or plan but it does not define “constructive termination” (or words of like import)): (A) the assignment to you of any duties fundamentally inconsistent with your position, authority, duties or responsibilities as in effect immediately prior to a Change in Control (or any other action by the Employer that results in a fundamental diminishment in such position, authority, duties or responsibilities as in effect immediately prior to a Change in Control), provided that neither a mere change in title alone nor reassignment to a position that is substantially similar to the position held prior to the Change in Control shall constitute fundamental diminishment; (B) the Employer requiring you to be based at any office or location more than 50 miles from the office or location where you are based immediately prior to the Change in Control; or (C) any reduction in your annual base salary or target bonus opportunity (if any) from that which exists immediately prior to a Change in Control;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187325</wp:posOffset>
            </wp:positionV>
            <wp:extent cx="5548630"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1">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294" w:right="1440" w:bottom="1440" w:gutter="0" w:footer="0" w:header="0"/>
        </w:sectPr>
      </w:pPr>
    </w:p>
    <w:bookmarkStart w:id="93" w:name="page94"/>
    <w:bookmarkEnd w:id="93"/>
    <w:tbl>
      <w:tblPr>
        <w:tblLayout w:type="fixed"/>
        <w:tblInd w:w="140" w:type="dxa"/>
        <w:tblCellMar>
          <w:top w:w="0" w:type="dxa"/>
          <w:left w:w="0" w:type="dxa"/>
          <w:bottom w:w="0" w:type="dxa"/>
          <w:right w:w="0" w:type="dxa"/>
        </w:tblCellMar>
      </w:tblPr>
      <w:tr>
        <w:trPr>
          <w:trHeight w:val="253"/>
        </w:trPr>
        <w:tc>
          <w:tcPr>
            <w:tcW w:w="2520" w:type="dxa"/>
            <w:vAlign w:val="bottom"/>
          </w:tcPr>
          <w:p>
            <w:pPr>
              <w:spacing w:after="0"/>
              <w:rPr>
                <w:sz w:val="21"/>
                <w:szCs w:val="21"/>
                <w:color w:val="auto"/>
              </w:rPr>
            </w:pPr>
          </w:p>
        </w:tc>
        <w:tc>
          <w:tcPr>
            <w:tcW w:w="6220" w:type="dxa"/>
            <w:vAlign w:val="bottom"/>
          </w:tcPr>
          <w:p>
            <w:pPr>
              <w:ind w:left="200"/>
              <w:spacing w:after="0"/>
              <w:rPr>
                <w:sz w:val="20"/>
                <w:szCs w:val="20"/>
                <w:color w:val="auto"/>
              </w:rPr>
            </w:pPr>
            <w:r>
              <w:rPr>
                <w:rFonts w:ascii="Arial" w:cs="Arial" w:eastAsia="Arial" w:hAnsi="Arial"/>
                <w:sz w:val="22"/>
                <w:szCs w:val="22"/>
                <w:color w:val="auto"/>
                <w:w w:val="90"/>
              </w:rPr>
              <w:t>(ii) in the case where there is an employment agreement, consulting</w:t>
            </w:r>
          </w:p>
        </w:tc>
      </w:tr>
      <w:tr>
        <w:trPr>
          <w:trHeight w:val="216"/>
        </w:trPr>
        <w:tc>
          <w:tcPr>
            <w:tcW w:w="2520" w:type="dxa"/>
            <w:vAlign w:val="bottom"/>
          </w:tcPr>
          <w:p>
            <w:pPr>
              <w:spacing w:after="0"/>
              <w:rPr>
                <w:sz w:val="18"/>
                <w:szCs w:val="18"/>
                <w:color w:val="auto"/>
              </w:rPr>
            </w:pPr>
          </w:p>
        </w:tc>
        <w:tc>
          <w:tcPr>
            <w:tcW w:w="6220" w:type="dxa"/>
            <w:vAlign w:val="bottom"/>
          </w:tcPr>
          <w:p>
            <w:pPr>
              <w:ind w:left="200"/>
              <w:spacing w:after="0" w:line="217" w:lineRule="exact"/>
              <w:rPr>
                <w:sz w:val="20"/>
                <w:szCs w:val="20"/>
                <w:color w:val="auto"/>
              </w:rPr>
            </w:pPr>
            <w:r>
              <w:rPr>
                <w:rFonts w:ascii="Arial" w:cs="Arial" w:eastAsia="Arial" w:hAnsi="Arial"/>
                <w:sz w:val="22"/>
                <w:szCs w:val="22"/>
                <w:color w:val="auto"/>
                <w:w w:val="95"/>
              </w:rPr>
              <w:t>agreement, change in control agreement or similar agreement or</w:t>
            </w:r>
          </w:p>
        </w:tc>
      </w:tr>
      <w:tr>
        <w:trPr>
          <w:trHeight w:val="216"/>
        </w:trPr>
        <w:tc>
          <w:tcPr>
            <w:tcW w:w="2520" w:type="dxa"/>
            <w:vAlign w:val="bottom"/>
          </w:tcPr>
          <w:p>
            <w:pPr>
              <w:spacing w:after="0"/>
              <w:rPr>
                <w:sz w:val="18"/>
                <w:szCs w:val="18"/>
                <w:color w:val="auto"/>
              </w:rPr>
            </w:pPr>
          </w:p>
        </w:tc>
        <w:tc>
          <w:tcPr>
            <w:tcW w:w="6220" w:type="dxa"/>
            <w:vAlign w:val="bottom"/>
          </w:tcPr>
          <w:p>
            <w:pPr>
              <w:ind w:left="200"/>
              <w:spacing w:after="0" w:line="217" w:lineRule="exact"/>
              <w:rPr>
                <w:sz w:val="20"/>
                <w:szCs w:val="20"/>
                <w:color w:val="auto"/>
              </w:rPr>
            </w:pPr>
            <w:r>
              <w:rPr>
                <w:rFonts w:ascii="Arial" w:cs="Arial" w:eastAsia="Arial" w:hAnsi="Arial"/>
                <w:sz w:val="22"/>
                <w:szCs w:val="22"/>
                <w:color w:val="auto"/>
                <w:w w:val="94"/>
              </w:rPr>
              <w:t>plan in effect between Incyte and you on the date specified in the</w:t>
            </w:r>
          </w:p>
        </w:tc>
      </w:tr>
      <w:tr>
        <w:trPr>
          <w:trHeight w:val="216"/>
        </w:trPr>
        <w:tc>
          <w:tcPr>
            <w:tcW w:w="2520" w:type="dxa"/>
            <w:vAlign w:val="bottom"/>
          </w:tcPr>
          <w:p>
            <w:pPr>
              <w:spacing w:after="0"/>
              <w:rPr>
                <w:sz w:val="18"/>
                <w:szCs w:val="18"/>
                <w:color w:val="auto"/>
              </w:rPr>
            </w:pPr>
          </w:p>
        </w:tc>
        <w:tc>
          <w:tcPr>
            <w:tcW w:w="6220" w:type="dxa"/>
            <w:vAlign w:val="bottom"/>
          </w:tcPr>
          <w:p>
            <w:pPr>
              <w:ind w:left="200"/>
              <w:spacing w:after="0" w:line="217" w:lineRule="exact"/>
              <w:rPr>
                <w:sz w:val="20"/>
                <w:szCs w:val="20"/>
                <w:color w:val="auto"/>
              </w:rPr>
            </w:pPr>
            <w:r>
              <w:rPr>
                <w:rFonts w:ascii="Arial" w:cs="Arial" w:eastAsia="Arial" w:hAnsi="Arial"/>
                <w:sz w:val="22"/>
                <w:szCs w:val="22"/>
                <w:color w:val="auto"/>
                <w:w w:val="96"/>
              </w:rPr>
              <w:t>award notice that defines “constructive termination” (or words of</w:t>
            </w:r>
          </w:p>
        </w:tc>
      </w:tr>
      <w:tr>
        <w:trPr>
          <w:trHeight w:val="275"/>
        </w:trPr>
        <w:tc>
          <w:tcPr>
            <w:tcW w:w="2520" w:type="dxa"/>
            <w:vAlign w:val="bottom"/>
          </w:tcPr>
          <w:p>
            <w:pPr>
              <w:spacing w:after="0"/>
              <w:rPr>
                <w:sz w:val="23"/>
                <w:szCs w:val="23"/>
                <w:color w:val="auto"/>
              </w:rPr>
            </w:pPr>
          </w:p>
        </w:tc>
        <w:tc>
          <w:tcPr>
            <w:tcW w:w="6220" w:type="dxa"/>
            <w:vAlign w:val="bottom"/>
          </w:tcPr>
          <w:p>
            <w:pPr>
              <w:ind w:left="200"/>
              <w:spacing w:after="0"/>
              <w:rPr>
                <w:sz w:val="20"/>
                <w:szCs w:val="20"/>
                <w:color w:val="auto"/>
              </w:rPr>
            </w:pPr>
            <w:r>
              <w:rPr>
                <w:rFonts w:ascii="Arial" w:cs="Arial" w:eastAsia="Arial" w:hAnsi="Arial"/>
                <w:sz w:val="22"/>
                <w:szCs w:val="22"/>
                <w:color w:val="auto"/>
              </w:rPr>
              <w:t>like import), as defined under such agreement or plan.</w:t>
            </w:r>
          </w:p>
        </w:tc>
      </w:tr>
      <w:tr>
        <w:trPr>
          <w:trHeight w:val="374"/>
        </w:trPr>
        <w:tc>
          <w:tcPr>
            <w:tcW w:w="2520" w:type="dxa"/>
            <w:vAlign w:val="bottom"/>
          </w:tcPr>
          <w:p>
            <w:pPr>
              <w:ind w:left="120"/>
              <w:spacing w:after="0"/>
              <w:rPr>
                <w:sz w:val="20"/>
                <w:szCs w:val="20"/>
                <w:color w:val="auto"/>
              </w:rPr>
            </w:pPr>
            <w:r>
              <w:rPr>
                <w:rFonts w:ascii="Arial" w:cs="Arial" w:eastAsia="Arial" w:hAnsi="Arial"/>
                <w:sz w:val="22"/>
                <w:szCs w:val="22"/>
                <w:b w:val="1"/>
                <w:bCs w:val="1"/>
                <w:color w:val="auto"/>
                <w:w w:val="98"/>
              </w:rPr>
              <w:t>Award Nontransferable</w:t>
            </w:r>
          </w:p>
        </w:tc>
        <w:tc>
          <w:tcPr>
            <w:tcW w:w="6220" w:type="dxa"/>
            <w:vAlign w:val="bottom"/>
          </w:tcPr>
          <w:p>
            <w:pPr>
              <w:ind w:left="200"/>
              <w:spacing w:after="0"/>
              <w:rPr>
                <w:sz w:val="20"/>
                <w:szCs w:val="20"/>
                <w:color w:val="auto"/>
              </w:rPr>
            </w:pPr>
            <w:r>
              <w:rPr>
                <w:rFonts w:ascii="Arial" w:cs="Arial" w:eastAsia="Arial" w:hAnsi="Arial"/>
                <w:sz w:val="22"/>
                <w:szCs w:val="22"/>
                <w:color w:val="auto"/>
                <w:w w:val="94"/>
              </w:rPr>
              <w:t>You may not sell, transfer, assign, pledge or otherwise dispose of</w:t>
            </w:r>
          </w:p>
        </w:tc>
      </w:tr>
      <w:tr>
        <w:trPr>
          <w:trHeight w:val="216"/>
        </w:trPr>
        <w:tc>
          <w:tcPr>
            <w:tcW w:w="2520" w:type="dxa"/>
            <w:vAlign w:val="bottom"/>
          </w:tcPr>
          <w:p>
            <w:pPr>
              <w:spacing w:after="0"/>
              <w:rPr>
                <w:sz w:val="18"/>
                <w:szCs w:val="18"/>
                <w:color w:val="auto"/>
              </w:rPr>
            </w:pPr>
          </w:p>
        </w:tc>
        <w:tc>
          <w:tcPr>
            <w:tcW w:w="6220" w:type="dxa"/>
            <w:vAlign w:val="bottom"/>
          </w:tcPr>
          <w:p>
            <w:pPr>
              <w:ind w:left="200"/>
              <w:spacing w:after="0" w:line="217" w:lineRule="exact"/>
              <w:rPr>
                <w:sz w:val="20"/>
                <w:szCs w:val="20"/>
                <w:color w:val="auto"/>
              </w:rPr>
            </w:pPr>
            <w:r>
              <w:rPr>
                <w:rFonts w:ascii="Arial" w:cs="Arial" w:eastAsia="Arial" w:hAnsi="Arial"/>
                <w:sz w:val="22"/>
                <w:szCs w:val="22"/>
                <w:color w:val="auto"/>
                <w:w w:val="96"/>
              </w:rPr>
              <w:t>any of your Performance Shares. For instance, you may not use</w:t>
            </w:r>
          </w:p>
        </w:tc>
      </w:tr>
      <w:tr>
        <w:trPr>
          <w:trHeight w:val="216"/>
        </w:trPr>
        <w:tc>
          <w:tcPr>
            <w:tcW w:w="2520" w:type="dxa"/>
            <w:vAlign w:val="bottom"/>
          </w:tcPr>
          <w:p>
            <w:pPr>
              <w:spacing w:after="0"/>
              <w:rPr>
                <w:sz w:val="18"/>
                <w:szCs w:val="18"/>
                <w:color w:val="auto"/>
              </w:rPr>
            </w:pPr>
          </w:p>
        </w:tc>
        <w:tc>
          <w:tcPr>
            <w:tcW w:w="6220" w:type="dxa"/>
            <w:vAlign w:val="bottom"/>
          </w:tcPr>
          <w:p>
            <w:pPr>
              <w:ind w:left="200"/>
              <w:spacing w:after="0" w:line="217" w:lineRule="exact"/>
              <w:rPr>
                <w:sz w:val="20"/>
                <w:szCs w:val="20"/>
                <w:color w:val="auto"/>
              </w:rPr>
            </w:pPr>
            <w:r>
              <w:rPr>
                <w:rFonts w:ascii="Arial" w:cs="Arial" w:eastAsia="Arial" w:hAnsi="Arial"/>
                <w:sz w:val="22"/>
                <w:szCs w:val="22"/>
                <w:color w:val="auto"/>
                <w:w w:val="90"/>
              </w:rPr>
              <w:t>your Performance Shares as security for a loan. If you attempt to do</w:t>
            </w:r>
          </w:p>
        </w:tc>
      </w:tr>
      <w:tr>
        <w:trPr>
          <w:trHeight w:val="216"/>
        </w:trPr>
        <w:tc>
          <w:tcPr>
            <w:tcW w:w="2520" w:type="dxa"/>
            <w:vAlign w:val="bottom"/>
          </w:tcPr>
          <w:p>
            <w:pPr>
              <w:spacing w:after="0"/>
              <w:rPr>
                <w:sz w:val="18"/>
                <w:szCs w:val="18"/>
                <w:color w:val="auto"/>
              </w:rPr>
            </w:pPr>
          </w:p>
        </w:tc>
        <w:tc>
          <w:tcPr>
            <w:tcW w:w="6220" w:type="dxa"/>
            <w:vAlign w:val="bottom"/>
          </w:tcPr>
          <w:p>
            <w:pPr>
              <w:ind w:left="200"/>
              <w:spacing w:after="0" w:line="217" w:lineRule="exact"/>
              <w:rPr>
                <w:sz w:val="20"/>
                <w:szCs w:val="20"/>
                <w:color w:val="auto"/>
              </w:rPr>
            </w:pPr>
            <w:r>
              <w:rPr>
                <w:rFonts w:ascii="Arial" w:cs="Arial" w:eastAsia="Arial" w:hAnsi="Arial"/>
                <w:sz w:val="22"/>
                <w:szCs w:val="22"/>
                <w:color w:val="auto"/>
                <w:w w:val="98"/>
              </w:rPr>
              <w:t>any of these things, your Performance Shares will immediately</w:t>
            </w:r>
          </w:p>
        </w:tc>
      </w:tr>
      <w:tr>
        <w:trPr>
          <w:trHeight w:val="216"/>
        </w:trPr>
        <w:tc>
          <w:tcPr>
            <w:tcW w:w="2520" w:type="dxa"/>
            <w:vAlign w:val="bottom"/>
          </w:tcPr>
          <w:p>
            <w:pPr>
              <w:spacing w:after="0"/>
              <w:rPr>
                <w:sz w:val="18"/>
                <w:szCs w:val="18"/>
                <w:color w:val="auto"/>
              </w:rPr>
            </w:pPr>
          </w:p>
        </w:tc>
        <w:tc>
          <w:tcPr>
            <w:tcW w:w="6220" w:type="dxa"/>
            <w:vAlign w:val="bottom"/>
          </w:tcPr>
          <w:p>
            <w:pPr>
              <w:ind w:left="200"/>
              <w:spacing w:after="0" w:line="217" w:lineRule="exact"/>
              <w:rPr>
                <w:sz w:val="20"/>
                <w:szCs w:val="20"/>
                <w:color w:val="auto"/>
              </w:rPr>
            </w:pPr>
            <w:r>
              <w:rPr>
                <w:rFonts w:ascii="Arial" w:cs="Arial" w:eastAsia="Arial" w:hAnsi="Arial"/>
                <w:sz w:val="22"/>
                <w:szCs w:val="22"/>
                <w:color w:val="auto"/>
                <w:w w:val="99"/>
              </w:rPr>
              <w:t>become invalid. You may, however, dispose of any vested but</w:t>
            </w:r>
          </w:p>
        </w:tc>
      </w:tr>
      <w:tr>
        <w:trPr>
          <w:trHeight w:val="275"/>
        </w:trPr>
        <w:tc>
          <w:tcPr>
            <w:tcW w:w="2520" w:type="dxa"/>
            <w:vAlign w:val="bottom"/>
          </w:tcPr>
          <w:p>
            <w:pPr>
              <w:spacing w:after="0"/>
              <w:rPr>
                <w:sz w:val="23"/>
                <w:szCs w:val="23"/>
                <w:color w:val="auto"/>
              </w:rPr>
            </w:pPr>
          </w:p>
        </w:tc>
        <w:tc>
          <w:tcPr>
            <w:tcW w:w="6220" w:type="dxa"/>
            <w:vAlign w:val="bottom"/>
          </w:tcPr>
          <w:p>
            <w:pPr>
              <w:ind w:left="200"/>
              <w:spacing w:after="0"/>
              <w:rPr>
                <w:sz w:val="20"/>
                <w:szCs w:val="20"/>
                <w:color w:val="auto"/>
              </w:rPr>
            </w:pPr>
            <w:r>
              <w:rPr>
                <w:rFonts w:ascii="Arial" w:cs="Arial" w:eastAsia="Arial" w:hAnsi="Arial"/>
                <w:sz w:val="22"/>
                <w:szCs w:val="22"/>
                <w:color w:val="auto"/>
              </w:rPr>
              <w:t>unsettled Performance Shares in your will.</w:t>
            </w:r>
          </w:p>
        </w:tc>
      </w:tr>
      <w:tr>
        <w:trPr>
          <w:trHeight w:val="374"/>
        </w:trPr>
        <w:tc>
          <w:tcPr>
            <w:tcW w:w="2520" w:type="dxa"/>
            <w:vAlign w:val="bottom"/>
          </w:tcPr>
          <w:p>
            <w:pPr>
              <w:spacing w:after="0"/>
              <w:rPr>
                <w:sz w:val="24"/>
                <w:szCs w:val="24"/>
                <w:color w:val="auto"/>
              </w:rPr>
            </w:pPr>
          </w:p>
        </w:tc>
        <w:tc>
          <w:tcPr>
            <w:tcW w:w="6220" w:type="dxa"/>
            <w:vAlign w:val="bottom"/>
          </w:tcPr>
          <w:p>
            <w:pPr>
              <w:ind w:left="200"/>
              <w:spacing w:after="0"/>
              <w:rPr>
                <w:sz w:val="20"/>
                <w:szCs w:val="20"/>
                <w:color w:val="auto"/>
              </w:rPr>
            </w:pPr>
            <w:r>
              <w:rPr>
                <w:rFonts w:ascii="Arial" w:cs="Arial" w:eastAsia="Arial" w:hAnsi="Arial"/>
                <w:sz w:val="22"/>
                <w:szCs w:val="22"/>
                <w:color w:val="auto"/>
                <w:w w:val="92"/>
              </w:rPr>
              <w:t>Regardless of any marital property settlement agreement, Incyte is</w:t>
            </w:r>
          </w:p>
        </w:tc>
      </w:tr>
      <w:tr>
        <w:trPr>
          <w:trHeight w:val="216"/>
        </w:trPr>
        <w:tc>
          <w:tcPr>
            <w:tcW w:w="2520" w:type="dxa"/>
            <w:vAlign w:val="bottom"/>
          </w:tcPr>
          <w:p>
            <w:pPr>
              <w:spacing w:after="0"/>
              <w:rPr>
                <w:sz w:val="18"/>
                <w:szCs w:val="18"/>
                <w:color w:val="auto"/>
              </w:rPr>
            </w:pPr>
          </w:p>
        </w:tc>
        <w:tc>
          <w:tcPr>
            <w:tcW w:w="6220" w:type="dxa"/>
            <w:vAlign w:val="bottom"/>
          </w:tcPr>
          <w:p>
            <w:pPr>
              <w:ind w:left="200"/>
              <w:spacing w:after="0" w:line="217" w:lineRule="exact"/>
              <w:rPr>
                <w:sz w:val="20"/>
                <w:szCs w:val="20"/>
                <w:color w:val="auto"/>
              </w:rPr>
            </w:pPr>
            <w:r>
              <w:rPr>
                <w:rFonts w:ascii="Arial" w:cs="Arial" w:eastAsia="Arial" w:hAnsi="Arial"/>
                <w:sz w:val="22"/>
                <w:szCs w:val="22"/>
                <w:color w:val="auto"/>
                <w:w w:val="97"/>
              </w:rPr>
              <w:t>not obligated to recognize your former spouse’s interest in your</w:t>
            </w:r>
          </w:p>
        </w:tc>
      </w:tr>
      <w:tr>
        <w:trPr>
          <w:trHeight w:val="275"/>
        </w:trPr>
        <w:tc>
          <w:tcPr>
            <w:tcW w:w="2520" w:type="dxa"/>
            <w:vAlign w:val="bottom"/>
          </w:tcPr>
          <w:p>
            <w:pPr>
              <w:spacing w:after="0"/>
              <w:rPr>
                <w:sz w:val="23"/>
                <w:szCs w:val="23"/>
                <w:color w:val="auto"/>
              </w:rPr>
            </w:pPr>
          </w:p>
        </w:tc>
        <w:tc>
          <w:tcPr>
            <w:tcW w:w="6220" w:type="dxa"/>
            <w:vAlign w:val="bottom"/>
          </w:tcPr>
          <w:p>
            <w:pPr>
              <w:ind w:left="200"/>
              <w:spacing w:after="0"/>
              <w:rPr>
                <w:sz w:val="20"/>
                <w:szCs w:val="20"/>
                <w:color w:val="auto"/>
              </w:rPr>
            </w:pPr>
            <w:r>
              <w:rPr>
                <w:rFonts w:ascii="Arial" w:cs="Arial" w:eastAsia="Arial" w:hAnsi="Arial"/>
                <w:sz w:val="22"/>
                <w:szCs w:val="22"/>
                <w:color w:val="auto"/>
              </w:rPr>
              <w:t>Performance Shares in any way.</w:t>
            </w:r>
          </w:p>
        </w:tc>
      </w:tr>
      <w:tr>
        <w:trPr>
          <w:trHeight w:val="374"/>
        </w:trPr>
        <w:tc>
          <w:tcPr>
            <w:tcW w:w="2520" w:type="dxa"/>
            <w:vAlign w:val="bottom"/>
          </w:tcPr>
          <w:p>
            <w:pPr>
              <w:ind w:left="120"/>
              <w:spacing w:after="0"/>
              <w:rPr>
                <w:sz w:val="20"/>
                <w:szCs w:val="20"/>
                <w:color w:val="auto"/>
              </w:rPr>
            </w:pPr>
            <w:r>
              <w:rPr>
                <w:rFonts w:ascii="Arial" w:cs="Arial" w:eastAsia="Arial" w:hAnsi="Arial"/>
                <w:sz w:val="22"/>
                <w:szCs w:val="22"/>
                <w:b w:val="1"/>
                <w:bCs w:val="1"/>
                <w:color w:val="auto"/>
                <w:w w:val="94"/>
              </w:rPr>
              <w:t>Beneficiary Designation</w:t>
            </w:r>
          </w:p>
        </w:tc>
        <w:tc>
          <w:tcPr>
            <w:tcW w:w="6220" w:type="dxa"/>
            <w:vAlign w:val="bottom"/>
          </w:tcPr>
          <w:p>
            <w:pPr>
              <w:ind w:left="200"/>
              <w:spacing w:after="0"/>
              <w:rPr>
                <w:sz w:val="20"/>
                <w:szCs w:val="20"/>
                <w:color w:val="auto"/>
              </w:rPr>
            </w:pPr>
            <w:r>
              <w:rPr>
                <w:rFonts w:ascii="Arial" w:cs="Arial" w:eastAsia="Arial" w:hAnsi="Arial"/>
                <w:sz w:val="22"/>
                <w:szCs w:val="22"/>
                <w:color w:val="auto"/>
              </w:rPr>
              <w:t>You may designate a beneficiary in writing to receive your</w:t>
            </w:r>
          </w:p>
        </w:tc>
      </w:tr>
      <w:tr>
        <w:trPr>
          <w:trHeight w:val="216"/>
        </w:trPr>
        <w:tc>
          <w:tcPr>
            <w:tcW w:w="2520" w:type="dxa"/>
            <w:vAlign w:val="bottom"/>
          </w:tcPr>
          <w:p>
            <w:pPr>
              <w:spacing w:after="0"/>
              <w:rPr>
                <w:sz w:val="18"/>
                <w:szCs w:val="18"/>
                <w:color w:val="auto"/>
              </w:rPr>
            </w:pPr>
          </w:p>
        </w:tc>
        <w:tc>
          <w:tcPr>
            <w:tcW w:w="6220" w:type="dxa"/>
            <w:vAlign w:val="bottom"/>
          </w:tcPr>
          <w:p>
            <w:pPr>
              <w:ind w:left="200"/>
              <w:spacing w:after="0" w:line="217" w:lineRule="exact"/>
              <w:rPr>
                <w:sz w:val="20"/>
                <w:szCs w:val="20"/>
                <w:color w:val="auto"/>
              </w:rPr>
            </w:pPr>
            <w:r>
              <w:rPr>
                <w:rFonts w:ascii="Arial" w:cs="Arial" w:eastAsia="Arial" w:hAnsi="Arial"/>
                <w:sz w:val="22"/>
                <w:szCs w:val="22"/>
                <w:color w:val="auto"/>
              </w:rPr>
              <w:t>Performance Shares in the event you die after the end of the</w:t>
            </w:r>
          </w:p>
        </w:tc>
      </w:tr>
      <w:tr>
        <w:trPr>
          <w:trHeight w:val="216"/>
        </w:trPr>
        <w:tc>
          <w:tcPr>
            <w:tcW w:w="2520" w:type="dxa"/>
            <w:vAlign w:val="bottom"/>
          </w:tcPr>
          <w:p>
            <w:pPr>
              <w:spacing w:after="0"/>
              <w:rPr>
                <w:sz w:val="18"/>
                <w:szCs w:val="18"/>
                <w:color w:val="auto"/>
              </w:rPr>
            </w:pPr>
          </w:p>
        </w:tc>
        <w:tc>
          <w:tcPr>
            <w:tcW w:w="6220" w:type="dxa"/>
            <w:vAlign w:val="bottom"/>
          </w:tcPr>
          <w:p>
            <w:pPr>
              <w:ind w:left="200"/>
              <w:spacing w:after="0" w:line="217" w:lineRule="exact"/>
              <w:rPr>
                <w:sz w:val="20"/>
                <w:szCs w:val="20"/>
                <w:color w:val="auto"/>
              </w:rPr>
            </w:pPr>
            <w:r>
              <w:rPr>
                <w:rFonts w:ascii="Arial" w:cs="Arial" w:eastAsia="Arial" w:hAnsi="Arial"/>
                <w:sz w:val="22"/>
                <w:szCs w:val="22"/>
                <w:color w:val="auto"/>
                <w:w w:val="98"/>
              </w:rPr>
              <w:t>Performance Period and before settlement of the Performance</w:t>
            </w:r>
          </w:p>
        </w:tc>
      </w:tr>
      <w:tr>
        <w:trPr>
          <w:trHeight w:val="216"/>
        </w:trPr>
        <w:tc>
          <w:tcPr>
            <w:tcW w:w="2520" w:type="dxa"/>
            <w:vAlign w:val="bottom"/>
          </w:tcPr>
          <w:p>
            <w:pPr>
              <w:spacing w:after="0"/>
              <w:rPr>
                <w:sz w:val="18"/>
                <w:szCs w:val="18"/>
                <w:color w:val="auto"/>
              </w:rPr>
            </w:pPr>
          </w:p>
        </w:tc>
        <w:tc>
          <w:tcPr>
            <w:tcW w:w="6220" w:type="dxa"/>
            <w:vAlign w:val="bottom"/>
          </w:tcPr>
          <w:p>
            <w:pPr>
              <w:ind w:left="200"/>
              <w:spacing w:after="0" w:line="217" w:lineRule="exact"/>
              <w:rPr>
                <w:sz w:val="20"/>
                <w:szCs w:val="20"/>
                <w:color w:val="auto"/>
              </w:rPr>
            </w:pPr>
            <w:r>
              <w:rPr>
                <w:rFonts w:ascii="Arial" w:cs="Arial" w:eastAsia="Arial" w:hAnsi="Arial"/>
                <w:sz w:val="22"/>
                <w:szCs w:val="22"/>
                <w:color w:val="auto"/>
                <w:w w:val="94"/>
              </w:rPr>
              <w:t>Shares. A beneficiary designation must be filed with Incyte on the</w:t>
            </w:r>
          </w:p>
        </w:tc>
      </w:tr>
      <w:tr>
        <w:trPr>
          <w:trHeight w:val="216"/>
        </w:trPr>
        <w:tc>
          <w:tcPr>
            <w:tcW w:w="2520" w:type="dxa"/>
            <w:vAlign w:val="bottom"/>
          </w:tcPr>
          <w:p>
            <w:pPr>
              <w:spacing w:after="0"/>
              <w:rPr>
                <w:sz w:val="18"/>
                <w:szCs w:val="18"/>
                <w:color w:val="auto"/>
              </w:rPr>
            </w:pPr>
          </w:p>
        </w:tc>
        <w:tc>
          <w:tcPr>
            <w:tcW w:w="6220" w:type="dxa"/>
            <w:vAlign w:val="bottom"/>
          </w:tcPr>
          <w:p>
            <w:pPr>
              <w:ind w:left="200"/>
              <w:spacing w:after="0" w:line="217" w:lineRule="exact"/>
              <w:rPr>
                <w:sz w:val="20"/>
                <w:szCs w:val="20"/>
                <w:color w:val="auto"/>
              </w:rPr>
            </w:pPr>
            <w:r>
              <w:rPr>
                <w:rFonts w:ascii="Arial" w:cs="Arial" w:eastAsia="Arial" w:hAnsi="Arial"/>
                <w:sz w:val="22"/>
                <w:szCs w:val="22"/>
                <w:color w:val="auto"/>
                <w:w w:val="92"/>
              </w:rPr>
              <w:t>proper form, and it will be recognized only if it has been received at</w:t>
            </w:r>
          </w:p>
        </w:tc>
      </w:tr>
      <w:tr>
        <w:trPr>
          <w:trHeight w:val="216"/>
        </w:trPr>
        <w:tc>
          <w:tcPr>
            <w:tcW w:w="2520" w:type="dxa"/>
            <w:vAlign w:val="bottom"/>
          </w:tcPr>
          <w:p>
            <w:pPr>
              <w:spacing w:after="0"/>
              <w:rPr>
                <w:sz w:val="18"/>
                <w:szCs w:val="18"/>
                <w:color w:val="auto"/>
              </w:rPr>
            </w:pPr>
          </w:p>
        </w:tc>
        <w:tc>
          <w:tcPr>
            <w:tcW w:w="6220" w:type="dxa"/>
            <w:vAlign w:val="bottom"/>
          </w:tcPr>
          <w:p>
            <w:pPr>
              <w:ind w:left="200"/>
              <w:spacing w:after="0" w:line="217" w:lineRule="exact"/>
              <w:rPr>
                <w:sz w:val="20"/>
                <w:szCs w:val="20"/>
                <w:color w:val="auto"/>
              </w:rPr>
            </w:pPr>
            <w:r>
              <w:rPr>
                <w:rFonts w:ascii="Arial" w:cs="Arial" w:eastAsia="Arial" w:hAnsi="Arial"/>
                <w:sz w:val="22"/>
                <w:szCs w:val="22"/>
                <w:color w:val="auto"/>
                <w:w w:val="94"/>
              </w:rPr>
              <w:t>Incyte’s headquarters before your death. If you file no beneficiary</w:t>
            </w:r>
          </w:p>
        </w:tc>
      </w:tr>
      <w:tr>
        <w:trPr>
          <w:trHeight w:val="216"/>
        </w:trPr>
        <w:tc>
          <w:tcPr>
            <w:tcW w:w="2520" w:type="dxa"/>
            <w:vAlign w:val="bottom"/>
          </w:tcPr>
          <w:p>
            <w:pPr>
              <w:spacing w:after="0"/>
              <w:rPr>
                <w:sz w:val="18"/>
                <w:szCs w:val="18"/>
                <w:color w:val="auto"/>
              </w:rPr>
            </w:pPr>
          </w:p>
        </w:tc>
        <w:tc>
          <w:tcPr>
            <w:tcW w:w="6220" w:type="dxa"/>
            <w:vAlign w:val="bottom"/>
          </w:tcPr>
          <w:p>
            <w:pPr>
              <w:ind w:left="200"/>
              <w:spacing w:after="0" w:line="217" w:lineRule="exact"/>
              <w:rPr>
                <w:sz w:val="20"/>
                <w:szCs w:val="20"/>
                <w:color w:val="auto"/>
              </w:rPr>
            </w:pPr>
            <w:r>
              <w:rPr>
                <w:rFonts w:ascii="Arial" w:cs="Arial" w:eastAsia="Arial" w:hAnsi="Arial"/>
                <w:sz w:val="22"/>
                <w:szCs w:val="22"/>
                <w:color w:val="auto"/>
                <w:w w:val="97"/>
              </w:rPr>
              <w:t>designation or if none of your designated beneficiaries survives</w:t>
            </w:r>
          </w:p>
        </w:tc>
      </w:tr>
      <w:tr>
        <w:trPr>
          <w:trHeight w:val="216"/>
        </w:trPr>
        <w:tc>
          <w:tcPr>
            <w:tcW w:w="2520" w:type="dxa"/>
            <w:vAlign w:val="bottom"/>
          </w:tcPr>
          <w:p>
            <w:pPr>
              <w:spacing w:after="0"/>
              <w:rPr>
                <w:sz w:val="18"/>
                <w:szCs w:val="18"/>
                <w:color w:val="auto"/>
              </w:rPr>
            </w:pPr>
          </w:p>
        </w:tc>
        <w:tc>
          <w:tcPr>
            <w:tcW w:w="6220" w:type="dxa"/>
            <w:vAlign w:val="bottom"/>
          </w:tcPr>
          <w:p>
            <w:pPr>
              <w:ind w:left="200"/>
              <w:spacing w:after="0" w:line="217" w:lineRule="exact"/>
              <w:rPr>
                <w:sz w:val="20"/>
                <w:szCs w:val="20"/>
                <w:color w:val="auto"/>
              </w:rPr>
            </w:pPr>
            <w:r>
              <w:rPr>
                <w:rFonts w:ascii="Arial" w:cs="Arial" w:eastAsia="Arial" w:hAnsi="Arial"/>
                <w:sz w:val="22"/>
                <w:szCs w:val="22"/>
                <w:color w:val="auto"/>
                <w:w w:val="96"/>
              </w:rPr>
              <w:t>you, then your estate will receive any settlement of Performance</w:t>
            </w:r>
          </w:p>
        </w:tc>
      </w:tr>
      <w:tr>
        <w:trPr>
          <w:trHeight w:val="275"/>
        </w:trPr>
        <w:tc>
          <w:tcPr>
            <w:tcW w:w="2520" w:type="dxa"/>
            <w:vAlign w:val="bottom"/>
          </w:tcPr>
          <w:p>
            <w:pPr>
              <w:spacing w:after="0"/>
              <w:rPr>
                <w:sz w:val="23"/>
                <w:szCs w:val="23"/>
                <w:color w:val="auto"/>
              </w:rPr>
            </w:pPr>
          </w:p>
        </w:tc>
        <w:tc>
          <w:tcPr>
            <w:tcW w:w="6220" w:type="dxa"/>
            <w:vAlign w:val="bottom"/>
          </w:tcPr>
          <w:p>
            <w:pPr>
              <w:ind w:left="200"/>
              <w:spacing w:after="0"/>
              <w:rPr>
                <w:sz w:val="20"/>
                <w:szCs w:val="20"/>
                <w:color w:val="auto"/>
              </w:rPr>
            </w:pPr>
            <w:r>
              <w:rPr>
                <w:rFonts w:ascii="Arial" w:cs="Arial" w:eastAsia="Arial" w:hAnsi="Arial"/>
                <w:sz w:val="22"/>
                <w:szCs w:val="22"/>
                <w:color w:val="auto"/>
              </w:rPr>
              <w:t>Shares that you are entitled to at the time of your death.</w:t>
            </w:r>
          </w:p>
        </w:tc>
      </w:tr>
      <w:tr>
        <w:trPr>
          <w:trHeight w:val="374"/>
        </w:trPr>
        <w:tc>
          <w:tcPr>
            <w:tcW w:w="2520" w:type="dxa"/>
            <w:vAlign w:val="bottom"/>
          </w:tcPr>
          <w:p>
            <w:pPr>
              <w:ind w:left="120"/>
              <w:spacing w:after="0"/>
              <w:rPr>
                <w:sz w:val="20"/>
                <w:szCs w:val="20"/>
                <w:color w:val="auto"/>
              </w:rPr>
            </w:pPr>
            <w:r>
              <w:rPr>
                <w:rFonts w:ascii="Arial" w:cs="Arial" w:eastAsia="Arial" w:hAnsi="Arial"/>
                <w:sz w:val="22"/>
                <w:szCs w:val="22"/>
                <w:b w:val="1"/>
                <w:bCs w:val="1"/>
                <w:color w:val="auto"/>
              </w:rPr>
              <w:t>Restrictions on Resale</w:t>
            </w:r>
          </w:p>
        </w:tc>
        <w:tc>
          <w:tcPr>
            <w:tcW w:w="6220" w:type="dxa"/>
            <w:vAlign w:val="bottom"/>
          </w:tcPr>
          <w:p>
            <w:pPr>
              <w:ind w:left="200"/>
              <w:spacing w:after="0"/>
              <w:rPr>
                <w:sz w:val="20"/>
                <w:szCs w:val="20"/>
                <w:color w:val="auto"/>
              </w:rPr>
            </w:pPr>
            <w:r>
              <w:rPr>
                <w:rFonts w:ascii="Arial" w:cs="Arial" w:eastAsia="Arial" w:hAnsi="Arial"/>
                <w:sz w:val="22"/>
                <w:szCs w:val="22"/>
                <w:color w:val="auto"/>
                <w:w w:val="93"/>
              </w:rPr>
              <w:t>By accepting the award notice, you agree not to sell any shares of</w:t>
            </w:r>
          </w:p>
        </w:tc>
      </w:tr>
      <w:tr>
        <w:trPr>
          <w:trHeight w:val="216"/>
        </w:trPr>
        <w:tc>
          <w:tcPr>
            <w:tcW w:w="2520" w:type="dxa"/>
            <w:vAlign w:val="bottom"/>
          </w:tcPr>
          <w:p>
            <w:pPr>
              <w:spacing w:after="0"/>
              <w:rPr>
                <w:sz w:val="18"/>
                <w:szCs w:val="18"/>
                <w:color w:val="auto"/>
              </w:rPr>
            </w:pPr>
          </w:p>
        </w:tc>
        <w:tc>
          <w:tcPr>
            <w:tcW w:w="6220" w:type="dxa"/>
            <w:vAlign w:val="bottom"/>
          </w:tcPr>
          <w:p>
            <w:pPr>
              <w:ind w:left="200"/>
              <w:spacing w:after="0" w:line="217" w:lineRule="exact"/>
              <w:rPr>
                <w:sz w:val="20"/>
                <w:szCs w:val="20"/>
                <w:color w:val="auto"/>
              </w:rPr>
            </w:pPr>
            <w:r>
              <w:rPr>
                <w:rFonts w:ascii="Arial" w:cs="Arial" w:eastAsia="Arial" w:hAnsi="Arial"/>
                <w:sz w:val="22"/>
                <w:szCs w:val="22"/>
                <w:color w:val="auto"/>
                <w:w w:val="94"/>
              </w:rPr>
              <w:t>Incyte common stock issued upon settlement of the Performance</w:t>
            </w:r>
          </w:p>
        </w:tc>
      </w:tr>
      <w:tr>
        <w:trPr>
          <w:trHeight w:val="216"/>
        </w:trPr>
        <w:tc>
          <w:tcPr>
            <w:tcW w:w="2520" w:type="dxa"/>
            <w:vAlign w:val="bottom"/>
          </w:tcPr>
          <w:p>
            <w:pPr>
              <w:spacing w:after="0"/>
              <w:rPr>
                <w:sz w:val="18"/>
                <w:szCs w:val="18"/>
                <w:color w:val="auto"/>
              </w:rPr>
            </w:pPr>
          </w:p>
        </w:tc>
        <w:tc>
          <w:tcPr>
            <w:tcW w:w="6220" w:type="dxa"/>
            <w:vAlign w:val="bottom"/>
          </w:tcPr>
          <w:p>
            <w:pPr>
              <w:ind w:left="200"/>
              <w:spacing w:after="0" w:line="217" w:lineRule="exact"/>
              <w:rPr>
                <w:sz w:val="20"/>
                <w:szCs w:val="20"/>
                <w:color w:val="auto"/>
              </w:rPr>
            </w:pPr>
            <w:r>
              <w:rPr>
                <w:rFonts w:ascii="Arial" w:cs="Arial" w:eastAsia="Arial" w:hAnsi="Arial"/>
                <w:sz w:val="22"/>
                <w:szCs w:val="22"/>
                <w:color w:val="auto"/>
                <w:w w:val="93"/>
              </w:rPr>
              <w:t>Shares at a time when applicable laws or Incyte policies prohibit a</w:t>
            </w:r>
          </w:p>
        </w:tc>
      </w:tr>
      <w:tr>
        <w:trPr>
          <w:trHeight w:val="216"/>
        </w:trPr>
        <w:tc>
          <w:tcPr>
            <w:tcW w:w="2520" w:type="dxa"/>
            <w:vAlign w:val="bottom"/>
          </w:tcPr>
          <w:p>
            <w:pPr>
              <w:spacing w:after="0"/>
              <w:rPr>
                <w:sz w:val="18"/>
                <w:szCs w:val="18"/>
                <w:color w:val="auto"/>
              </w:rPr>
            </w:pPr>
          </w:p>
        </w:tc>
        <w:tc>
          <w:tcPr>
            <w:tcW w:w="6220" w:type="dxa"/>
            <w:vAlign w:val="bottom"/>
          </w:tcPr>
          <w:p>
            <w:pPr>
              <w:ind w:left="200"/>
              <w:spacing w:after="0" w:line="217" w:lineRule="exact"/>
              <w:rPr>
                <w:sz w:val="20"/>
                <w:szCs w:val="20"/>
                <w:color w:val="auto"/>
              </w:rPr>
            </w:pPr>
            <w:r>
              <w:rPr>
                <w:rFonts w:ascii="Arial" w:cs="Arial" w:eastAsia="Arial" w:hAnsi="Arial"/>
                <w:sz w:val="22"/>
                <w:szCs w:val="22"/>
                <w:color w:val="auto"/>
                <w:w w:val="97"/>
              </w:rPr>
              <w:t>sale. This restriction will apply as long as you are an employee,</w:t>
            </w:r>
          </w:p>
        </w:tc>
      </w:tr>
      <w:tr>
        <w:trPr>
          <w:trHeight w:val="275"/>
        </w:trPr>
        <w:tc>
          <w:tcPr>
            <w:tcW w:w="2520" w:type="dxa"/>
            <w:vAlign w:val="bottom"/>
          </w:tcPr>
          <w:p>
            <w:pPr>
              <w:spacing w:after="0"/>
              <w:rPr>
                <w:sz w:val="23"/>
                <w:szCs w:val="23"/>
                <w:color w:val="auto"/>
              </w:rPr>
            </w:pPr>
          </w:p>
        </w:tc>
        <w:tc>
          <w:tcPr>
            <w:tcW w:w="6220" w:type="dxa"/>
            <w:vAlign w:val="bottom"/>
          </w:tcPr>
          <w:p>
            <w:pPr>
              <w:ind w:left="200"/>
              <w:spacing w:after="0"/>
              <w:rPr>
                <w:sz w:val="20"/>
                <w:szCs w:val="20"/>
                <w:color w:val="auto"/>
              </w:rPr>
            </w:pPr>
            <w:r>
              <w:rPr>
                <w:rFonts w:ascii="Arial" w:cs="Arial" w:eastAsia="Arial" w:hAnsi="Arial"/>
                <w:sz w:val="22"/>
                <w:szCs w:val="22"/>
                <w:color w:val="auto"/>
              </w:rPr>
              <w:t>director, consultant or advisor of Incyte (or any subsidiary).</w:t>
            </w:r>
          </w:p>
        </w:tc>
      </w:tr>
      <w:tr>
        <w:trPr>
          <w:trHeight w:val="374"/>
        </w:trPr>
        <w:tc>
          <w:tcPr>
            <w:tcW w:w="2520" w:type="dxa"/>
            <w:vAlign w:val="bottom"/>
          </w:tcPr>
          <w:p>
            <w:pPr>
              <w:ind w:left="120"/>
              <w:spacing w:after="0"/>
              <w:rPr>
                <w:sz w:val="20"/>
                <w:szCs w:val="20"/>
                <w:color w:val="auto"/>
              </w:rPr>
            </w:pPr>
            <w:r>
              <w:rPr>
                <w:rFonts w:ascii="Arial" w:cs="Arial" w:eastAsia="Arial" w:hAnsi="Arial"/>
                <w:sz w:val="22"/>
                <w:szCs w:val="22"/>
                <w:b w:val="1"/>
                <w:bCs w:val="1"/>
                <w:color w:val="auto"/>
              </w:rPr>
              <w:t>Retention Rights</w:t>
            </w:r>
          </w:p>
        </w:tc>
        <w:tc>
          <w:tcPr>
            <w:tcW w:w="6220" w:type="dxa"/>
            <w:vAlign w:val="bottom"/>
          </w:tcPr>
          <w:p>
            <w:pPr>
              <w:ind w:left="200"/>
              <w:spacing w:after="0"/>
              <w:rPr>
                <w:sz w:val="20"/>
                <w:szCs w:val="20"/>
                <w:color w:val="auto"/>
              </w:rPr>
            </w:pPr>
            <w:r>
              <w:rPr>
                <w:rFonts w:ascii="Arial" w:cs="Arial" w:eastAsia="Arial" w:hAnsi="Arial"/>
                <w:sz w:val="22"/>
                <w:szCs w:val="22"/>
                <w:color w:val="auto"/>
                <w:w w:val="97"/>
              </w:rPr>
              <w:t>Neither your award nor this Agreement gives you the right to be</w:t>
            </w:r>
          </w:p>
        </w:tc>
      </w:tr>
      <w:tr>
        <w:trPr>
          <w:trHeight w:val="216"/>
        </w:trPr>
        <w:tc>
          <w:tcPr>
            <w:tcW w:w="2520" w:type="dxa"/>
            <w:vAlign w:val="bottom"/>
          </w:tcPr>
          <w:p>
            <w:pPr>
              <w:spacing w:after="0"/>
              <w:rPr>
                <w:sz w:val="18"/>
                <w:szCs w:val="18"/>
                <w:color w:val="auto"/>
              </w:rPr>
            </w:pPr>
          </w:p>
        </w:tc>
        <w:tc>
          <w:tcPr>
            <w:tcW w:w="6220" w:type="dxa"/>
            <w:vAlign w:val="bottom"/>
          </w:tcPr>
          <w:p>
            <w:pPr>
              <w:ind w:left="200"/>
              <w:spacing w:after="0" w:line="217" w:lineRule="exact"/>
              <w:rPr>
                <w:sz w:val="20"/>
                <w:szCs w:val="20"/>
                <w:color w:val="auto"/>
              </w:rPr>
            </w:pPr>
            <w:r>
              <w:rPr>
                <w:rFonts w:ascii="Arial" w:cs="Arial" w:eastAsia="Arial" w:hAnsi="Arial"/>
                <w:sz w:val="22"/>
                <w:szCs w:val="22"/>
                <w:color w:val="auto"/>
                <w:w w:val="94"/>
              </w:rPr>
              <w:t>retained by Incyte (or any subsidiary) in any capacity. Incyte (and</w:t>
            </w:r>
          </w:p>
        </w:tc>
      </w:tr>
      <w:tr>
        <w:trPr>
          <w:trHeight w:val="216"/>
        </w:trPr>
        <w:tc>
          <w:tcPr>
            <w:tcW w:w="2520" w:type="dxa"/>
            <w:vAlign w:val="bottom"/>
          </w:tcPr>
          <w:p>
            <w:pPr>
              <w:spacing w:after="0"/>
              <w:rPr>
                <w:sz w:val="18"/>
                <w:szCs w:val="18"/>
                <w:color w:val="auto"/>
              </w:rPr>
            </w:pPr>
          </w:p>
        </w:tc>
        <w:tc>
          <w:tcPr>
            <w:tcW w:w="6220" w:type="dxa"/>
            <w:vAlign w:val="bottom"/>
          </w:tcPr>
          <w:p>
            <w:pPr>
              <w:ind w:left="200"/>
              <w:spacing w:after="0" w:line="217" w:lineRule="exact"/>
              <w:rPr>
                <w:sz w:val="20"/>
                <w:szCs w:val="20"/>
                <w:color w:val="auto"/>
              </w:rPr>
            </w:pPr>
            <w:r>
              <w:rPr>
                <w:rFonts w:ascii="Arial" w:cs="Arial" w:eastAsia="Arial" w:hAnsi="Arial"/>
                <w:sz w:val="22"/>
                <w:szCs w:val="22"/>
                <w:color w:val="auto"/>
                <w:w w:val="93"/>
              </w:rPr>
              <w:t>any subsidiaries) reserve the right to terminate your service at any</w:t>
            </w:r>
          </w:p>
        </w:tc>
      </w:tr>
      <w:tr>
        <w:trPr>
          <w:trHeight w:val="275"/>
        </w:trPr>
        <w:tc>
          <w:tcPr>
            <w:tcW w:w="2520" w:type="dxa"/>
            <w:vAlign w:val="bottom"/>
          </w:tcPr>
          <w:p>
            <w:pPr>
              <w:spacing w:after="0"/>
              <w:rPr>
                <w:sz w:val="23"/>
                <w:szCs w:val="23"/>
                <w:color w:val="auto"/>
              </w:rPr>
            </w:pPr>
          </w:p>
        </w:tc>
        <w:tc>
          <w:tcPr>
            <w:tcW w:w="6220" w:type="dxa"/>
            <w:vAlign w:val="bottom"/>
          </w:tcPr>
          <w:p>
            <w:pPr>
              <w:ind w:left="200"/>
              <w:spacing w:after="0"/>
              <w:rPr>
                <w:sz w:val="20"/>
                <w:szCs w:val="20"/>
                <w:color w:val="auto"/>
              </w:rPr>
            </w:pPr>
            <w:r>
              <w:rPr>
                <w:rFonts w:ascii="Arial" w:cs="Arial" w:eastAsia="Arial" w:hAnsi="Arial"/>
                <w:sz w:val="22"/>
                <w:szCs w:val="22"/>
                <w:color w:val="auto"/>
              </w:rPr>
              <w:t>time, with or without cause.</w:t>
            </w:r>
          </w:p>
        </w:tc>
      </w:tr>
      <w:tr>
        <w:trPr>
          <w:trHeight w:val="374"/>
        </w:trPr>
        <w:tc>
          <w:tcPr>
            <w:tcW w:w="2520" w:type="dxa"/>
            <w:vAlign w:val="bottom"/>
          </w:tcPr>
          <w:p>
            <w:pPr>
              <w:ind w:left="120"/>
              <w:spacing w:after="0"/>
              <w:rPr>
                <w:sz w:val="20"/>
                <w:szCs w:val="20"/>
                <w:color w:val="auto"/>
              </w:rPr>
            </w:pPr>
            <w:r>
              <w:rPr>
                <w:rFonts w:ascii="Arial" w:cs="Arial" w:eastAsia="Arial" w:hAnsi="Arial"/>
                <w:sz w:val="22"/>
                <w:szCs w:val="22"/>
                <w:b w:val="1"/>
                <w:bCs w:val="1"/>
                <w:color w:val="auto"/>
              </w:rPr>
              <w:t>Adjustments</w:t>
            </w:r>
          </w:p>
        </w:tc>
        <w:tc>
          <w:tcPr>
            <w:tcW w:w="6220" w:type="dxa"/>
            <w:vAlign w:val="bottom"/>
          </w:tcPr>
          <w:p>
            <w:pPr>
              <w:ind w:left="200"/>
              <w:spacing w:after="0"/>
              <w:rPr>
                <w:sz w:val="20"/>
                <w:szCs w:val="20"/>
                <w:color w:val="auto"/>
              </w:rPr>
            </w:pPr>
            <w:r>
              <w:rPr>
                <w:rFonts w:ascii="Arial" w:cs="Arial" w:eastAsia="Arial" w:hAnsi="Arial"/>
                <w:sz w:val="22"/>
                <w:szCs w:val="22"/>
                <w:color w:val="auto"/>
                <w:w w:val="92"/>
              </w:rPr>
              <w:t>In the event of a stock split, a stock dividend or a similar change in</w:t>
            </w:r>
          </w:p>
        </w:tc>
      </w:tr>
      <w:tr>
        <w:trPr>
          <w:trHeight w:val="216"/>
        </w:trPr>
        <w:tc>
          <w:tcPr>
            <w:tcW w:w="2520" w:type="dxa"/>
            <w:vAlign w:val="bottom"/>
          </w:tcPr>
          <w:p>
            <w:pPr>
              <w:spacing w:after="0"/>
              <w:rPr>
                <w:sz w:val="18"/>
                <w:szCs w:val="18"/>
                <w:color w:val="auto"/>
              </w:rPr>
            </w:pPr>
          </w:p>
        </w:tc>
        <w:tc>
          <w:tcPr>
            <w:tcW w:w="6220" w:type="dxa"/>
            <w:vAlign w:val="bottom"/>
          </w:tcPr>
          <w:p>
            <w:pPr>
              <w:ind w:left="200"/>
              <w:spacing w:after="0" w:line="217" w:lineRule="exact"/>
              <w:rPr>
                <w:sz w:val="20"/>
                <w:szCs w:val="20"/>
                <w:color w:val="auto"/>
              </w:rPr>
            </w:pPr>
            <w:r>
              <w:rPr>
                <w:rFonts w:ascii="Arial" w:cs="Arial" w:eastAsia="Arial" w:hAnsi="Arial"/>
                <w:sz w:val="22"/>
                <w:szCs w:val="22"/>
                <w:color w:val="auto"/>
                <w:w w:val="98"/>
              </w:rPr>
              <w:t>Incyte common stock, the number of your Performance Shares</w:t>
            </w:r>
          </w:p>
        </w:tc>
      </w:tr>
      <w:tr>
        <w:trPr>
          <w:trHeight w:val="275"/>
        </w:trPr>
        <w:tc>
          <w:tcPr>
            <w:tcW w:w="2520" w:type="dxa"/>
            <w:vAlign w:val="bottom"/>
          </w:tcPr>
          <w:p>
            <w:pPr>
              <w:spacing w:after="0"/>
              <w:rPr>
                <w:sz w:val="23"/>
                <w:szCs w:val="23"/>
                <w:color w:val="auto"/>
              </w:rPr>
            </w:pPr>
          </w:p>
        </w:tc>
        <w:tc>
          <w:tcPr>
            <w:tcW w:w="6220" w:type="dxa"/>
            <w:vAlign w:val="bottom"/>
          </w:tcPr>
          <w:p>
            <w:pPr>
              <w:ind w:left="200"/>
              <w:spacing w:after="0"/>
              <w:rPr>
                <w:sz w:val="20"/>
                <w:szCs w:val="20"/>
                <w:color w:val="auto"/>
              </w:rPr>
            </w:pPr>
            <w:r>
              <w:rPr>
                <w:rFonts w:ascii="Arial" w:cs="Arial" w:eastAsia="Arial" w:hAnsi="Arial"/>
                <w:sz w:val="22"/>
                <w:szCs w:val="22"/>
                <w:color w:val="auto"/>
              </w:rPr>
              <w:t>covered by this award may be adjusted pursuant to the Plan.</w:t>
            </w:r>
          </w:p>
        </w:tc>
      </w:tr>
      <w:tr>
        <w:trPr>
          <w:trHeight w:val="648"/>
        </w:trPr>
        <w:tc>
          <w:tcPr>
            <w:tcW w:w="2520" w:type="dxa"/>
            <w:vAlign w:val="bottom"/>
          </w:tcPr>
          <w:p>
            <w:pPr>
              <w:spacing w:after="0"/>
              <w:rPr>
                <w:sz w:val="24"/>
                <w:szCs w:val="24"/>
                <w:color w:val="auto"/>
              </w:rPr>
            </w:pPr>
          </w:p>
        </w:tc>
        <w:tc>
          <w:tcPr>
            <w:tcW w:w="6220" w:type="dxa"/>
            <w:vAlign w:val="bottom"/>
          </w:tcPr>
          <w:p>
            <w:pPr>
              <w:ind w:left="1800"/>
              <w:spacing w:after="0"/>
              <w:rPr>
                <w:sz w:val="20"/>
                <w:szCs w:val="20"/>
                <w:color w:val="auto"/>
              </w:rPr>
            </w:pPr>
            <w:r>
              <w:rPr>
                <w:rFonts w:ascii="Arial" w:cs="Arial" w:eastAsia="Arial" w:hAnsi="Arial"/>
                <w:sz w:val="22"/>
                <w:szCs w:val="22"/>
                <w:color w:val="auto"/>
              </w:rPr>
              <w:t>5</w:t>
            </w:r>
          </w:p>
        </w:tc>
      </w:tr>
      <w:tr>
        <w:trPr>
          <w:trHeight w:val="294"/>
        </w:trPr>
        <w:tc>
          <w:tcPr>
            <w:tcW w:w="2520" w:type="dxa"/>
            <w:vAlign w:val="bottom"/>
            <w:tcBorders>
              <w:bottom w:val="single" w:sz="8" w:color="auto"/>
            </w:tcBorders>
          </w:tcPr>
          <w:p>
            <w:pPr>
              <w:spacing w:after="0"/>
              <w:rPr>
                <w:sz w:val="24"/>
                <w:szCs w:val="24"/>
                <w:color w:val="auto"/>
              </w:rPr>
            </w:pPr>
          </w:p>
        </w:tc>
        <w:tc>
          <w:tcPr>
            <w:tcW w:w="62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743" w:right="1440" w:bottom="1440" w:gutter="0" w:footer="0" w:header="0"/>
        </w:sectPr>
      </w:pPr>
    </w:p>
    <w:bookmarkStart w:id="94" w:name="page95"/>
    <w:bookmarkEnd w:id="94"/>
    <w:p>
      <w:pPr>
        <w:spacing w:after="0" w:line="143" w:lineRule="exact"/>
        <w:rPr>
          <w:sz w:val="20"/>
          <w:szCs w:val="20"/>
          <w:color w:val="auto"/>
        </w:rPr>
      </w:pPr>
    </w:p>
    <w:p>
      <w:pPr>
        <w:ind w:left="260"/>
        <w:spacing w:after="0" w:line="305" w:lineRule="auto"/>
        <w:rPr>
          <w:sz w:val="20"/>
          <w:szCs w:val="20"/>
          <w:color w:val="auto"/>
        </w:rPr>
      </w:pPr>
      <w:r>
        <w:rPr>
          <w:rFonts w:ascii="Arial" w:cs="Arial" w:eastAsia="Arial" w:hAnsi="Arial"/>
          <w:sz w:val="19"/>
          <w:szCs w:val="19"/>
          <w:b w:val="1"/>
          <w:bCs w:val="1"/>
          <w:color w:val="auto"/>
        </w:rPr>
        <w:t>Recovery and Reimbursement of Gain</w:t>
      </w:r>
    </w:p>
    <w:p>
      <w:pPr>
        <w:spacing w:after="0" w:line="20" w:lineRule="exact"/>
        <w:rPr>
          <w:sz w:val="20"/>
          <w:szCs w:val="20"/>
          <w:color w:val="auto"/>
        </w:rPr>
      </w:pPr>
      <w:r>
        <w:rPr>
          <w:sz w:val="20"/>
          <w:szCs w:val="20"/>
          <w:color w:val="auto"/>
        </w:rPr>
        <w:br w:type="column"/>
      </w:r>
    </w:p>
    <w:p>
      <w:pPr>
        <w:ind w:right="299"/>
        <w:spacing w:after="0" w:line="249" w:lineRule="auto"/>
        <w:rPr>
          <w:sz w:val="20"/>
          <w:szCs w:val="20"/>
          <w:color w:val="auto"/>
        </w:rPr>
      </w:pPr>
      <w:r>
        <w:rPr>
          <w:rFonts w:ascii="Arial" w:cs="Arial" w:eastAsia="Arial" w:hAnsi="Arial"/>
          <w:sz w:val="19"/>
          <w:szCs w:val="19"/>
          <w:color w:val="auto"/>
        </w:rPr>
        <w:t>Incyte shall have the right to recover, or receive reimbursement for, any compensation or profit realized by the issuance or settlement of Performance Shares under this Agreement, or by the disposition of any shares issued upon settlement of the Performance Shares, to the extent Incyte has such a right of recovery or reimbursement under applicable securities laws.</w:t>
      </w:r>
    </w:p>
    <w:p>
      <w:pPr>
        <w:spacing w:after="0" w:line="134" w:lineRule="exact"/>
        <w:rPr>
          <w:sz w:val="20"/>
          <w:szCs w:val="20"/>
          <w:color w:val="auto"/>
        </w:rPr>
      </w:pPr>
    </w:p>
    <w:p>
      <w:pPr>
        <w:sectPr>
          <w:pgSz w:w="11900" w:h="16838" w:orient="portrait"/>
          <w:cols w:equalWidth="0" w:num="2">
            <w:col w:w="2480" w:space="380"/>
            <w:col w:w="6159"/>
          </w:cols>
          <w:pgMar w:left="1440" w:top="294" w:right="1440" w:bottom="1440" w:gutter="0" w:footer="0" w:header="0"/>
        </w:sectPr>
      </w:pPr>
    </w:p>
    <w:p>
      <w:pPr>
        <w:ind w:left="260"/>
        <w:spacing w:after="0"/>
        <w:tabs>
          <w:tab w:leader="none" w:pos="2840" w:val="left"/>
        </w:tabs>
        <w:rPr>
          <w:sz w:val="20"/>
          <w:szCs w:val="20"/>
          <w:color w:val="auto"/>
        </w:rPr>
      </w:pPr>
      <w:r>
        <w:rPr>
          <w:rFonts w:ascii="Arial" w:cs="Arial" w:eastAsia="Arial" w:hAnsi="Arial"/>
          <w:sz w:val="22"/>
          <w:szCs w:val="22"/>
          <w:b w:val="1"/>
          <w:bCs w:val="1"/>
          <w:color w:val="auto"/>
        </w:rPr>
        <w:t>Compliance with Section</w:t>
      </w:r>
      <w:r>
        <w:rPr>
          <w:sz w:val="20"/>
          <w:szCs w:val="20"/>
          <w:color w:val="auto"/>
        </w:rPr>
        <w:tab/>
      </w:r>
      <w:r>
        <w:rPr>
          <w:rFonts w:ascii="Arial" w:cs="Arial" w:eastAsia="Arial" w:hAnsi="Arial"/>
          <w:sz w:val="19"/>
          <w:szCs w:val="19"/>
          <w:color w:val="auto"/>
        </w:rPr>
        <w:t>Incyte intends that the issuance and settlement of the Performance</w:t>
      </w:r>
    </w:p>
    <w:p>
      <w:pPr>
        <w:ind w:left="260"/>
        <w:spacing w:after="0" w:line="237" w:lineRule="auto"/>
        <w:tabs>
          <w:tab w:leader="none" w:pos="2840" w:val="left"/>
        </w:tabs>
        <w:rPr>
          <w:sz w:val="20"/>
          <w:szCs w:val="20"/>
          <w:color w:val="auto"/>
        </w:rPr>
      </w:pPr>
      <w:r>
        <w:rPr>
          <w:rFonts w:ascii="Arial" w:cs="Arial" w:eastAsia="Arial" w:hAnsi="Arial"/>
          <w:sz w:val="22"/>
          <w:szCs w:val="22"/>
          <w:b w:val="1"/>
          <w:bCs w:val="1"/>
          <w:color w:val="auto"/>
        </w:rPr>
        <w:t>409A of the Code</w:t>
      </w:r>
      <w:r>
        <w:rPr>
          <w:sz w:val="20"/>
          <w:szCs w:val="20"/>
          <w:color w:val="auto"/>
        </w:rPr>
        <w:tab/>
      </w:r>
      <w:r>
        <w:rPr>
          <w:rFonts w:ascii="Arial" w:cs="Arial" w:eastAsia="Arial" w:hAnsi="Arial"/>
          <w:sz w:val="19"/>
          <w:szCs w:val="19"/>
          <w:color w:val="auto"/>
        </w:rPr>
        <w:t>Shares awarded under this Agreement will qualify for an exemption</w:t>
      </w:r>
    </w:p>
    <w:p>
      <w:pPr>
        <w:ind w:left="2860" w:right="299"/>
        <w:spacing w:after="0" w:line="243" w:lineRule="auto"/>
        <w:rPr>
          <w:sz w:val="20"/>
          <w:szCs w:val="20"/>
          <w:color w:val="auto"/>
        </w:rPr>
      </w:pPr>
      <w:r>
        <w:rPr>
          <w:rFonts w:ascii="Arial" w:cs="Arial" w:eastAsia="Arial" w:hAnsi="Arial"/>
          <w:sz w:val="19"/>
          <w:szCs w:val="19"/>
          <w:color w:val="auto"/>
        </w:rPr>
        <w:t>from the application of, or will otherwise comply with, Section 409A of the Internal Revenue Code. Incyte reserves the right, to the extent it deems necessary or advisable, to amend this Agreement without your consent in order to maintain such qualification for exemption or compliance. By reserving this right, however, Incyte is not guarantying that Section 409A will never apply to the issuance or settlement of the Performance Shares, or that the requirements of Section 409A will be complied with.</w:t>
      </w:r>
    </w:p>
    <w:p>
      <w:pPr>
        <w:spacing w:after="0" w:line="138" w:lineRule="exact"/>
        <w:rPr>
          <w:sz w:val="20"/>
          <w:szCs w:val="20"/>
          <w:color w:val="auto"/>
        </w:rPr>
      </w:pPr>
    </w:p>
    <w:p>
      <w:pPr>
        <w:ind w:left="260"/>
        <w:spacing w:after="0"/>
        <w:tabs>
          <w:tab w:leader="none" w:pos="2840" w:val="left"/>
        </w:tabs>
        <w:rPr>
          <w:sz w:val="20"/>
          <w:szCs w:val="20"/>
          <w:color w:val="auto"/>
        </w:rPr>
      </w:pPr>
      <w:r>
        <w:rPr>
          <w:rFonts w:ascii="Arial" w:cs="Arial" w:eastAsia="Arial" w:hAnsi="Arial"/>
          <w:sz w:val="22"/>
          <w:szCs w:val="22"/>
          <w:b w:val="1"/>
          <w:bCs w:val="1"/>
          <w:color w:val="auto"/>
        </w:rPr>
        <w:t>Applicable Law</w:t>
      </w:r>
      <w:r>
        <w:rPr>
          <w:sz w:val="20"/>
          <w:szCs w:val="20"/>
          <w:color w:val="auto"/>
        </w:rPr>
        <w:tab/>
      </w:r>
      <w:r>
        <w:rPr>
          <w:rFonts w:ascii="Arial" w:cs="Arial" w:eastAsia="Arial" w:hAnsi="Arial"/>
          <w:sz w:val="19"/>
          <w:szCs w:val="19"/>
          <w:color w:val="auto"/>
        </w:rPr>
        <w:t>This Agreement will be interpreted and enforced under the laws of</w:t>
      </w:r>
    </w:p>
    <w:p>
      <w:pPr>
        <w:ind w:left="2860" w:right="1199"/>
        <w:spacing w:after="0" w:line="224" w:lineRule="auto"/>
        <w:rPr>
          <w:sz w:val="20"/>
          <w:szCs w:val="20"/>
          <w:color w:val="auto"/>
        </w:rPr>
      </w:pPr>
      <w:r>
        <w:rPr>
          <w:rFonts w:ascii="Arial" w:cs="Arial" w:eastAsia="Arial" w:hAnsi="Arial"/>
          <w:sz w:val="22"/>
          <w:szCs w:val="22"/>
          <w:color w:val="auto"/>
        </w:rPr>
        <w:t>the State of Delaware (without regard to its choice of law provisions).</w:t>
      </w:r>
    </w:p>
    <w:p>
      <w:pPr>
        <w:spacing w:after="0" w:line="139" w:lineRule="exact"/>
        <w:rPr>
          <w:sz w:val="20"/>
          <w:szCs w:val="20"/>
          <w:color w:val="auto"/>
        </w:rPr>
      </w:pPr>
    </w:p>
    <w:p>
      <w:pPr>
        <w:ind w:left="260"/>
        <w:spacing w:after="0"/>
        <w:tabs>
          <w:tab w:leader="none" w:pos="2840" w:val="left"/>
        </w:tabs>
        <w:rPr>
          <w:sz w:val="20"/>
          <w:szCs w:val="20"/>
          <w:color w:val="auto"/>
        </w:rPr>
      </w:pPr>
      <w:r>
        <w:rPr>
          <w:rFonts w:ascii="Arial" w:cs="Arial" w:eastAsia="Arial" w:hAnsi="Arial"/>
          <w:sz w:val="22"/>
          <w:szCs w:val="22"/>
          <w:b w:val="1"/>
          <w:bCs w:val="1"/>
          <w:color w:val="auto"/>
        </w:rPr>
        <w:t>The Plan and Other</w:t>
      </w:r>
      <w:r>
        <w:rPr>
          <w:sz w:val="20"/>
          <w:szCs w:val="20"/>
          <w:color w:val="auto"/>
        </w:rPr>
        <w:tab/>
      </w:r>
      <w:r>
        <w:rPr>
          <w:rFonts w:ascii="Arial" w:cs="Arial" w:eastAsia="Arial" w:hAnsi="Arial"/>
          <w:sz w:val="19"/>
          <w:szCs w:val="19"/>
          <w:color w:val="auto"/>
        </w:rPr>
        <w:t>The text of the Incyte Corporation Amended and Restated 2010</w:t>
      </w:r>
    </w:p>
    <w:p>
      <w:pPr>
        <w:ind w:left="260"/>
        <w:spacing w:after="0" w:line="237" w:lineRule="auto"/>
        <w:tabs>
          <w:tab w:leader="none" w:pos="2840" w:val="left"/>
        </w:tabs>
        <w:rPr>
          <w:sz w:val="20"/>
          <w:szCs w:val="20"/>
          <w:color w:val="auto"/>
        </w:rPr>
      </w:pPr>
      <w:r>
        <w:rPr>
          <w:rFonts w:ascii="Arial" w:cs="Arial" w:eastAsia="Arial" w:hAnsi="Arial"/>
          <w:sz w:val="19"/>
          <w:szCs w:val="19"/>
          <w:b w:val="1"/>
          <w:bCs w:val="1"/>
          <w:color w:val="auto"/>
        </w:rPr>
        <w:t>Agreements</w:t>
      </w:r>
      <w:r>
        <w:rPr>
          <w:sz w:val="20"/>
          <w:szCs w:val="20"/>
          <w:color w:val="auto"/>
        </w:rPr>
        <w:tab/>
      </w:r>
      <w:r>
        <w:rPr>
          <w:rFonts w:ascii="Arial" w:cs="Arial" w:eastAsia="Arial" w:hAnsi="Arial"/>
          <w:sz w:val="19"/>
          <w:szCs w:val="19"/>
          <w:color w:val="auto"/>
        </w:rPr>
        <w:t>Stock Incentive Plan (the “Plan”) is incorporated in this Agreement</w:t>
      </w:r>
    </w:p>
    <w:p>
      <w:pPr>
        <w:ind w:left="2860" w:right="419"/>
        <w:spacing w:after="0" w:line="212" w:lineRule="auto"/>
        <w:rPr>
          <w:sz w:val="20"/>
          <w:szCs w:val="20"/>
          <w:color w:val="auto"/>
        </w:rPr>
      </w:pPr>
      <w:r>
        <w:rPr>
          <w:rFonts w:ascii="Arial" w:cs="Arial" w:eastAsia="Arial" w:hAnsi="Arial"/>
          <w:sz w:val="22"/>
          <w:szCs w:val="22"/>
          <w:color w:val="auto"/>
        </w:rPr>
        <w:t>by reference. All capitalized terms not defined in this Agreement are subject to definition under the Plan. If there is any discrepancy between the terms and conditions of this Agreement and the terms and conditions of the Plan, the terms and conditions of the Plan shall control.</w:t>
      </w:r>
    </w:p>
    <w:p>
      <w:pPr>
        <w:spacing w:after="0" w:line="161" w:lineRule="exact"/>
        <w:rPr>
          <w:sz w:val="20"/>
          <w:szCs w:val="20"/>
          <w:color w:val="auto"/>
        </w:rPr>
      </w:pPr>
    </w:p>
    <w:p>
      <w:pPr>
        <w:ind w:left="2860" w:right="299"/>
        <w:spacing w:after="0" w:line="242" w:lineRule="auto"/>
        <w:rPr>
          <w:sz w:val="20"/>
          <w:szCs w:val="20"/>
          <w:color w:val="auto"/>
        </w:rPr>
      </w:pPr>
      <w:r>
        <w:rPr>
          <w:rFonts w:ascii="Arial" w:cs="Arial" w:eastAsia="Arial" w:hAnsi="Arial"/>
          <w:sz w:val="19"/>
          <w:szCs w:val="19"/>
          <w:color w:val="auto"/>
        </w:rPr>
        <w:t>This Agreement and any Exhibit hereto, the award notice and the Plan constitute the entire understanding between you and Incyte regarding this award. Any prior agreements, commitments or negotiations concerning this award are superseded. This Agreement may be amended by the Committee without your consent; however, any amendment that would materially impair your rights or obligations under the Agreement may be made only by another written agreement, signed by you and Incyte, unless the Compensation Committee of Incyte’s Board of Directors has determined that the amendment is necessary in order to comply with the terms of the Plan (including an amendment to provide for settlement in cash if settlement in shares would be precluded by the share limitations of Section 5 of the Plan).</w:t>
      </w:r>
    </w:p>
    <w:p>
      <w:pPr>
        <w:spacing w:after="0" w:line="269"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i w:val="1"/>
          <w:iCs w:val="1"/>
          <w:color w:val="auto"/>
        </w:rPr>
        <w:t>By accepting the award notice, you agree to all</w:t>
      </w:r>
    </w:p>
    <w:p>
      <w:pPr>
        <w:spacing w:after="0" w:line="85"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i w:val="1"/>
          <w:iCs w:val="1"/>
          <w:color w:val="auto"/>
        </w:rPr>
        <w:t>of the terms and conditions described above and in the Plan.</w:t>
      </w:r>
    </w:p>
    <w:p>
      <w:pPr>
        <w:spacing w:after="0" w:line="395"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187325</wp:posOffset>
            </wp:positionV>
            <wp:extent cx="5548630"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2">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294" w:right="1440" w:bottom="1440" w:gutter="0" w:footer="0" w:header="0"/>
          <w:type w:val="continuous"/>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Exhibit 31.1</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I, Hervé Hoppenot, certify that:</w:t>
      </w:r>
    </w:p>
    <w:p>
      <w:pPr>
        <w:spacing w:after="0" w:line="144" w:lineRule="exact"/>
        <w:rPr>
          <w:sz w:val="20"/>
          <w:szCs w:val="20"/>
          <w:color w:val="auto"/>
        </w:rPr>
      </w:pPr>
    </w:p>
    <w:p>
      <w:pPr>
        <w:ind w:left="520" w:hanging="517"/>
        <w:spacing w:after="0"/>
        <w:tabs>
          <w:tab w:leader="none" w:pos="5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Incyte Corporation;</w:t>
      </w:r>
    </w:p>
    <w:p>
      <w:pPr>
        <w:spacing w:after="0" w:line="144" w:lineRule="exact"/>
        <w:rPr>
          <w:rFonts w:ascii="Arial" w:cs="Arial" w:eastAsia="Arial" w:hAnsi="Arial"/>
          <w:sz w:val="18"/>
          <w:szCs w:val="18"/>
          <w:color w:val="auto"/>
        </w:rPr>
      </w:pPr>
    </w:p>
    <w:p>
      <w:pPr>
        <w:jc w:val="both"/>
        <w:ind w:left="520" w:hanging="517"/>
        <w:spacing w:after="0" w:line="224" w:lineRule="auto"/>
        <w:tabs>
          <w:tab w:leader="none" w:pos="5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ind w:left="520" w:right="100" w:hanging="517"/>
        <w:spacing w:after="0" w:line="224" w:lineRule="auto"/>
        <w:tabs>
          <w:tab w:leader="none" w:pos="5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Arial" w:cs="Arial" w:eastAsia="Arial" w:hAnsi="Arial"/>
          <w:sz w:val="18"/>
          <w:szCs w:val="18"/>
          <w:color w:val="auto"/>
        </w:rPr>
      </w:pPr>
    </w:p>
    <w:p>
      <w:pPr>
        <w:ind w:left="520" w:right="240" w:hanging="517"/>
        <w:spacing w:after="0" w:line="238" w:lineRule="auto"/>
        <w:tabs>
          <w:tab w:leader="none" w:pos="5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0" w:lineRule="exact"/>
        <w:rPr>
          <w:rFonts w:ascii="Arial" w:cs="Arial" w:eastAsia="Arial" w:hAnsi="Arial"/>
          <w:sz w:val="17"/>
          <w:szCs w:val="17"/>
          <w:color w:val="auto"/>
        </w:rPr>
      </w:pPr>
    </w:p>
    <w:p>
      <w:pPr>
        <w:ind w:left="1020" w:right="60" w:hanging="504"/>
        <w:spacing w:after="0" w:line="219" w:lineRule="auto"/>
        <w:tabs>
          <w:tab w:leader="none" w:pos="10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Arial" w:cs="Arial" w:eastAsia="Arial" w:hAnsi="Arial"/>
          <w:sz w:val="18"/>
          <w:szCs w:val="18"/>
          <w:color w:val="auto"/>
        </w:rPr>
      </w:pPr>
    </w:p>
    <w:p>
      <w:pPr>
        <w:ind w:left="1020" w:right="40" w:hanging="504"/>
        <w:spacing w:after="0" w:line="219" w:lineRule="auto"/>
        <w:tabs>
          <w:tab w:leader="none" w:pos="10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Arial" w:cs="Arial" w:eastAsia="Arial" w:hAnsi="Arial"/>
          <w:sz w:val="18"/>
          <w:szCs w:val="18"/>
          <w:color w:val="auto"/>
        </w:rPr>
      </w:pPr>
    </w:p>
    <w:p>
      <w:pPr>
        <w:jc w:val="both"/>
        <w:ind w:left="1020" w:right="220" w:hanging="504"/>
        <w:spacing w:after="0" w:line="224" w:lineRule="auto"/>
        <w:tabs>
          <w:tab w:leader="none" w:pos="10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Arial" w:cs="Arial" w:eastAsia="Arial" w:hAnsi="Arial"/>
          <w:sz w:val="18"/>
          <w:szCs w:val="18"/>
          <w:color w:val="auto"/>
        </w:rPr>
      </w:pPr>
    </w:p>
    <w:p>
      <w:pPr>
        <w:ind w:left="1020" w:right="140" w:hanging="504"/>
        <w:spacing w:after="0" w:line="219" w:lineRule="auto"/>
        <w:tabs>
          <w:tab w:leader="none" w:pos="10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Arial" w:cs="Arial" w:eastAsia="Arial" w:hAnsi="Arial"/>
          <w:sz w:val="18"/>
          <w:szCs w:val="18"/>
          <w:color w:val="auto"/>
        </w:rPr>
      </w:pPr>
    </w:p>
    <w:p>
      <w:pPr>
        <w:ind w:left="520" w:right="20" w:hanging="517"/>
        <w:spacing w:after="0" w:line="224" w:lineRule="auto"/>
        <w:tabs>
          <w:tab w:leader="none" w:pos="5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2" w:lineRule="exact"/>
        <w:rPr>
          <w:rFonts w:ascii="Arial" w:cs="Arial" w:eastAsia="Arial" w:hAnsi="Arial"/>
          <w:sz w:val="18"/>
          <w:szCs w:val="18"/>
          <w:color w:val="auto"/>
        </w:rPr>
      </w:pPr>
    </w:p>
    <w:p>
      <w:pPr>
        <w:ind w:left="1020" w:hanging="504"/>
        <w:spacing w:after="0" w:line="224" w:lineRule="auto"/>
        <w:tabs>
          <w:tab w:leader="none" w:pos="10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Arial" w:cs="Arial" w:eastAsia="Arial" w:hAnsi="Arial"/>
          <w:sz w:val="18"/>
          <w:szCs w:val="18"/>
          <w:color w:val="auto"/>
        </w:rPr>
      </w:pPr>
    </w:p>
    <w:p>
      <w:pPr>
        <w:ind w:left="1020" w:right="120" w:hanging="504"/>
        <w:spacing w:after="0" w:line="235" w:lineRule="auto"/>
        <w:tabs>
          <w:tab w:leader="none" w:pos="10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Date: July 31, 2018</w:t>
      </w:r>
    </w:p>
    <w:p>
      <w:pPr>
        <w:spacing w:after="0" w:line="158"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 HERVÉ HOPPENOT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-1905</wp:posOffset>
            </wp:positionV>
            <wp:extent cx="287274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3">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122"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Hervé Hoppenot</w:t>
      </w:r>
    </w:p>
    <w:p>
      <w:pPr>
        <w:ind w:left="454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553720</wp:posOffset>
            </wp:positionV>
            <wp:extent cx="5754370"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b w:val="1"/>
          <w:bCs w:val="1"/>
          <w:color w:val="auto"/>
        </w:rPr>
        <w:t>Exhibit 31.2</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I, David W. Gryska, certify that:</w:t>
      </w:r>
    </w:p>
    <w:p>
      <w:pPr>
        <w:spacing w:after="0" w:line="144" w:lineRule="exact"/>
        <w:rPr>
          <w:sz w:val="20"/>
          <w:szCs w:val="20"/>
          <w:color w:val="auto"/>
        </w:rPr>
      </w:pPr>
    </w:p>
    <w:p>
      <w:pPr>
        <w:ind w:left="520" w:hanging="517"/>
        <w:spacing w:after="0"/>
        <w:tabs>
          <w:tab w:leader="none" w:pos="5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Incyte Corporation;</w:t>
      </w:r>
    </w:p>
    <w:p>
      <w:pPr>
        <w:spacing w:after="0" w:line="144" w:lineRule="exact"/>
        <w:rPr>
          <w:rFonts w:ascii="Arial" w:cs="Arial" w:eastAsia="Arial" w:hAnsi="Arial"/>
          <w:sz w:val="18"/>
          <w:szCs w:val="18"/>
          <w:color w:val="auto"/>
        </w:rPr>
      </w:pPr>
    </w:p>
    <w:p>
      <w:pPr>
        <w:jc w:val="both"/>
        <w:ind w:left="520" w:hanging="517"/>
        <w:spacing w:after="0" w:line="224" w:lineRule="auto"/>
        <w:tabs>
          <w:tab w:leader="none" w:pos="5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ind w:left="520" w:right="100" w:hanging="517"/>
        <w:spacing w:after="0" w:line="224" w:lineRule="auto"/>
        <w:tabs>
          <w:tab w:leader="none" w:pos="5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Arial" w:cs="Arial" w:eastAsia="Arial" w:hAnsi="Arial"/>
          <w:sz w:val="18"/>
          <w:szCs w:val="18"/>
          <w:color w:val="auto"/>
        </w:rPr>
      </w:pPr>
    </w:p>
    <w:p>
      <w:pPr>
        <w:ind w:left="520" w:right="240" w:hanging="517"/>
        <w:spacing w:after="0" w:line="238" w:lineRule="auto"/>
        <w:tabs>
          <w:tab w:leader="none" w:pos="5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0" w:lineRule="exact"/>
        <w:rPr>
          <w:rFonts w:ascii="Arial" w:cs="Arial" w:eastAsia="Arial" w:hAnsi="Arial"/>
          <w:sz w:val="17"/>
          <w:szCs w:val="17"/>
          <w:color w:val="auto"/>
        </w:rPr>
      </w:pPr>
    </w:p>
    <w:p>
      <w:pPr>
        <w:ind w:left="1020" w:right="60" w:hanging="504"/>
        <w:spacing w:after="0" w:line="219" w:lineRule="auto"/>
        <w:tabs>
          <w:tab w:leader="none" w:pos="102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Arial" w:cs="Arial" w:eastAsia="Arial" w:hAnsi="Arial"/>
          <w:sz w:val="18"/>
          <w:szCs w:val="18"/>
          <w:color w:val="auto"/>
        </w:rPr>
      </w:pPr>
    </w:p>
    <w:p>
      <w:pPr>
        <w:ind w:left="1020" w:right="40" w:hanging="504"/>
        <w:spacing w:after="0" w:line="219" w:lineRule="auto"/>
        <w:tabs>
          <w:tab w:leader="none" w:pos="102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Arial" w:cs="Arial" w:eastAsia="Arial" w:hAnsi="Arial"/>
          <w:sz w:val="18"/>
          <w:szCs w:val="18"/>
          <w:color w:val="auto"/>
        </w:rPr>
      </w:pPr>
    </w:p>
    <w:p>
      <w:pPr>
        <w:jc w:val="both"/>
        <w:ind w:left="1020" w:right="220" w:hanging="504"/>
        <w:spacing w:after="0" w:line="224" w:lineRule="auto"/>
        <w:tabs>
          <w:tab w:leader="none" w:pos="1020" w:val="left"/>
        </w:tabs>
        <w:numPr>
          <w:ilvl w:val="1"/>
          <w:numId w:val="4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Arial" w:cs="Arial" w:eastAsia="Arial" w:hAnsi="Arial"/>
          <w:sz w:val="18"/>
          <w:szCs w:val="18"/>
          <w:color w:val="auto"/>
        </w:rPr>
      </w:pPr>
    </w:p>
    <w:p>
      <w:pPr>
        <w:ind w:left="1020" w:right="140" w:hanging="504"/>
        <w:spacing w:after="0" w:line="219" w:lineRule="auto"/>
        <w:tabs>
          <w:tab w:leader="none" w:pos="102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Arial" w:cs="Arial" w:eastAsia="Arial" w:hAnsi="Arial"/>
          <w:sz w:val="18"/>
          <w:szCs w:val="18"/>
          <w:color w:val="auto"/>
        </w:rPr>
      </w:pPr>
    </w:p>
    <w:p>
      <w:pPr>
        <w:ind w:left="520" w:right="20" w:hanging="517"/>
        <w:spacing w:after="0" w:line="224" w:lineRule="auto"/>
        <w:tabs>
          <w:tab w:leader="none" w:pos="5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2" w:lineRule="exact"/>
        <w:rPr>
          <w:rFonts w:ascii="Arial" w:cs="Arial" w:eastAsia="Arial" w:hAnsi="Arial"/>
          <w:sz w:val="18"/>
          <w:szCs w:val="18"/>
          <w:color w:val="auto"/>
        </w:rPr>
      </w:pPr>
    </w:p>
    <w:p>
      <w:pPr>
        <w:ind w:left="1020" w:hanging="504"/>
        <w:spacing w:after="0" w:line="224" w:lineRule="auto"/>
        <w:tabs>
          <w:tab w:leader="none" w:pos="102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Arial" w:cs="Arial" w:eastAsia="Arial" w:hAnsi="Arial"/>
          <w:sz w:val="18"/>
          <w:szCs w:val="18"/>
          <w:color w:val="auto"/>
        </w:rPr>
      </w:pPr>
    </w:p>
    <w:p>
      <w:pPr>
        <w:ind w:left="1020" w:right="120" w:hanging="504"/>
        <w:spacing w:after="0" w:line="235" w:lineRule="auto"/>
        <w:tabs>
          <w:tab w:leader="none" w:pos="102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Date: July 31, 2018</w:t>
      </w:r>
    </w:p>
    <w:p>
      <w:pPr>
        <w:spacing w:after="0" w:line="144"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 DAVID W. GRYSKA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-1905</wp:posOffset>
            </wp:positionV>
            <wp:extent cx="287274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5">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122"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David W. Gryska</w:t>
      </w:r>
    </w:p>
    <w:p>
      <w:pPr>
        <w:ind w:left="454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553720</wp:posOffset>
            </wp:positionV>
            <wp:extent cx="5754370"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b w:val="1"/>
          <w:bCs w:val="1"/>
          <w:color w:val="auto"/>
        </w:rPr>
        <w:t>Exhibit 32.1</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PURSUANT TO</w:t>
      </w: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28" w:lineRule="exact"/>
        <w:rPr>
          <w:sz w:val="20"/>
          <w:szCs w:val="20"/>
          <w:color w:val="auto"/>
        </w:rPr>
      </w:pPr>
    </w:p>
    <w:p>
      <w:pPr>
        <w:ind w:right="100" w:firstLine="648"/>
        <w:spacing w:after="0" w:line="219" w:lineRule="auto"/>
        <w:rPr>
          <w:sz w:val="20"/>
          <w:szCs w:val="20"/>
          <w:color w:val="auto"/>
        </w:rPr>
      </w:pPr>
      <w:r>
        <w:rPr>
          <w:rFonts w:ascii="Arial" w:cs="Arial" w:eastAsia="Arial" w:hAnsi="Arial"/>
          <w:sz w:val="18"/>
          <w:szCs w:val="18"/>
          <w:color w:val="auto"/>
        </w:rPr>
        <w:t>With reference to the Quarterly Report of Incyte Corporation (the “Company”) on Form 10-Q for the quarter ended June 30, 2018, as filed with the Securities and Exchange Commission on the date hereof (the “Report”), I, Hervé Hoppenot, Chief Executive Officer of the Company, certify, for the purposes of 18 U.S.C. § 1350, as adopted pursuant to § 906 of the Sarbanes-Oxley Act of 2002, that, to my knowledge:</w:t>
      </w:r>
    </w:p>
    <w:p>
      <w:pPr>
        <w:spacing w:after="0" w:line="122" w:lineRule="exact"/>
        <w:rPr>
          <w:sz w:val="20"/>
          <w:szCs w:val="20"/>
          <w:color w:val="auto"/>
        </w:rPr>
      </w:pPr>
    </w:p>
    <w:p>
      <w:pPr>
        <w:ind w:left="340" w:hanging="337"/>
        <w:spacing w:after="0"/>
        <w:tabs>
          <w:tab w:leader="none" w:pos="3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167" w:lineRule="exact"/>
        <w:rPr>
          <w:rFonts w:ascii="Arial" w:cs="Arial" w:eastAsia="Arial" w:hAnsi="Arial"/>
          <w:sz w:val="16"/>
          <w:szCs w:val="16"/>
          <w:color w:val="auto"/>
        </w:rPr>
      </w:pPr>
    </w:p>
    <w:p>
      <w:pPr>
        <w:ind w:left="320" w:right="360" w:hanging="317"/>
        <w:spacing w:after="0" w:line="235" w:lineRule="auto"/>
        <w:tabs>
          <w:tab w:leader="none" w:pos="341"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35"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 HERVÉ HOPPENOT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-1905</wp:posOffset>
            </wp:positionV>
            <wp:extent cx="287274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7">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122"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Hervé Hoppenot</w:t>
      </w:r>
    </w:p>
    <w:p>
      <w:pPr>
        <w:ind w:left="4540"/>
        <w:spacing w:after="0" w:line="203" w:lineRule="auto"/>
        <w:rPr>
          <w:sz w:val="20"/>
          <w:szCs w:val="20"/>
          <w:color w:val="auto"/>
        </w:rPr>
      </w:pPr>
      <w:r>
        <w:rPr>
          <w:rFonts w:ascii="Arial" w:cs="Arial" w:eastAsia="Arial" w:hAnsi="Arial"/>
          <w:sz w:val="18"/>
          <w:szCs w:val="18"/>
          <w:color w:val="auto"/>
        </w:rPr>
        <w:t>Chief Executive Officer</w:t>
      </w:r>
    </w:p>
    <w:p>
      <w:pPr>
        <w:ind w:left="4540"/>
        <w:spacing w:after="0"/>
        <w:rPr>
          <w:sz w:val="20"/>
          <w:szCs w:val="20"/>
          <w:color w:val="auto"/>
        </w:rPr>
      </w:pPr>
      <w:r>
        <w:rPr>
          <w:rFonts w:ascii="Arial" w:cs="Arial" w:eastAsia="Arial" w:hAnsi="Arial"/>
          <w:sz w:val="18"/>
          <w:szCs w:val="18"/>
          <w:color w:val="auto"/>
        </w:rPr>
        <w:t>July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664845</wp:posOffset>
            </wp:positionV>
            <wp:extent cx="5754370"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Exhibit 32.2</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PURSUANT TO</w:t>
      </w: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28" w:lineRule="exact"/>
        <w:rPr>
          <w:sz w:val="20"/>
          <w:szCs w:val="20"/>
          <w:color w:val="auto"/>
        </w:rPr>
      </w:pPr>
    </w:p>
    <w:p>
      <w:pPr>
        <w:ind w:right="80" w:firstLine="648"/>
        <w:spacing w:after="0" w:line="219" w:lineRule="auto"/>
        <w:rPr>
          <w:sz w:val="20"/>
          <w:szCs w:val="20"/>
          <w:color w:val="auto"/>
        </w:rPr>
      </w:pPr>
      <w:r>
        <w:rPr>
          <w:rFonts w:ascii="Arial" w:cs="Arial" w:eastAsia="Arial" w:hAnsi="Arial"/>
          <w:sz w:val="18"/>
          <w:szCs w:val="18"/>
          <w:color w:val="auto"/>
        </w:rPr>
        <w:t>With reference to the Quarterly Report of Incyte Corporation (the “Company”) on Form 10-Q for the quarter ended June 30, 2018, as filed with the Securities and Exchange Commission on the date hereof (the “Report”), I, David W. Gryska, Chief Financial Officer of the Company, certify, for the purposes of 18 U.S.C. § 1350, as adopted pursuant to § 906 of the Sarbanes-Oxley Act of 2002, that, to my knowledge:</w:t>
      </w:r>
    </w:p>
    <w:p>
      <w:pPr>
        <w:spacing w:after="0" w:line="122" w:lineRule="exact"/>
        <w:rPr>
          <w:sz w:val="20"/>
          <w:szCs w:val="20"/>
          <w:color w:val="auto"/>
        </w:rPr>
      </w:pPr>
    </w:p>
    <w:p>
      <w:pPr>
        <w:ind w:left="340" w:hanging="337"/>
        <w:spacing w:after="0"/>
        <w:tabs>
          <w:tab w:leader="none" w:pos="3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167" w:lineRule="exact"/>
        <w:rPr>
          <w:rFonts w:ascii="Arial" w:cs="Arial" w:eastAsia="Arial" w:hAnsi="Arial"/>
          <w:sz w:val="16"/>
          <w:szCs w:val="16"/>
          <w:color w:val="auto"/>
        </w:rPr>
      </w:pPr>
    </w:p>
    <w:p>
      <w:pPr>
        <w:ind w:left="320" w:right="360" w:hanging="317"/>
        <w:spacing w:after="0" w:line="235" w:lineRule="auto"/>
        <w:tabs>
          <w:tab w:leader="none" w:pos="341"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35"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 DAVID W. GRYSKA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-1905</wp:posOffset>
            </wp:positionV>
            <wp:extent cx="287274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9">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122"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David W. Gryska</w:t>
      </w:r>
    </w:p>
    <w:p>
      <w:pPr>
        <w:ind w:left="4540"/>
        <w:spacing w:after="0" w:line="203" w:lineRule="auto"/>
        <w:rPr>
          <w:sz w:val="20"/>
          <w:szCs w:val="20"/>
          <w:color w:val="auto"/>
        </w:rPr>
      </w:pPr>
      <w:r>
        <w:rPr>
          <w:rFonts w:ascii="Arial" w:cs="Arial" w:eastAsia="Arial" w:hAnsi="Arial"/>
          <w:sz w:val="18"/>
          <w:szCs w:val="18"/>
          <w:color w:val="auto"/>
        </w:rPr>
        <w:t>Chief Financial Officer</w:t>
      </w:r>
    </w:p>
    <w:p>
      <w:pPr>
        <w:ind w:left="4540"/>
        <w:spacing w:after="0"/>
        <w:rPr>
          <w:sz w:val="20"/>
          <w:szCs w:val="20"/>
          <w:color w:val="auto"/>
        </w:rPr>
      </w:pPr>
      <w:r>
        <w:rPr>
          <w:rFonts w:ascii="Arial" w:cs="Arial" w:eastAsia="Arial" w:hAnsi="Arial"/>
          <w:sz w:val="18"/>
          <w:szCs w:val="18"/>
          <w:color w:val="auto"/>
        </w:rPr>
        <w:t>July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553720</wp:posOffset>
            </wp:positionV>
            <wp:extent cx="5754370"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sectPr>
      <w:pgSz w:w="11900" w:h="16838" w:orient="portrait"/>
      <w:cols w:equalWidth="0" w:num="1">
        <w:col w:w="9060"/>
      </w:cols>
      <w:pgMar w:left="1420" w:top="108" w:right="1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
      <w:numFmt w:val="bullet"/>
      <w:start w:val="1"/>
    </w:lvl>
  </w:abstractNum>
  <w:abstractNum w:abstractNumId="3">
    <w:nsid w:val="6763845E"/>
    <w:multiLevelType w:val="hybridMultilevel"/>
    <w:lvl w:ilvl="0">
      <w:lvlJc w:val="left"/>
      <w:lvlText w:val="%1."/>
      <w:numFmt w:val="decimal"/>
      <w:start w:val="1"/>
    </w:lvl>
  </w:abstractNum>
  <w:abstractNum w:abstractNumId="4">
    <w:nsid w:val="75A2A8D4"/>
    <w:multiLevelType w:val="hybridMultilevel"/>
    <w:lvl w:ilvl="0">
      <w:lvlJc w:val="left"/>
      <w:lvlText w:val="%1."/>
      <w:numFmt w:val="decimal"/>
      <w:start w:val="2"/>
    </w:lvl>
  </w:abstractNum>
  <w:abstractNum w:abstractNumId="5">
    <w:nsid w:val="8EDBDAB"/>
    <w:multiLevelType w:val="hybridMultilevel"/>
    <w:lvl w:ilvl="0">
      <w:lvlJc w:val="left"/>
      <w:lvlText w:val="(%1)"/>
      <w:numFmt w:val="lowerRoman"/>
      <w:start w:val="1"/>
    </w:lvl>
  </w:abstractNum>
  <w:abstractNum w:abstractNumId="6">
    <w:nsid w:val="79838CB2"/>
    <w:multiLevelType w:val="hybridMultilevel"/>
    <w:lvl w:ilvl="0">
      <w:lvlJc w:val="left"/>
      <w:lvlText w:val="%1."/>
      <w:numFmt w:val="decimal"/>
      <w:start w:val="3"/>
    </w:lvl>
  </w:abstractNum>
  <w:abstractNum w:abstractNumId="7">
    <w:nsid w:val="4353D0CD"/>
    <w:multiLevelType w:val="hybridMultilevel"/>
    <w:lvl w:ilvl="0">
      <w:lvlJc w:val="left"/>
      <w:lvlText w:val="%1."/>
      <w:numFmt w:val="decimal"/>
      <w:start w:val="4"/>
    </w:lvl>
  </w:abstractNum>
  <w:abstractNum w:abstractNumId="8">
    <w:nsid w:val="B03E0C6"/>
    <w:multiLevelType w:val="hybridMultilevel"/>
    <w:lvl w:ilvl="0">
      <w:lvlJc w:val="left"/>
      <w:lvlText w:val="%1."/>
      <w:numFmt w:val="decimal"/>
      <w:start w:val="5"/>
    </w:lvl>
  </w:abstractNum>
  <w:abstractNum w:abstractNumId="9">
    <w:nsid w:val="189A769B"/>
    <w:multiLevelType w:val="hybridMultilevel"/>
    <w:lvl w:ilvl="0">
      <w:lvlJc w:val="left"/>
      <w:lvlText w:val="%1."/>
      <w:numFmt w:val="decimal"/>
      <w:start w:val="8"/>
    </w:lvl>
  </w:abstractNum>
  <w:abstractNum w:abstractNumId="10">
    <w:nsid w:val="54E49EB4"/>
    <w:multiLevelType w:val="hybridMultilevel"/>
    <w:lvl w:ilvl="0">
      <w:lvlJc w:val="left"/>
      <w:lvlText w:val="%1."/>
      <w:numFmt w:val="decimal"/>
      <w:start w:val="10"/>
    </w:lvl>
  </w:abstractNum>
  <w:abstractNum w:abstractNumId="11">
    <w:nsid w:val="71F32454"/>
    <w:multiLevelType w:val="hybridMultilevel"/>
    <w:lvl w:ilvl="0">
      <w:lvlJc w:val="left"/>
      <w:lvlText w:val="%1."/>
      <w:numFmt w:val="decimal"/>
      <w:start w:val="11"/>
    </w:lvl>
  </w:abstractNum>
  <w:abstractNum w:abstractNumId="12">
    <w:nsid w:val="2CA88611"/>
    <w:multiLevelType w:val="hybridMultilevel"/>
    <w:lvl w:ilvl="0">
      <w:lvlJc w:val="left"/>
      <w:lvlText w:val="%1."/>
      <w:numFmt w:val="decimal"/>
      <w:start w:val="12"/>
    </w:lvl>
  </w:abstractNum>
  <w:abstractNum w:abstractNumId="13">
    <w:nsid w:val="836C40E"/>
    <w:multiLevelType w:val="hybridMultilevel"/>
    <w:lvl w:ilvl="0">
      <w:lvlJc w:val="left"/>
      <w:lvlText w:val="%1."/>
      <w:numFmt w:val="decimal"/>
      <w:start w:val="13"/>
    </w:lvl>
  </w:abstractNum>
  <w:abstractNum w:abstractNumId="14">
    <w:nsid w:val="2901D82"/>
    <w:multiLevelType w:val="hybridMultilevel"/>
    <w:lvl w:ilvl="0">
      <w:lvlJc w:val="left"/>
      <w:lvlText w:val="·"/>
      <w:numFmt w:val="bullet"/>
      <w:start w:val="1"/>
    </w:lvl>
  </w:abstractNum>
  <w:abstractNum w:abstractNumId="15">
    <w:nsid w:val="3A95F874"/>
    <w:multiLevelType w:val="hybridMultilevel"/>
    <w:lvl w:ilvl="0">
      <w:lvlJc w:val="left"/>
      <w:lvlText w:val="·"/>
      <w:numFmt w:val="bullet"/>
      <w:start w:val="1"/>
    </w:lvl>
  </w:abstractNum>
  <w:abstractNum w:abstractNumId="16">
    <w:nsid w:val="8138641"/>
    <w:multiLevelType w:val="hybridMultilevel"/>
    <w:lvl w:ilvl="0">
      <w:lvlJc w:val="left"/>
      <w:lvlText w:val="·"/>
      <w:numFmt w:val="bullet"/>
      <w:start w:val="1"/>
    </w:lvl>
  </w:abstractNum>
  <w:abstractNum w:abstractNumId="17">
    <w:nsid w:val="1E7FF521"/>
    <w:multiLevelType w:val="hybridMultilevel"/>
    <w:lvl w:ilvl="0">
      <w:lvlJc w:val="left"/>
      <w:lvlText w:val="·"/>
      <w:numFmt w:val="bullet"/>
      <w:start w:val="1"/>
    </w:lvl>
  </w:abstractNum>
  <w:abstractNum w:abstractNumId="18">
    <w:nsid w:val="7C3DBD3D"/>
    <w:multiLevelType w:val="hybridMultilevel"/>
    <w:lvl w:ilvl="0">
      <w:lvlJc w:val="left"/>
      <w:lvlText w:val="%1."/>
      <w:numFmt w:val="decimal"/>
      <w:start w:val="1"/>
    </w:lvl>
  </w:abstractNum>
  <w:abstractNum w:abstractNumId="19">
    <w:nsid w:val="737B8DDC"/>
    <w:multiLevelType w:val="hybridMultilevel"/>
    <w:lvl w:ilvl="0">
      <w:lvlJc w:val="left"/>
      <w:lvlText w:val="%1."/>
      <w:numFmt w:val="decimal"/>
      <w:start w:val="1"/>
    </w:lvl>
  </w:abstractNum>
  <w:abstractNum w:abstractNumId="20">
    <w:nsid w:val="6CEAF087"/>
    <w:multiLevelType w:val="hybridMultilevel"/>
    <w:lvl w:ilvl="0">
      <w:lvlJc w:val="left"/>
      <w:lvlText w:val="%1."/>
      <w:numFmt w:val="decimal"/>
      <w:start w:val="1"/>
    </w:lvl>
  </w:abstractNum>
  <w:abstractNum w:abstractNumId="21">
    <w:nsid w:val="22221A70"/>
    <w:multiLevelType w:val="hybridMultilevel"/>
    <w:lvl w:ilvl="0">
      <w:lvlJc w:val="left"/>
      <w:lvlText w:val="·"/>
      <w:numFmt w:val="bullet"/>
      <w:start w:val="1"/>
    </w:lvl>
  </w:abstractNum>
  <w:abstractNum w:abstractNumId="22">
    <w:nsid w:val="4516DDE9"/>
    <w:multiLevelType w:val="hybridMultilevel"/>
    <w:lvl w:ilvl="0">
      <w:lvlJc w:val="left"/>
      <w:lvlText w:val="(%1)"/>
      <w:numFmt w:val="lowerRoman"/>
      <w:start w:val="3"/>
    </w:lvl>
  </w:abstractNum>
  <w:abstractNum w:abstractNumId="23">
    <w:nsid w:val="3006C83E"/>
    <w:multiLevelType w:val="hybridMultilevel"/>
    <w:lvl w:ilvl="0">
      <w:lvlJc w:val="left"/>
      <w:lvlText w:val="(%1)"/>
      <w:numFmt w:val="lowerRoman"/>
      <w:start w:val="1"/>
    </w:lvl>
  </w:abstractNum>
  <w:abstractNum w:abstractNumId="24">
    <w:nsid w:val="614FD4A1"/>
    <w:multiLevelType w:val="hybridMultilevel"/>
    <w:lvl w:ilvl="0">
      <w:lvlJc w:val="left"/>
      <w:lvlText w:val="(%1)"/>
      <w:numFmt w:val="lowerRoman"/>
      <w:start w:val="2"/>
    </w:lvl>
  </w:abstractNum>
  <w:abstractNum w:abstractNumId="25">
    <w:nsid w:val="419AC241"/>
    <w:multiLevelType w:val="hybridMultilevel"/>
    <w:lvl w:ilvl="0">
      <w:lvlJc w:val="left"/>
      <w:lvlText w:val="·"/>
      <w:numFmt w:val="bullet"/>
      <w:start w:val="1"/>
    </w:lvl>
  </w:abstractNum>
  <w:abstractNum w:abstractNumId="26">
    <w:nsid w:val="5577F8E1"/>
    <w:multiLevelType w:val="hybridMultilevel"/>
    <w:lvl w:ilvl="0">
      <w:lvlJc w:val="left"/>
      <w:lvlText w:val="·"/>
      <w:numFmt w:val="bullet"/>
      <w:start w:val="1"/>
    </w:lvl>
  </w:abstractNum>
  <w:abstractNum w:abstractNumId="27">
    <w:nsid w:val="440BADFC"/>
    <w:multiLevelType w:val="hybridMultilevel"/>
    <w:lvl w:ilvl="0">
      <w:lvlJc w:val="left"/>
      <w:lvlText w:val="·"/>
      <w:numFmt w:val="bullet"/>
      <w:start w:val="1"/>
    </w:lvl>
  </w:abstractNum>
  <w:abstractNum w:abstractNumId="28">
    <w:nsid w:val="5072367"/>
    <w:multiLevelType w:val="hybridMultilevel"/>
    <w:lvl w:ilvl="0">
      <w:lvlJc w:val="left"/>
      <w:lvlText w:val="·"/>
      <w:numFmt w:val="bullet"/>
      <w:start w:val="1"/>
    </w:lvl>
  </w:abstractNum>
  <w:abstractNum w:abstractNumId="29">
    <w:nsid w:val="3804823E"/>
    <w:multiLevelType w:val="hybridMultilevel"/>
    <w:lvl w:ilvl="0">
      <w:lvlJc w:val="left"/>
      <w:lvlText w:val="·"/>
      <w:numFmt w:val="bullet"/>
      <w:start w:val="1"/>
    </w:lvl>
  </w:abstractNum>
  <w:abstractNum w:abstractNumId="30">
    <w:nsid w:val="77465F01"/>
    <w:multiLevelType w:val="hybridMultilevel"/>
    <w:lvl w:ilvl="0">
      <w:lvlJc w:val="left"/>
      <w:lvlText w:val="·"/>
      <w:numFmt w:val="bullet"/>
      <w:start w:val="1"/>
    </w:lvl>
  </w:abstractNum>
  <w:abstractNum w:abstractNumId="31">
    <w:nsid w:val="7724C67E"/>
    <w:multiLevelType w:val="hybridMultilevel"/>
    <w:lvl w:ilvl="0">
      <w:lvlJc w:val="left"/>
      <w:lvlText w:val="·"/>
      <w:numFmt w:val="bullet"/>
      <w:start w:val="1"/>
    </w:lvl>
  </w:abstractNum>
  <w:abstractNum w:abstractNumId="32">
    <w:nsid w:val="5C482A97"/>
    <w:multiLevelType w:val="hybridMultilevel"/>
    <w:lvl w:ilvl="0">
      <w:lvlJc w:val="left"/>
      <w:lvlText w:val="·"/>
      <w:numFmt w:val="bullet"/>
      <w:start w:val="1"/>
    </w:lvl>
  </w:abstractNum>
  <w:abstractNum w:abstractNumId="33">
    <w:nsid w:val="2463B9EA"/>
    <w:multiLevelType w:val="hybridMultilevel"/>
    <w:lvl w:ilvl="0">
      <w:lvlJc w:val="left"/>
      <w:lvlText w:val="·"/>
      <w:numFmt w:val="bullet"/>
      <w:start w:val="1"/>
    </w:lvl>
  </w:abstractNum>
  <w:abstractNum w:abstractNumId="34">
    <w:nsid w:val="5E884ADC"/>
    <w:multiLevelType w:val="hybridMultilevel"/>
    <w:lvl w:ilvl="0">
      <w:lvlJc w:val="left"/>
      <w:lvlText w:val="·"/>
      <w:numFmt w:val="bullet"/>
      <w:start w:val="1"/>
    </w:lvl>
  </w:abstractNum>
  <w:abstractNum w:abstractNumId="35">
    <w:nsid w:val="51EAD36B"/>
    <w:multiLevelType w:val="hybridMultilevel"/>
    <w:lvl w:ilvl="0">
      <w:lvlJc w:val="left"/>
      <w:lvlText w:val="·"/>
      <w:numFmt w:val="bullet"/>
      <w:start w:val="1"/>
    </w:lvl>
  </w:abstractNum>
  <w:abstractNum w:abstractNumId="36">
    <w:nsid w:val="2D517796"/>
    <w:multiLevelType w:val="hybridMultilevel"/>
    <w:lvl w:ilvl="0">
      <w:lvlJc w:val="left"/>
      <w:lvlText w:val="#"/>
      <w:numFmt w:val="bullet"/>
      <w:start w:val="1"/>
    </w:lvl>
  </w:abstractNum>
  <w:abstractNum w:abstractNumId="37">
    <w:nsid w:val="580BD78F"/>
    <w:multiLevelType w:val="hybridMultilevel"/>
    <w:lvl w:ilvl="0">
      <w:lvlJc w:val="left"/>
      <w:lvlText w:val="(%1)"/>
      <w:numFmt w:val="lowerRoman"/>
      <w:start w:val="1"/>
    </w:lvl>
  </w:abstractNum>
  <w:abstractNum w:abstractNumId="38">
    <w:nsid w:val="153EA438"/>
    <w:multiLevelType w:val="hybridMultilevel"/>
    <w:lvl w:ilvl="0">
      <w:lvlJc w:val="left"/>
      <w:lvlText w:val="(%1)"/>
      <w:numFmt w:val="lowerRoman"/>
      <w:start w:val="1"/>
    </w:lvl>
  </w:abstractNum>
  <w:abstractNum w:abstractNumId="39">
    <w:nsid w:val="3855585C"/>
    <w:multiLevelType w:val="hybridMultilevel"/>
    <w:lvl w:ilvl="0">
      <w:lvlJc w:val="left"/>
      <w:lvlText w:val="%1."/>
      <w:numFmt w:val="decimal"/>
      <w:start w:val="1"/>
    </w:lvl>
    <w:lvl w:ilvl="1">
      <w:lvlJc w:val="left"/>
      <w:lvlText w:val="%2)"/>
      <w:numFmt w:val="lowerLetter"/>
      <w:start w:val="1"/>
    </w:lvl>
  </w:abstractNum>
  <w:abstractNum w:abstractNumId="40">
    <w:nsid w:val="70A64E2A"/>
    <w:multiLevelType w:val="hybridMultilevel"/>
    <w:lvl w:ilvl="0">
      <w:lvlJc w:val="left"/>
      <w:lvlText w:val="%1."/>
      <w:numFmt w:val="decimal"/>
      <w:start w:val="1"/>
    </w:lvl>
    <w:lvl w:ilvl="1">
      <w:lvlJc w:val="left"/>
      <w:lvlText w:val="%2)"/>
      <w:numFmt w:val="lowerLetter"/>
      <w:start w:val="1"/>
    </w:lvl>
  </w:abstractNum>
  <w:abstractNum w:abstractNumId="41">
    <w:nsid w:val="6A2342EC"/>
    <w:multiLevelType w:val="hybridMultilevel"/>
    <w:lvl w:ilvl="0">
      <w:lvlJc w:val="left"/>
      <w:lvlText w:val="(%1)"/>
      <w:numFmt w:val="decimal"/>
      <w:start w:val="1"/>
    </w:lvl>
  </w:abstractNum>
  <w:abstractNum w:abstractNumId="42">
    <w:nsid w:val="2A487CB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6" Type="http://schemas.openxmlformats.org/officeDocument/2006/relationships/image" Target="media/image97.png"/><Relationship Id="rId107" Type="http://schemas.openxmlformats.org/officeDocument/2006/relationships/image" Target="media/image98.png"/><Relationship Id="rId108" Type="http://schemas.openxmlformats.org/officeDocument/2006/relationships/image" Target="media/image99.png"/><Relationship Id="rId109" Type="http://schemas.openxmlformats.org/officeDocument/2006/relationships/image" Target="media/image100.png"/><Relationship Id="rId110" Type="http://schemas.openxmlformats.org/officeDocument/2006/relationships/image" Target="media/image101.png"/><Relationship Id="rId111" Type="http://schemas.openxmlformats.org/officeDocument/2006/relationships/image" Target="media/image102.png"/><Relationship Id="rId112" Type="http://schemas.openxmlformats.org/officeDocument/2006/relationships/image" Target="media/image103.png"/><Relationship Id="rId113" Type="http://schemas.openxmlformats.org/officeDocument/2006/relationships/image" Target="media/image104.png"/><Relationship Id="rId114" Type="http://schemas.openxmlformats.org/officeDocument/2006/relationships/image" Target="media/image105.png"/><Relationship Id="rId115" Type="http://schemas.openxmlformats.org/officeDocument/2006/relationships/image" Target="media/image106.png"/><Relationship Id="rId116" Type="http://schemas.openxmlformats.org/officeDocument/2006/relationships/image" Target="media/image107.png"/><Relationship Id="rId117" Type="http://schemas.openxmlformats.org/officeDocument/2006/relationships/image" Target="media/image108.png"/><Relationship Id="rId118" Type="http://schemas.openxmlformats.org/officeDocument/2006/relationships/image" Target="media/image109.png"/><Relationship Id="rId119" Type="http://schemas.openxmlformats.org/officeDocument/2006/relationships/image" Target="media/image110.png"/><Relationship Id="rId120" Type="http://schemas.openxmlformats.org/officeDocument/2006/relationships/image" Target="media/image111.png"/><Relationship Id="rId104" Type="http://schemas.openxmlformats.org/officeDocument/2006/relationships/hyperlink" Target="http://www.sec.gov/Archives/edgar/data/879169/000104746913001393/a2212845zex-10_14.htm" TargetMode="External"/><Relationship Id="rId105" Type="http://schemas.openxmlformats.org/officeDocument/2006/relationships/hyperlink" Target="http://www.sec.gov/Archives/edgar/data/879169/000110465918029813/a18-12629_1ex10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2019-12-28T21:07:48Z</dcterms:created>
  <dcterms:modified xsi:type="dcterms:W3CDTF">2019-12-28T21:07:48Z</dcterms:modified>
</cp:coreProperties>
</file>