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640" w:right="300" w:hanging="326"/>
        <w:spacing w:after="0" w:line="267" w:lineRule="auto"/>
        <w:tabs>
          <w:tab w:leader="none" w:pos="6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640" w:right="280" w:hanging="326"/>
        <w:spacing w:after="0" w:line="267" w:lineRule="auto"/>
        <w:tabs>
          <w:tab w:leader="none" w:pos="6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8" w:lineRule="exact"/>
        <w:rPr>
          <w:sz w:val="24"/>
          <w:szCs w:val="24"/>
          <w:color w:val="auto"/>
        </w:rPr>
      </w:pPr>
    </w:p>
    <w:p>
      <w:pPr>
        <w:ind w:left="3480"/>
        <w:spacing w:after="0"/>
        <w:tabs>
          <w:tab w:leader="none" w:pos="6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001-12400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INCYTE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6" w:lineRule="exact"/>
        <w:rPr>
          <w:sz w:val="24"/>
          <w:szCs w:val="24"/>
          <w:color w:val="auto"/>
        </w:rPr>
      </w:pPr>
    </w:p>
    <w:tbl>
      <w:tblPr>
        <w:tblLayout w:type="fixed"/>
        <w:tblInd w:w="440" w:type="dxa"/>
        <w:tblCellMar>
          <w:top w:w="0" w:type="dxa"/>
          <w:left w:w="0" w:type="dxa"/>
          <w:bottom w:w="0" w:type="dxa"/>
          <w:right w:w="0" w:type="dxa"/>
        </w:tblCellMar>
      </w:tblP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1"/>
              </w:rPr>
              <w:t>Delaware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548"/>
              <w:spacing w:after="0"/>
              <w:rPr>
                <w:sz w:val="20"/>
                <w:szCs w:val="20"/>
                <w:color w:val="auto"/>
              </w:rPr>
            </w:pPr>
            <w:r>
              <w:rPr>
                <w:rFonts w:ascii="Arial" w:cs="Arial" w:eastAsia="Arial" w:hAnsi="Arial"/>
                <w:sz w:val="16"/>
                <w:szCs w:val="16"/>
                <w:b w:val="1"/>
                <w:bCs w:val="1"/>
                <w:color w:val="auto"/>
              </w:rPr>
              <w:t>94-3136539</w:t>
            </w:r>
          </w:p>
        </w:tc>
      </w:tr>
      <w:tr>
        <w:trPr>
          <w:trHeight w:val="203"/>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4"/>
              </w:rPr>
              <w:t>(IRS Employer</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4"/>
              </w:rPr>
              <w:t>incorporation or organization)</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7"/>
              </w:rPr>
              <w:t>Identification No.)</w:t>
            </w:r>
          </w:p>
        </w:tc>
      </w:tr>
      <w:tr>
        <w:trPr>
          <w:trHeight w:val="397"/>
        </w:trPr>
        <w:tc>
          <w:tcPr>
            <w:tcW w:w="680" w:type="dxa"/>
            <w:vAlign w:val="bottom"/>
          </w:tcPr>
          <w:p>
            <w:pPr>
              <w:spacing w:after="0"/>
              <w:rPr>
                <w:sz w:val="24"/>
                <w:szCs w:val="24"/>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2"/>
              </w:rPr>
              <w:t>1801 Augustine Cut-Off</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5"/>
              </w:rPr>
              <w:t>Wilmington, DE 19803</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728"/>
              <w:spacing w:after="0"/>
              <w:rPr>
                <w:sz w:val="20"/>
                <w:szCs w:val="20"/>
                <w:color w:val="auto"/>
              </w:rPr>
            </w:pPr>
            <w:r>
              <w:rPr>
                <w:rFonts w:ascii="Arial" w:cs="Arial" w:eastAsia="Arial" w:hAnsi="Arial"/>
                <w:sz w:val="16"/>
                <w:szCs w:val="16"/>
                <w:b w:val="1"/>
                <w:bCs w:val="1"/>
                <w:color w:val="auto"/>
              </w:rPr>
              <w:t>19803</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(Address of principal executive offices)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2"/>
              </w:rPr>
              <w:t>(Zip Code)</w:t>
            </w:r>
          </w:p>
        </w:tc>
      </w:tr>
      <w:tr>
        <w:trPr>
          <w:trHeight w:val="320"/>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gridSpan w:val="2"/>
          </w:tcPr>
          <w:p>
            <w:pPr>
              <w:jc w:val="center"/>
              <w:ind w:left="204"/>
              <w:spacing w:after="0"/>
              <w:rPr>
                <w:sz w:val="20"/>
                <w:szCs w:val="20"/>
                <w:color w:val="auto"/>
              </w:rPr>
            </w:pPr>
            <w:r>
              <w:rPr>
                <w:rFonts w:ascii="Arial" w:cs="Arial" w:eastAsia="Arial" w:hAnsi="Arial"/>
                <w:sz w:val="16"/>
                <w:szCs w:val="16"/>
                <w:b w:val="1"/>
                <w:bCs w:val="1"/>
                <w:color w:val="auto"/>
                <w:w w:val="93"/>
              </w:rPr>
              <w:t>(302) 498-6700</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40" w:type="dxa"/>
            <w:vAlign w:val="bottom"/>
            <w:gridSpan w:val="4"/>
          </w:tcPr>
          <w:p>
            <w:pPr>
              <w:jc w:val="center"/>
              <w:ind w:left="879"/>
              <w:spacing w:after="0"/>
              <w:rPr>
                <w:sz w:val="20"/>
                <w:szCs w:val="20"/>
                <w:color w:val="auto"/>
              </w:rPr>
            </w:pPr>
            <w:r>
              <w:rPr>
                <w:rFonts w:ascii="Arial" w:cs="Arial" w:eastAsia="Arial" w:hAnsi="Arial"/>
                <w:sz w:val="16"/>
                <w:szCs w:val="16"/>
                <w:color w:val="auto"/>
                <w:w w:val="91"/>
              </w:rPr>
              <w:t>(Registrant’s telephone number, including area code)</w:t>
            </w: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97"/>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4"/>
          </w:tcPr>
          <w:p>
            <w:pPr>
              <w:jc w:val="center"/>
              <w:ind w:left="89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3"/>
        </w:trPr>
        <w:tc>
          <w:tcPr>
            <w:tcW w:w="6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0" w:type="dxa"/>
            <w:vAlign w:val="bottom"/>
          </w:tcPr>
          <w:p>
            <w:pPr>
              <w:spacing w:after="0"/>
              <w:rPr>
                <w:sz w:val="22"/>
                <w:szCs w:val="22"/>
                <w:color w:val="auto"/>
              </w:rPr>
            </w:pPr>
          </w:p>
        </w:tc>
        <w:tc>
          <w:tcPr>
            <w:tcW w:w="28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76"/>
        </w:trPr>
        <w:tc>
          <w:tcPr>
            <w:tcW w:w="3760" w:type="dxa"/>
            <w:vAlign w:val="bottom"/>
            <w:gridSpan w:val="3"/>
          </w:tcPr>
          <w:p>
            <w:pPr>
              <w:jc w:val="center"/>
              <w:ind w:right="1259"/>
              <w:spacing w:after="0"/>
              <w:rPr>
                <w:sz w:val="20"/>
                <w:szCs w:val="20"/>
                <w:color w:val="auto"/>
              </w:rPr>
            </w:pPr>
            <w:r>
              <w:rPr>
                <w:rFonts w:ascii="Arial" w:cs="Arial" w:eastAsia="Arial" w:hAnsi="Arial"/>
                <w:sz w:val="14"/>
                <w:szCs w:val="14"/>
                <w:color w:val="auto"/>
                <w:w w:val="91"/>
              </w:rPr>
              <w:t>Common Stock, $.001 par value per share</w:t>
            </w:r>
          </w:p>
        </w:tc>
        <w:tc>
          <w:tcPr>
            <w:tcW w:w="400" w:type="dxa"/>
            <w:vAlign w:val="bottom"/>
          </w:tcPr>
          <w:p>
            <w:pPr>
              <w:spacing w:after="0"/>
              <w:rPr>
                <w:sz w:val="15"/>
                <w:szCs w:val="15"/>
                <w:color w:val="auto"/>
              </w:rPr>
            </w:pPr>
          </w:p>
        </w:tc>
        <w:tc>
          <w:tcPr>
            <w:tcW w:w="2440" w:type="dxa"/>
            <w:vAlign w:val="bottom"/>
            <w:gridSpan w:val="2"/>
          </w:tcPr>
          <w:p>
            <w:pPr>
              <w:jc w:val="center"/>
              <w:ind w:right="1300"/>
              <w:spacing w:after="0"/>
              <w:rPr>
                <w:sz w:val="20"/>
                <w:szCs w:val="20"/>
                <w:color w:val="auto"/>
              </w:rPr>
            </w:pPr>
            <w:r>
              <w:rPr>
                <w:rFonts w:ascii="Arial" w:cs="Arial" w:eastAsia="Arial" w:hAnsi="Arial"/>
                <w:sz w:val="14"/>
                <w:szCs w:val="14"/>
                <w:color w:val="auto"/>
              </w:rPr>
              <w:t>INCY</w:t>
            </w:r>
          </w:p>
        </w:tc>
        <w:tc>
          <w:tcPr>
            <w:tcW w:w="3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9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3" w:lineRule="exact"/>
        <w:rPr>
          <w:sz w:val="24"/>
          <w:szCs w:val="24"/>
          <w:color w:val="auto"/>
        </w:rPr>
      </w:pPr>
    </w:p>
    <w:p>
      <w:pPr>
        <w:ind w:left="1680"/>
        <w:spacing w:after="0" w:line="201" w:lineRule="exact"/>
        <w:rPr>
          <w:sz w:val="20"/>
          <w:szCs w:val="20"/>
          <w:color w:val="auto"/>
        </w:rPr>
      </w:pPr>
      <w:r>
        <w:rPr>
          <w:rFonts w:ascii="Arial" w:cs="Arial" w:eastAsia="Arial" w:hAnsi="Arial"/>
          <w:sz w:val="15"/>
          <w:szCs w:val="15"/>
          <w:color w:val="auto"/>
        </w:rPr>
        <w:t xml:space="preserve">Large 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200" w:lineRule="exact"/>
        <w:rPr>
          <w:sz w:val="24"/>
          <w:szCs w:val="24"/>
          <w:color w:val="auto"/>
        </w:rPr>
      </w:pPr>
    </w:p>
    <w:p>
      <w:pPr>
        <w:sectPr>
          <w:pgSz w:w="11900" w:h="16838" w:orient="portrait"/>
          <w:cols w:equalWidth="0" w:num="2">
            <w:col w:w="6360" w:space="720"/>
            <w:col w:w="3140"/>
          </w:cols>
          <w:pgMar w:left="840" w:top="665" w:right="839" w:bottom="1440" w:gutter="0" w:footer="0" w:header="0"/>
          <w:type w:val="continuous"/>
        </w:sectPr>
      </w:pPr>
    </w:p>
    <w:p>
      <w:pPr>
        <w:spacing w:after="0" w:line="34"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0" w:lineRule="exact"/>
        <w:rPr>
          <w:sz w:val="24"/>
          <w:szCs w:val="24"/>
          <w:color w:val="auto"/>
        </w:rPr>
      </w:pPr>
    </w:p>
    <w:p>
      <w:pPr>
        <w:sectPr>
          <w:pgSz w:w="11900" w:h="16838" w:orient="portrait"/>
          <w:cols w:equalWidth="0" w:num="2">
            <w:col w:w="6000" w:space="720"/>
            <w:col w:w="3500"/>
          </w:cols>
          <w:pgMar w:left="840" w:top="665" w:right="839" w:bottom="1440" w:gutter="0" w:footer="0" w:header="0"/>
          <w:type w:val="continuous"/>
        </w:sectPr>
      </w:pPr>
    </w:p>
    <w:p>
      <w:pPr>
        <w:spacing w:after="0" w:line="14" w:lineRule="exact"/>
        <w:rPr>
          <w:sz w:val="24"/>
          <w:szCs w:val="24"/>
          <w:color w:val="auto"/>
        </w:rPr>
      </w:pPr>
    </w:p>
    <w:p>
      <w:pPr>
        <w:ind w:left="6740"/>
        <w:spacing w:after="0" w:line="201" w:lineRule="exact"/>
        <w:rPr>
          <w:sz w:val="20"/>
          <w:szCs w:val="20"/>
          <w:color w:val="auto"/>
        </w:rPr>
      </w:pP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ectPr>
          <w:pgSz w:w="11900" w:h="16838" w:orient="portrait"/>
          <w:cols w:equalWidth="0" w:num="1">
            <w:col w:w="10220"/>
          </w:cols>
          <w:pgMar w:left="840" w:top="665" w:right="839" w:bottom="1440" w:gutter="0" w:footer="0" w:header="0"/>
          <w:type w:val="continuous"/>
        </w:sectPr>
      </w:pPr>
    </w:p>
    <w:p>
      <w:pPr>
        <w:spacing w:after="0" w:line="167" w:lineRule="exact"/>
        <w:rPr>
          <w:sz w:val="24"/>
          <w:szCs w:val="24"/>
          <w:color w:val="auto"/>
        </w:rPr>
      </w:pPr>
    </w:p>
    <w:p>
      <w:pPr>
        <w:ind w:right="26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0" w:lineRule="exact"/>
        <w:rPr>
          <w:sz w:val="24"/>
          <w:szCs w:val="24"/>
          <w:color w:val="auto"/>
        </w:rPr>
      </w:pPr>
    </w:p>
    <w:p>
      <w:pPr>
        <w:ind w:left="320" w:right="1580"/>
        <w:spacing w:after="0" w:line="28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The number of outstanding shares of the registrant’s Common Stock, $.001 par value, was 222,430,635 as of July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664845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133350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175895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8"/>
          </w:tcPr>
          <w:p>
            <w:pPr>
              <w:jc w:val="center"/>
              <w:ind w:right="1340"/>
              <w:spacing w:after="0"/>
              <w:rPr>
                <w:sz w:val="20"/>
                <w:szCs w:val="20"/>
                <w:color w:val="auto"/>
              </w:rPr>
            </w:pPr>
            <w:r>
              <w:rPr>
                <w:rFonts w:ascii="Arial" w:cs="Arial" w:eastAsia="Arial" w:hAnsi="Arial"/>
                <w:sz w:val="18"/>
                <w:szCs w:val="18"/>
                <w:b w:val="1"/>
                <w:bCs w:val="1"/>
                <w:color w:val="auto"/>
              </w:rPr>
              <w:t>INCYTE CORPORATION</w:t>
            </w:r>
          </w:p>
        </w:tc>
        <w:tc>
          <w:tcPr>
            <w:tcW w:w="1720" w:type="dxa"/>
            <w:vAlign w:val="bottom"/>
          </w:tcPr>
          <w:p>
            <w:pPr>
              <w:spacing w:after="0"/>
              <w:rPr>
                <w:sz w:val="20"/>
                <w:szCs w:val="20"/>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20" w:type="dxa"/>
            <w:vAlign w:val="bottom"/>
            <w:gridSpan w:val="7"/>
          </w:tcPr>
          <w:p>
            <w:pPr>
              <w:jc w:val="center"/>
              <w:ind w:right="1940"/>
              <w:spacing w:after="0"/>
              <w:rPr>
                <w:sz w:val="20"/>
                <w:szCs w:val="20"/>
                <w:color w:val="auto"/>
              </w:rPr>
            </w:pPr>
            <w:r>
              <w:rPr>
                <w:rFonts w:ascii="Arial" w:cs="Arial" w:eastAsia="Arial" w:hAnsi="Arial"/>
                <w:sz w:val="18"/>
                <w:szCs w:val="18"/>
                <w:b w:val="1"/>
                <w:bCs w:val="1"/>
                <w:color w:val="auto"/>
              </w:rPr>
              <w:t>INDEX</w:t>
            </w:r>
          </w:p>
        </w:tc>
        <w:tc>
          <w:tcPr>
            <w:tcW w:w="1720" w:type="dxa"/>
            <w:vAlign w:val="bottom"/>
          </w:tcPr>
          <w:p>
            <w:pPr>
              <w:spacing w:after="0"/>
              <w:rPr>
                <w:sz w:val="24"/>
                <w:szCs w:val="24"/>
                <w:color w:val="auto"/>
              </w:rPr>
            </w:pPr>
          </w:p>
        </w:tc>
      </w:tr>
      <w:tr>
        <w:trPr>
          <w:trHeight w:val="338"/>
        </w:trPr>
        <w:tc>
          <w:tcPr>
            <w:tcW w:w="720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3">
              <w:r>
                <w:rPr>
                  <w:rFonts w:ascii="Arial" w:cs="Arial" w:eastAsia="Arial" w:hAnsi="Arial"/>
                  <w:sz w:val="18"/>
                  <w:szCs w:val="18"/>
                  <w:b w:val="1"/>
                  <w:bCs w:val="1"/>
                  <w:color w:val="0000EE"/>
                </w:rPr>
                <w:t>FINANCIAL INFORMATION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80" w:type="dxa"/>
            <w:vAlign w:val="bottom"/>
            <w:tcBorders>
              <w:top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Item 1.</w:t>
              </w:r>
            </w:hyperlink>
          </w:p>
        </w:tc>
        <w:tc>
          <w:tcPr>
            <w:tcW w:w="12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120" w:type="dxa"/>
            <w:vAlign w:val="bottom"/>
            <w:gridSpan w:val="8"/>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3520" w:type="dxa"/>
            <w:vAlign w:val="bottom"/>
            <w:gridSpan w:val="7"/>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w:t>
              </w:r>
            </w:hyperlink>
          </w:p>
        </w:tc>
        <w:tc>
          <w:tcPr>
            <w:tcW w:w="13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w:t>
              </w:r>
            </w:hyperlink>
          </w:p>
        </w:tc>
        <w:tc>
          <w:tcPr>
            <w:tcW w:w="206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2740" w:type="dxa"/>
            <w:vAlign w:val="bottom"/>
            <w:gridSpan w:val="5"/>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2460" w:type="dxa"/>
            <w:vAlign w:val="bottom"/>
            <w:gridSpan w:val="4"/>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2.</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Forward-Looking Statements</w:t>
              </w:r>
            </w:hyperlink>
          </w:p>
        </w:tc>
        <w:tc>
          <w:tcPr>
            <w:tcW w:w="4340" w:type="dxa"/>
            <w:vAlign w:val="bottom"/>
            <w:gridSpan w:val="9"/>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Summary Risk Factors</w:t>
              </w:r>
            </w:hyperlink>
          </w:p>
        </w:tc>
        <w:tc>
          <w:tcPr>
            <w:tcW w:w="4800" w:type="dxa"/>
            <w:vAlign w:val="bottom"/>
            <w:gridSpan w:val="1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Item 3.</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Item 4.</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7200" w:type="dxa"/>
            <w:vAlign w:val="bottom"/>
            <w:gridSpan w:val="23"/>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56">
              <w:r>
                <w:rPr>
                  <w:rFonts w:ascii="Arial" w:cs="Arial" w:eastAsia="Arial" w:hAnsi="Arial"/>
                  <w:sz w:val="18"/>
                  <w:szCs w:val="18"/>
                  <w:b w:val="1"/>
                  <w:bCs w:val="1"/>
                  <w:color w:val="0000EE"/>
                </w:rPr>
                <w:t>OTHER INFORMATION</w:t>
              </w:r>
            </w:hyperlink>
          </w:p>
        </w:tc>
        <w:tc>
          <w:tcPr>
            <w:tcW w:w="172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b w:val="1"/>
                <w:bCs w:val="1"/>
                <w:color w:val="0000EE"/>
                <w:w w:val="94"/>
              </w:rPr>
            </w:pPr>
            <w:hyperlink w:anchor="page56">
              <w:r>
                <w:rPr>
                  <w:rFonts w:ascii="Arial" w:cs="Arial" w:eastAsia="Arial" w:hAnsi="Arial"/>
                  <w:sz w:val="18"/>
                  <w:szCs w:val="18"/>
                  <w:b w:val="1"/>
                  <w:bCs w:val="1"/>
                  <w:color w:val="0000EE"/>
                  <w:w w:val="94"/>
                </w:rPr>
                <w:t>Item 1A.</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6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540" w:type="dxa"/>
            <w:vAlign w:val="bottom"/>
            <w:gridSpan w:val="1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Item 6.</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Exhibits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5680" w:type="dxa"/>
            <w:vAlign w:val="bottom"/>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80" w:type="dxa"/>
            <w:vAlign w:val="bottom"/>
          </w:tcPr>
          <w:p>
            <w:pPr>
              <w:jc w:val="center"/>
              <w:ind w:left="1730"/>
              <w:spacing w:after="0"/>
              <w:rPr>
                <w:sz w:val="20"/>
                <w:szCs w:val="20"/>
                <w:color w:val="auto"/>
              </w:rPr>
            </w:pPr>
            <w:r>
              <w:rPr>
                <w:rFonts w:ascii="Arial" w:cs="Arial" w:eastAsia="Arial" w:hAnsi="Arial"/>
                <w:sz w:val="18"/>
                <w:szCs w:val="18"/>
                <w:b w:val="1"/>
                <w:bCs w:val="1"/>
                <w:color w:val="auto"/>
              </w:rPr>
              <w:t>INCYTE CORPORATION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940" w:type="dxa"/>
            <w:vAlign w:val="bottom"/>
            <w:gridSpan w:val="3"/>
          </w:tcPr>
          <w:p>
            <w:pPr>
              <w:jc w:val="center"/>
              <w:ind w:left="1450"/>
              <w:spacing w:after="0" w:line="189" w:lineRule="exact"/>
              <w:rPr>
                <w:sz w:val="20"/>
                <w:szCs w:val="20"/>
                <w:color w:val="auto"/>
              </w:rPr>
            </w:pPr>
            <w:r>
              <w:rPr>
                <w:rFonts w:ascii="Arial" w:cs="Arial" w:eastAsia="Arial" w:hAnsi="Arial"/>
                <w:sz w:val="18"/>
                <w:szCs w:val="18"/>
                <w:b w:val="1"/>
                <w:bCs w:val="1"/>
                <w:color w:val="auto"/>
                <w:w w:val="98"/>
              </w:rPr>
              <w:t>CONDENSED CONSOLIDATED BALANCE SHEETS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940" w:type="dxa"/>
            <w:vAlign w:val="bottom"/>
            <w:gridSpan w:val="3"/>
          </w:tcPr>
          <w:p>
            <w:pPr>
              <w:jc w:val="center"/>
              <w:ind w:left="1450"/>
              <w:spacing w:after="0"/>
              <w:rPr>
                <w:sz w:val="20"/>
                <w:szCs w:val="20"/>
                <w:color w:val="auto"/>
              </w:rPr>
            </w:pPr>
            <w:r>
              <w:rPr>
                <w:rFonts w:ascii="Arial" w:cs="Arial" w:eastAsia="Arial" w:hAnsi="Arial"/>
                <w:sz w:val="18"/>
                <w:szCs w:val="18"/>
                <w:b w:val="1"/>
                <w:bCs w:val="1"/>
                <w:color w:val="auto"/>
                <w:w w:val="88"/>
              </w:rPr>
              <w:t>(in thousands, except number of shares and par value)</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(unaudited)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ASSETS</w:t>
            </w:r>
          </w:p>
        </w:tc>
        <w:tc>
          <w:tcPr>
            <w:tcW w:w="5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tcPr>
          <w:p>
            <w:pPr>
              <w:spacing w:after="0" w:line="176"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2,435,381</w:t>
            </w:r>
          </w:p>
        </w:tc>
        <w:tc>
          <w:tcPr>
            <w:tcW w:w="14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2,057,440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gridSpan w:val="2"/>
          </w:tcPr>
          <w:p>
            <w:pPr>
              <w:ind w:left="200"/>
              <w:spacing w:after="0" w:line="149" w:lineRule="exact"/>
              <w:rPr>
                <w:sz w:val="20"/>
                <w:szCs w:val="20"/>
                <w:color w:val="auto"/>
              </w:rPr>
            </w:pPr>
            <w:r>
              <w:rPr>
                <w:rFonts w:ascii="Arial" w:cs="Arial" w:eastAsia="Arial" w:hAnsi="Arial"/>
                <w:sz w:val="17"/>
                <w:szCs w:val="17"/>
                <w:color w:val="auto"/>
                <w:w w:val="96"/>
              </w:rPr>
              <w:t>Marketable securities—available-for-sale (amortized cost $292,350 and $291,871 as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3"/>
              </w:rPr>
              <w:t>of June 30, 2022 and December 31, 2021, respectively; allowance for credit losses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287,044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290,752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$0 as of June 30, 2022 and December 31, 2021)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682,968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616,300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54,502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27,904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165,950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126,278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300"/>
              <w:spacing w:after="0" w:line="169" w:lineRule="exact"/>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8"/>
                <w:szCs w:val="18"/>
                <w:color w:val="auto"/>
                <w:w w:val="99"/>
              </w:rPr>
              <w:t>3,625,845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3,118,674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3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60" w:type="dxa"/>
            <w:vAlign w:val="bottom"/>
            <w:gridSpan w:val="2"/>
          </w:tcPr>
          <w:p>
            <w:pPr>
              <w:spacing w:after="0" w:line="176" w:lineRule="exact"/>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1,644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1,720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Long term investments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149,784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221,266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Pr>
          <w:p>
            <w:pPr>
              <w:spacing w:after="0" w:line="176" w:lineRule="exact"/>
              <w:rPr>
                <w:sz w:val="20"/>
                <w:szCs w:val="20"/>
                <w:color w:val="auto"/>
              </w:rPr>
            </w:pPr>
            <w:r>
              <w:rPr>
                <w:rFonts w:ascii="Arial" w:cs="Arial" w:eastAsia="Arial" w:hAnsi="Arial"/>
                <w:sz w:val="18"/>
                <w:szCs w:val="18"/>
                <w:color w:val="auto"/>
                <w:w w:val="89"/>
              </w:rPr>
              <w:t>Inventory</w:t>
            </w:r>
          </w:p>
        </w:tc>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39,626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29,034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721,328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723,920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gridSpan w:val="2"/>
          </w:tcPr>
          <w:p>
            <w:pPr>
              <w:spacing w:after="0" w:line="176" w:lineRule="exact"/>
              <w:rPr>
                <w:sz w:val="20"/>
                <w:szCs w:val="20"/>
                <w:color w:val="auto"/>
              </w:rPr>
            </w:pPr>
            <w:r>
              <w:rPr>
                <w:rFonts w:ascii="Arial" w:cs="Arial" w:eastAsia="Arial" w:hAnsi="Arial"/>
                <w:sz w:val="18"/>
                <w:szCs w:val="18"/>
                <w:color w:val="auto"/>
              </w:rPr>
              <w:t>Finance lease right-of-use assets, net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27,349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27,548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139,987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150,755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Pr>
          <w:p>
            <w:pPr>
              <w:spacing w:after="0" w:line="176" w:lineRule="exact"/>
              <w:rPr>
                <w:sz w:val="20"/>
                <w:szCs w:val="20"/>
                <w:color w:val="auto"/>
              </w:rPr>
            </w:pPr>
            <w:r>
              <w:rPr>
                <w:rFonts w:ascii="Arial" w:cs="Arial" w:eastAsia="Arial" w:hAnsi="Arial"/>
                <w:sz w:val="18"/>
                <w:szCs w:val="18"/>
                <w:color w:val="auto"/>
                <w:w w:val="95"/>
              </w:rPr>
              <w:t>Goodwill</w:t>
            </w:r>
          </w:p>
        </w:tc>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155,593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155,593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Deferred income tax asset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434,867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467,538</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Other assets, net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23,012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37,304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tcBorders>
              <w:bottom w:val="single" w:sz="8" w:color="CCEEFF"/>
            </w:tcBorders>
            <w:gridSpan w:val="2"/>
            <w:shd w:val="clear" w:color="auto" w:fill="CCEEFF"/>
          </w:tcPr>
          <w:p>
            <w:pPr>
              <w:ind w:left="300"/>
              <w:spacing w:after="0" w:line="169"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5,319,035</w:t>
            </w: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4,933,352</w:t>
            </w: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68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gridSpan w:val="2"/>
          </w:tcPr>
          <w:p>
            <w:pPr>
              <w:spacing w:after="0" w:line="176"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194,770</w:t>
            </w:r>
          </w:p>
        </w:tc>
        <w:tc>
          <w:tcPr>
            <w:tcW w:w="14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172,110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93,145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108,962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Accrued and other current liabilities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598,808</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533,595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Finance lease liabilities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3,036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2,635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Acquisition-related contingent consideration</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36,915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37,006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300"/>
              <w:spacing w:after="0" w:line="169"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926,674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854,308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3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360" w:type="dxa"/>
            <w:vAlign w:val="bottom"/>
            <w:gridSpan w:val="2"/>
          </w:tcPr>
          <w:p>
            <w:pPr>
              <w:spacing w:after="0" w:line="176" w:lineRule="exact"/>
              <w:rPr>
                <w:sz w:val="20"/>
                <w:szCs w:val="20"/>
                <w:color w:val="auto"/>
              </w:rPr>
            </w:pPr>
            <w:r>
              <w:rPr>
                <w:rFonts w:ascii="Arial" w:cs="Arial" w:eastAsia="Arial" w:hAnsi="Arial"/>
                <w:sz w:val="18"/>
                <w:szCs w:val="18"/>
                <w:color w:val="auto"/>
              </w:rPr>
              <w:t>Acquisition-related contingent consideration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200,085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206,994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Finance lease liabilities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31,157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31,632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76,058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70,414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1,233,974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1,163,348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Commitments and contingencies (Note 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63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Preferred stock, $0.001 par value; 5,000,000 shares authorized; none issued 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7"/>
                <w:szCs w:val="17"/>
                <w:color w:val="auto"/>
                <w:w w:val="97"/>
              </w:rPr>
              <w:t>Common stock, $0.001 par value; 400,000,000 shares authorized; 221,875,396 and</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221,084,433 shares issued and outstanding as of June 30, 2022 and December 31,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2021, respectively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4,688,985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4,567,111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(25,696)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(19,454)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tcBorders>
              <w:bottom w:val="single" w:sz="8" w:color="CCEEFF"/>
            </w:tcBorders>
            <w:gridSpan w:val="2"/>
          </w:tcPr>
          <w:p>
            <w:pPr>
              <w:ind w:left="200"/>
              <w:spacing w:after="0" w:line="176" w:lineRule="exact"/>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(578,450)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(777,874)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4,085,061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3,770,004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300"/>
              <w:spacing w:after="0" w:line="169"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5,319,035</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4,933,352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right="619" w:hanging="10"/>
        <w:spacing w:after="0" w:line="246" w:lineRule="auto"/>
        <w:tabs>
          <w:tab w:leader="none" w:pos="2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2021 has been derived from the audited consolidated financial statements at that date.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Product revenues, net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663,851</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575,150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1,269,672</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1,079,961</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royalty 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117,546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120,559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220,466</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Milestone and contract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130,000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Borders>
              <w:bottom w:val="single" w:sz="8" w:color="CCEEFF"/>
            </w:tcBorders>
          </w:tcPr>
          <w:p>
            <w:pPr>
              <w:spacing w:after="0"/>
              <w:rPr>
                <w:sz w:val="18"/>
                <w:szCs w:val="18"/>
                <w:color w:val="auto"/>
              </w:rPr>
            </w:pPr>
          </w:p>
        </w:tc>
      </w:tr>
      <w:tr>
        <w:trPr>
          <w:trHeight w:val="210"/>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911,397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705,709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1,644,632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1,310,427</w:t>
            </w:r>
          </w:p>
        </w:tc>
        <w:tc>
          <w:tcPr>
            <w:tcW w:w="60" w:type="dxa"/>
            <w:vAlign w:val="bottom"/>
            <w:tcBorders>
              <w:bottom w:val="single" w:sz="8" w:color="CCEEFF"/>
            </w:tcBorders>
          </w:tcPr>
          <w:p>
            <w:pPr>
              <w:spacing w:after="0"/>
              <w:rPr>
                <w:sz w:val="18"/>
                <w:szCs w:val="18"/>
                <w:color w:val="auto"/>
              </w:rPr>
            </w:pPr>
          </w:p>
        </w:tc>
      </w:tr>
      <w:tr>
        <w:trPr>
          <w:trHeight w:val="209"/>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4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Cost of product revenues (including definite-lived intangible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67,248</w:t>
            </w:r>
          </w:p>
        </w:tc>
        <w:tc>
          <w:tcPr>
            <w:tcW w:w="60" w:type="dxa"/>
            <w:vAlign w:val="bottom"/>
            <w:shd w:val="clear" w:color="auto" w:fill="CCEEFF"/>
          </w:tcPr>
          <w:p>
            <w:pPr>
              <w:spacing w:after="0"/>
              <w:rPr>
                <w:sz w:val="20"/>
                <w:szCs w:val="20"/>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347,196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343,511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700,569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650,407</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253,277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168,859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322,654</w:t>
            </w:r>
          </w:p>
        </w:tc>
        <w:tc>
          <w:tcPr>
            <w:tcW w:w="60" w:type="dxa"/>
            <w:vAlign w:val="bottom"/>
            <w:shd w:val="clear" w:color="auto" w:fill="CCEEFF"/>
          </w:tcPr>
          <w:p>
            <w:pPr>
              <w:spacing w:after="0"/>
              <w:rPr>
                <w:sz w:val="18"/>
                <w:szCs w:val="18"/>
                <w:color w:val="auto"/>
              </w:rPr>
            </w:pPr>
          </w:p>
        </w:tc>
      </w:tr>
      <w:tr>
        <w:trPr>
          <w:trHeight w:val="202"/>
        </w:trPr>
        <w:tc>
          <w:tcPr>
            <w:tcW w:w="4780" w:type="dxa"/>
            <w:vAlign w:val="bottom"/>
          </w:tcPr>
          <w:p>
            <w:pPr>
              <w:ind w:left="220"/>
              <w:spacing w:after="0" w:line="201" w:lineRule="exact"/>
              <w:rPr>
                <w:sz w:val="20"/>
                <w:szCs w:val="20"/>
                <w:color w:val="auto"/>
              </w:rPr>
            </w:pPr>
            <w:r>
              <w:rPr>
                <w:rFonts w:ascii="Arial" w:cs="Arial" w:eastAsia="Arial" w:hAnsi="Arial"/>
                <w:sz w:val="18"/>
                <w:szCs w:val="18"/>
                <w:color w:val="auto"/>
              </w:rPr>
              <w:t>Change in fair value of acquisition-related contingent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consideration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10,158</w:t>
            </w:r>
          </w:p>
        </w:tc>
        <w:tc>
          <w:tcPr>
            <w:tcW w:w="60" w:type="dxa"/>
            <w:vAlign w:val="bottom"/>
          </w:tcPr>
          <w:p>
            <w:pPr>
              <w:spacing w:after="0"/>
              <w:rPr>
                <w:sz w:val="20"/>
                <w:szCs w:val="20"/>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loss sharing</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20,327</w:t>
            </w:r>
          </w:p>
        </w:tc>
        <w:tc>
          <w:tcPr>
            <w:tcW w:w="60" w:type="dxa"/>
            <w:vAlign w:val="bottom"/>
            <w:shd w:val="clear" w:color="auto" w:fill="CCEEFF"/>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656,966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564,873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1,273,661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1,070,794</w:t>
            </w:r>
          </w:p>
        </w:tc>
        <w:tc>
          <w:tcPr>
            <w:tcW w:w="60" w:type="dxa"/>
            <w:vAlign w:val="bottom"/>
            <w:shd w:val="clear" w:color="auto" w:fill="CCEEFF"/>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254,431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140,836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239,633</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2,983</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Unrealized (loss) gain on long term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(24,897)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(71,482)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(944)</w:t>
            </w:r>
          </w:p>
        </w:tc>
      </w:tr>
      <w:tr>
        <w:trPr>
          <w:trHeight w:val="209"/>
        </w:trPr>
        <w:tc>
          <w:tcPr>
            <w:tcW w:w="4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229,378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171,633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299,913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240,955</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37,964</w:t>
            </w:r>
          </w:p>
        </w:tc>
        <w:tc>
          <w:tcPr>
            <w:tcW w:w="60" w:type="dxa"/>
            <w:vAlign w:val="bottom"/>
            <w:tcBorders>
              <w:bottom w:val="single" w:sz="8" w:color="CCEEFF"/>
            </w:tcBorders>
          </w:tcPr>
          <w:p>
            <w:pPr>
              <w:spacing w:after="0"/>
              <w:rPr>
                <w:sz w:val="18"/>
                <w:szCs w:val="18"/>
                <w:color w:val="auto"/>
              </w:rPr>
            </w:pPr>
          </w:p>
        </w:tc>
      </w:tr>
      <w:tr>
        <w:trPr>
          <w:trHeight w:val="210"/>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0"/>
        </w:trPr>
        <w:tc>
          <w:tcPr>
            <w:tcW w:w="4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161,432</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149,456</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199,424</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202,991</w:t>
            </w:r>
          </w:p>
        </w:tc>
        <w:tc>
          <w:tcPr>
            <w:tcW w:w="60" w:type="dxa"/>
            <w:vAlign w:val="bottom"/>
            <w:tcBorders>
              <w:bottom w:val="single" w:sz="8" w:color="CCEEFF"/>
            </w:tcBorders>
          </w:tcPr>
          <w:p>
            <w:pPr>
              <w:spacing w:after="0"/>
              <w:rPr>
                <w:sz w:val="21"/>
                <w:szCs w:val="21"/>
                <w:color w:val="auto"/>
              </w:rPr>
            </w:pPr>
          </w:p>
        </w:tc>
      </w:tr>
      <w:tr>
        <w:trPr>
          <w:trHeight w:val="196"/>
        </w:trPr>
        <w:tc>
          <w:tcPr>
            <w:tcW w:w="4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0.72</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0.91</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Shares used in computing net income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221,660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220,083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219,942</w:t>
            </w:r>
          </w:p>
        </w:tc>
        <w:tc>
          <w:tcPr>
            <w:tcW w:w="60" w:type="dxa"/>
            <w:vAlign w:val="bottom"/>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223,661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222,250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223,277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222,061</w:t>
            </w:r>
          </w:p>
        </w:tc>
        <w:tc>
          <w:tcPr>
            <w:tcW w:w="60" w:type="dxa"/>
            <w:vAlign w:val="bottom"/>
          </w:tcPr>
          <w:p>
            <w:pPr>
              <w:spacing w:after="0"/>
              <w:rPr>
                <w:sz w:val="20"/>
                <w:szCs w:val="20"/>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$ 161,432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$ 149,456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$ 199,424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$ 202,991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Foreign currency translation (loss) gain</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(1,837)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6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(2,619)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(3,432)</w:t>
            </w: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Unrealized loss on marketable securities, net of tax</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(4,187)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Defined benefit pension gain, net of tax</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60" w:type="dxa"/>
            <w:vAlign w:val="bottom"/>
          </w:tcPr>
          <w:p>
            <w:pPr>
              <w:spacing w:after="0"/>
              <w:rPr>
                <w:sz w:val="18"/>
                <w:szCs w:val="18"/>
                <w:color w:val="auto"/>
              </w:rPr>
            </w:pPr>
          </w:p>
        </w:tc>
      </w:tr>
      <w:tr>
        <w:trPr>
          <w:trHeight w:val="209"/>
        </w:trPr>
        <w:tc>
          <w:tcPr>
            <w:tcW w:w="4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$ 158,783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$ 151,541</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$ 193,182</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$ 200,078</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24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6100" w:type="dxa"/>
            <w:vAlign w:val="bottom"/>
            <w:gridSpan w:val="4"/>
          </w:tcPr>
          <w:p>
            <w:pPr>
              <w:jc w:val="center"/>
              <w:ind w:left="2750"/>
              <w:spacing w:after="0"/>
              <w:rPr>
                <w:sz w:val="20"/>
                <w:szCs w:val="20"/>
                <w:color w:val="auto"/>
              </w:rPr>
            </w:pPr>
            <w:r>
              <w:rPr>
                <w:rFonts w:ascii="Arial" w:cs="Arial" w:eastAsia="Arial" w:hAnsi="Arial"/>
                <w:sz w:val="18"/>
                <w:szCs w:val="18"/>
                <w:color w:val="auto"/>
                <w:w w:val="87"/>
              </w:rPr>
              <w:t>See accompanying notes.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97"/>
        </w:trPr>
        <w:tc>
          <w:tcPr>
            <w:tcW w:w="416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 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2"/>
              </w:rPr>
              <w:t>Accumulated Stockholders’</w:t>
            </w:r>
          </w:p>
        </w:tc>
        <w:tc>
          <w:tcPr>
            <w:tcW w:w="0" w:type="dxa"/>
            <w:vAlign w:val="bottom"/>
          </w:tcPr>
          <w:p>
            <w:pPr>
              <w:spacing w:after="0"/>
              <w:rPr>
                <w:sz w:val="1"/>
                <w:szCs w:val="1"/>
                <w:color w:val="auto"/>
              </w:rPr>
            </w:pPr>
          </w:p>
        </w:tc>
      </w:tr>
      <w:tr>
        <w:trPr>
          <w:trHeight w:val="171"/>
        </w:trPr>
        <w:tc>
          <w:tcPr>
            <w:tcW w:w="38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Comprehensive Loss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Deficit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Balances at January 1, 2022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4,567,111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(777,874)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3,770,004</w:t>
            </w:r>
          </w:p>
        </w:tc>
        <w:tc>
          <w:tcPr>
            <w:tcW w:w="0" w:type="dxa"/>
            <w:vAlign w:val="bottom"/>
          </w:tcPr>
          <w:p>
            <w:pPr>
              <w:spacing w:after="0"/>
              <w:rPr>
                <w:sz w:val="1"/>
                <w:szCs w:val="1"/>
                <w:color w:val="auto"/>
              </w:rPr>
            </w:pPr>
          </w:p>
        </w:tc>
      </w:tr>
      <w:tr>
        <w:trPr>
          <w:trHeight w:val="193"/>
        </w:trPr>
        <w:tc>
          <w:tcPr>
            <w:tcW w:w="3860" w:type="dxa"/>
            <w:vAlign w:val="bottom"/>
          </w:tcPr>
          <w:p>
            <w:pPr>
              <w:spacing w:after="0"/>
              <w:rPr>
                <w:sz w:val="20"/>
                <w:szCs w:val="20"/>
                <w:color w:val="auto"/>
              </w:rPr>
            </w:pPr>
            <w:r>
              <w:rPr>
                <w:rFonts w:ascii="Arial" w:cs="Arial" w:eastAsia="Arial" w:hAnsi="Arial"/>
                <w:sz w:val="16"/>
                <w:szCs w:val="16"/>
                <w:color w:val="auto"/>
              </w:rPr>
              <w:t>Issuance of 323,582 shares of Common Stock upon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exercise of stock options and settlement of employee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restricted stock units, net of shares withheld for taxes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14,237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14,237</w:t>
            </w: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w w:val="96"/>
              </w:rPr>
              <w:t>Issuance of 1,535 shares of Common Stock for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44,320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44,320</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37,992</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37,992</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2022</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4,625,780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(739,882)</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3,863,072</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Issuance of 274,693 shares of Common Stock upon</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exercise of stock options and settlement of employee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w w:val="90"/>
              </w:rPr>
              <w:t>restricted stock units and performance shares, net of 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w w:val="95"/>
              </w:rPr>
              <w:t>withheld for taxes and 189,684 shares of Common 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under the ESPP</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16,601</w:t>
            </w: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w w:val="96"/>
              </w:rPr>
              <w:t>Issuance of 1,469 shares of Common Stock for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2"/>
        </w:trPr>
        <w:tc>
          <w:tcPr>
            <w:tcW w:w="3860" w:type="dxa"/>
            <w:vAlign w:val="bottom"/>
          </w:tcPr>
          <w:p>
            <w:pPr>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46,496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46,496</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161,432</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161,432</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June 30, 2022</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4,688,985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(578,450)</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4,085,061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 (CONTINUED)</w:t>
      </w:r>
    </w:p>
    <w:p>
      <w:pPr>
        <w:jc w:val="center"/>
        <w:ind w:right="19"/>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 Other</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0"/>
              <w:spacing w:after="0"/>
              <w:rPr>
                <w:sz w:val="20"/>
                <w:szCs w:val="20"/>
                <w:color w:val="auto"/>
              </w:rPr>
            </w:pPr>
            <w:r>
              <w:rPr>
                <w:rFonts w:ascii="Arial" w:cs="Arial" w:eastAsia="Arial" w:hAnsi="Arial"/>
                <w:sz w:val="14"/>
                <w:szCs w:val="14"/>
                <w:b w:val="1"/>
                <w:bCs w:val="1"/>
                <w:color w:val="auto"/>
                <w:w w:val="94"/>
              </w:rPr>
              <w:t>Stock</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Paid-in Capital</w:t>
            </w: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0"/>
              </w:rPr>
              <w:t>Comprehensive Loss</w:t>
            </w:r>
          </w:p>
        </w:tc>
        <w:tc>
          <w:tcPr>
            <w:tcW w:w="80" w:type="dxa"/>
            <w:vAlign w:val="bottom"/>
          </w:tcPr>
          <w:p>
            <w:pPr>
              <w:spacing w:after="0"/>
              <w:rPr>
                <w:sz w:val="14"/>
                <w:szCs w:val="14"/>
                <w:color w:val="auto"/>
              </w:rPr>
            </w:pPr>
          </w:p>
        </w:tc>
        <w:tc>
          <w:tcPr>
            <w:tcW w:w="920" w:type="dxa"/>
            <w:vAlign w:val="bottom"/>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4,352,864</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(1,726,455)</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2,611,268</w:t>
            </w:r>
          </w:p>
        </w:tc>
        <w:tc>
          <w:tcPr>
            <w:tcW w:w="0" w:type="dxa"/>
            <w:vAlign w:val="bottom"/>
          </w:tcPr>
          <w:p>
            <w:pPr>
              <w:spacing w:after="0"/>
              <w:rPr>
                <w:sz w:val="1"/>
                <w:szCs w:val="1"/>
                <w:color w:val="auto"/>
              </w:rPr>
            </w:pPr>
          </w:p>
        </w:tc>
      </w:tr>
      <w:tr>
        <w:trPr>
          <w:trHeight w:val="193"/>
        </w:trPr>
        <w:tc>
          <w:tcPr>
            <w:tcW w:w="3860" w:type="dxa"/>
            <w:vAlign w:val="bottom"/>
          </w:tcPr>
          <w:p>
            <w:pPr>
              <w:spacing w:after="0"/>
              <w:rPr>
                <w:sz w:val="20"/>
                <w:szCs w:val="20"/>
                <w:color w:val="auto"/>
              </w:rPr>
            </w:pPr>
            <w:r>
              <w:rPr>
                <w:rFonts w:ascii="Arial" w:cs="Arial" w:eastAsia="Arial" w:hAnsi="Arial"/>
                <w:sz w:val="16"/>
                <w:szCs w:val="16"/>
                <w:color w:val="auto"/>
              </w:rPr>
              <w:t>Issuance of 389,512 shares of Common Stock upon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exercise of stock options and settlement of employee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restricted stock units, net of shares withheld for taxes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20,027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20,028</w:t>
            </w: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w w:val="96"/>
              </w:rPr>
              <w:t>Issuance of 1,357 shares of Common Stock for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47,903</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53,535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53,535</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4,420,902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(1,672,920)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2,727,844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Issuance of 390,001 shares of Common Stock upon</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exercise of stock options and settlement of employee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w w:val="90"/>
              </w:rPr>
              <w:t>restricted stock units and performance shares, net of 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w w:val="95"/>
              </w:rPr>
              <w:t>withheld for taxes and 153,082 shares of Common 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under the ESPP</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11,016</w:t>
            </w: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w w:val="96"/>
              </w:rPr>
              <w:t>Issuance of 1,288 shares of Common Stock for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45,351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45,351</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02"/>
        </w:trPr>
        <w:tc>
          <w:tcPr>
            <w:tcW w:w="3860" w:type="dxa"/>
            <w:vAlign w:val="bottom"/>
          </w:tcPr>
          <w:p>
            <w:pPr>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149,456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149,456</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June 30, 2021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4,477,378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(1,523,464)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2,935,861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25" w:lineRule="auto"/>
        <w:rPr>
          <w:sz w:val="20"/>
          <w:szCs w:val="20"/>
          <w:color w:val="auto"/>
        </w:rPr>
      </w:pPr>
      <w:r>
        <w:rPr>
          <w:rFonts w:ascii="Arial" w:cs="Arial" w:eastAsia="Arial" w:hAnsi="Arial"/>
          <w:sz w:val="18"/>
          <w:szCs w:val="18"/>
          <w:b w:val="1"/>
          <w:bCs w:val="1"/>
          <w:color w:val="auto"/>
        </w:rPr>
        <w:t>(unaudited, in thousands)</w:t>
      </w:r>
    </w:p>
    <w:p>
      <w:pPr>
        <w:jc w:val="center"/>
        <w:ind w:left="6700"/>
        <w:spacing w:after="0" w:line="222" w:lineRule="auto"/>
        <w:rPr>
          <w:sz w:val="20"/>
          <w:szCs w:val="20"/>
          <w:color w:val="auto"/>
        </w:rPr>
      </w:pPr>
      <w:r>
        <w:rPr>
          <w:rFonts w:ascii="Arial" w:cs="Arial" w:eastAsia="Arial" w:hAnsi="Arial"/>
          <w:sz w:val="14"/>
          <w:szCs w:val="14"/>
          <w:b w:val="1"/>
          <w:bCs w:val="1"/>
          <w:color w:val="auto"/>
        </w:rPr>
        <w:t>Six Months Ended</w:t>
      </w:r>
    </w:p>
    <w:p>
      <w:pPr>
        <w:jc w:val="center"/>
        <w:ind w:left="670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199,424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Unrealized loss on long term investments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71,482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(25,380)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(37,190)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(16,287)</w:t>
            </w:r>
          </w:p>
        </w:tc>
        <w:tc>
          <w:tcPr>
            <w:tcW w:w="0" w:type="dxa"/>
            <w:vAlign w:val="bottom"/>
          </w:tcPr>
          <w:p>
            <w:pPr>
              <w:spacing w:after="0"/>
              <w:rPr>
                <w:sz w:val="1"/>
                <w:szCs w:val="1"/>
                <w:color w:val="auto"/>
              </w:rPr>
            </w:pPr>
          </w:p>
        </w:tc>
      </w:tr>
      <w:tr>
        <w:trPr>
          <w:trHeight w:val="216"/>
        </w:trPr>
        <w:tc>
          <w:tcPr>
            <w:tcW w:w="68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389,898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Purchase of long term investments</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Sale of long term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(28,749)</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(114,390)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(43,988)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(102,288)</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 and maturities of marketable securities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Tax withholdings related to restricted and performance share vesting</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(6,854)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(12,625)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(13,473)</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(13,357)</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color w:val="auto"/>
              </w:rPr>
              <w:t>Effect of exchange rates on cash, cash equivalents, restricted cash and investments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restricted cash and investments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2,059,160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1,514,765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2,437,025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1,799,261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Unpaid purchases of property and equipment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8,952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June 30,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Organization and business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and MONJUVI® (tafasitamab-cxix), which is co-commercialized. Our operations are treated as one operating segment.</w:t>
      </w:r>
    </w:p>
    <w:p>
      <w:pPr>
        <w:spacing w:after="0" w:line="172"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June 30, 2022, the condensed consolidated statements of operations, comprehensive income (loss), and stockholders’ equity for the three and six months ended June 30, 2022 and 2021, and the condensed consolidated statements of cash flows for the six months ended June 30, 2022 and 2021,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2021 has been derived from our audited consolidated financial statements.</w:t>
      </w:r>
    </w:p>
    <w:p>
      <w:pPr>
        <w:spacing w:after="0" w:line="181"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2021.</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our wholly owned subsidiaries. All inter-company accounts, transactions, and profits have been eliminated in consolidation.</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There were no new accounting pronouncements issued nor adopted since our filing of the Annual Report on Form 10-K for the year ended December 31, 2021, which could have a significant effect on our condensed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 xml:space="preserve">Revenues are recognized under guidance within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following table presents our disaggregated revenue for the periods presented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3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8"/>
                <w:szCs w:val="18"/>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597,673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529,055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994,765</w:t>
            </w: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ICLUSIG revenues, net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28,189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53,834</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31,362</w:t>
            </w: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MINJUVI revenues, net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OPZELURA revenues, net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3120" w:type="dxa"/>
            <w:vAlign w:val="bottom"/>
          </w:tcPr>
          <w:p>
            <w:pPr>
              <w:ind w:left="120"/>
              <w:spacing w:after="0"/>
              <w:rPr>
                <w:sz w:val="20"/>
                <w:szCs w:val="20"/>
                <w:color w:val="auto"/>
              </w:rPr>
            </w:pPr>
            <w:r>
              <w:rPr>
                <w:rFonts w:ascii="Arial" w:cs="Arial" w:eastAsia="Arial" w:hAnsi="Arial"/>
                <w:sz w:val="18"/>
                <w:szCs w:val="18"/>
                <w:color w:val="auto"/>
              </w:rPr>
              <w:t>Total product revenues, net</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663,851</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575,150</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1,269,672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1,079,961</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147,640</w:t>
            </w: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36,045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68,303</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200" w:type="dxa"/>
            <w:vAlign w:val="bottom"/>
            <w:shd w:val="clear" w:color="auto" w:fill="CCEEFF"/>
          </w:tcPr>
          <w:p>
            <w:pPr>
              <w:spacing w:after="0"/>
              <w:rPr>
                <w:sz w:val="18"/>
                <w:szCs w:val="18"/>
                <w:color w:val="auto"/>
              </w:rPr>
            </w:pPr>
          </w:p>
        </w:tc>
      </w:tr>
      <w:tr>
        <w:trPr>
          <w:trHeight w:val="209"/>
        </w:trPr>
        <w:tc>
          <w:tcPr>
            <w:tcW w:w="312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120,559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239,960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220,466</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r>
      <w:tr>
        <w:trPr>
          <w:trHeight w:val="209"/>
        </w:trPr>
        <w:tc>
          <w:tcPr>
            <w:tcW w:w="312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911,397</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705,709</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1,644,632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1,310,427</w:t>
            </w:r>
          </w:p>
        </w:tc>
        <w:tc>
          <w:tcPr>
            <w:tcW w:w="20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further information on our revenue-generating contracts, refer to Note 7.</w:t>
      </w:r>
    </w:p>
    <w:p>
      <w:pPr>
        <w:spacing w:after="0" w:line="235"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2022</w:t>
            </w:r>
          </w:p>
        </w:tc>
        <w:tc>
          <w:tcPr>
            <w:tcW w:w="20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$ 292,350</w:t>
            </w:r>
          </w:p>
        </w:tc>
        <w:tc>
          <w:tcPr>
            <w:tcW w:w="860" w:type="dxa"/>
            <w:vAlign w:val="bottom"/>
            <w:gridSpan w:val="2"/>
          </w:tcPr>
          <w:p>
            <w:pPr>
              <w:jc w:val="center"/>
              <w:ind w:left="96"/>
              <w:spacing w:after="0"/>
              <w:rPr>
                <w:sz w:val="20"/>
                <w:szCs w:val="20"/>
                <w:color w:val="auto"/>
              </w:rPr>
            </w:pPr>
            <w:r>
              <w:rPr>
                <w:rFonts w:ascii="Arial" w:cs="Arial" w:eastAsia="Arial" w:hAnsi="Arial"/>
                <w:sz w:val="18"/>
                <w:szCs w:val="18"/>
                <w:color w:val="auto"/>
                <w:w w:val="94"/>
              </w:rPr>
              <w:t>$ (5,306)</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$ 287,044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December 31, 2021</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(government)</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$ 291,871</w:t>
            </w:r>
          </w:p>
        </w:tc>
        <w:tc>
          <w:tcPr>
            <w:tcW w:w="86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94"/>
              </w:rPr>
              <w:t>$ (1,119)</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$ 290,752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available-for-sale debt securities generally have contractual maturity dates of between 12 to 18 months. Debt security assets were assessed for risk of expected credit losses. As of June 30, 2022 and December 31, 2021, the available-for-sale debt securities were held in U.S.-government backed securities and in Treasury bonds and were assessed on an individual security basis to have a de minimis risk of credit loss.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0"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170"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At June 30, 2022 and December 31, 2021,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six months ended June 30, 2022.</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1"/>
          </w:tcPr>
          <w:p>
            <w:pPr>
              <w:jc w:val="right"/>
              <w:ind w:right="138"/>
              <w:spacing w:after="0"/>
              <w:rPr>
                <w:sz w:val="20"/>
                <w:szCs w:val="20"/>
                <w:color w:val="auto"/>
              </w:rPr>
            </w:pPr>
            <w:r>
              <w:rPr>
                <w:rFonts w:ascii="Arial" w:cs="Arial" w:eastAsia="Arial" w:hAnsi="Arial"/>
                <w:sz w:val="14"/>
                <w:szCs w:val="14"/>
                <w:b w:val="1"/>
                <w:bCs w:val="1"/>
                <w:color w:val="auto"/>
                <w:w w:val="96"/>
              </w:rPr>
              <w:t>Fair Value Measurement at Reporting Date Using: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4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020" w:type="dxa"/>
            <w:vAlign w:val="bottom"/>
            <w:gridSpan w:val="5"/>
          </w:tcPr>
          <w:p>
            <w:pPr>
              <w:jc w:val="center"/>
              <w:ind w:left="708"/>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2,435,381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2,435,381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287,044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7)</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2,585,165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1"/>
          </w:tcPr>
          <w:p>
            <w:pPr>
              <w:jc w:val="right"/>
              <w:ind w:right="98"/>
              <w:spacing w:after="0"/>
              <w:rPr>
                <w:sz w:val="20"/>
                <w:szCs w:val="20"/>
                <w:color w:val="auto"/>
              </w:rPr>
            </w:pPr>
            <w:r>
              <w:rPr>
                <w:rFonts w:ascii="Arial" w:cs="Arial" w:eastAsia="Arial" w:hAnsi="Arial"/>
                <w:sz w:val="14"/>
                <w:szCs w:val="14"/>
                <w:b w:val="1"/>
                <w:bCs w:val="1"/>
                <w:color w:val="auto"/>
                <w:w w:val="97"/>
              </w:rPr>
              <w:t>Fair Value Measurement at Reporting Date Using:</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2,057,440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2,057,440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290,752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7)</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6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2,278,706</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290,752</w:t>
            </w:r>
          </w:p>
        </w:tc>
        <w:tc>
          <w:tcPr>
            <w:tcW w:w="4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496"/>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40" w:type="dxa"/>
            <w:vAlign w:val="bottom"/>
            <w:gridSpan w:val="15"/>
          </w:tcPr>
          <w:p>
            <w:pPr>
              <w:ind w:left="1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Identical Liabilities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237,000</w:t>
            </w:r>
          </w:p>
        </w:tc>
        <w:tc>
          <w:tcPr>
            <w:tcW w:w="0" w:type="dxa"/>
            <w:vAlign w:val="bottom"/>
          </w:tcPr>
          <w:p>
            <w:pPr>
              <w:spacing w:after="0"/>
              <w:rPr>
                <w:sz w:val="1"/>
                <w:szCs w:val="1"/>
                <w:color w:val="auto"/>
              </w:rPr>
            </w:pPr>
          </w:p>
        </w:tc>
      </w:tr>
      <w:tr>
        <w:trPr>
          <w:trHeight w:val="210"/>
        </w:trPr>
        <w:tc>
          <w:tcPr>
            <w:tcW w:w="37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237,000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237,000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gridSpan w:val="15"/>
          </w:tcPr>
          <w:p>
            <w:pPr>
              <w:ind w:left="1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center"/>
              <w:ind w:right="87"/>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500" w:type="dxa"/>
            <w:vAlign w:val="bottom"/>
            <w:gridSpan w:val="5"/>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Identical Liabilities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10"/>
        </w:trPr>
        <w:tc>
          <w:tcPr>
            <w:tcW w:w="37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244,000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80" w:type="dxa"/>
            <w:vAlign w:val="bottom"/>
            <w:gridSpan w:val="11"/>
          </w:tcPr>
          <w:p>
            <w:pPr>
              <w:ind w:left="660"/>
              <w:spacing w:after="0"/>
              <w:rPr>
                <w:sz w:val="20"/>
                <w:szCs w:val="20"/>
                <w:color w:val="auto"/>
              </w:rPr>
            </w:pPr>
            <w:r>
              <w:rPr>
                <w:rFonts w:ascii="Arial" w:cs="Arial" w:eastAsia="Arial" w:hAnsi="Arial"/>
                <w:sz w:val="18"/>
                <w:szCs w:val="18"/>
                <w:color w:val="auto"/>
              </w:rPr>
              <w:t>The following is a rollforward of our Level 3 liabilities (in thousands):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16"/>
        </w:trPr>
        <w:tc>
          <w:tcPr>
            <w:tcW w:w="5260" w:type="dxa"/>
            <w:vAlign w:val="bottom"/>
            <w:gridSpan w:val="6"/>
          </w:tcPr>
          <w:p>
            <w:pPr>
              <w:spacing w:after="0"/>
              <w:rPr>
                <w:sz w:val="20"/>
                <w:szCs w:val="20"/>
                <w:color w:val="auto"/>
              </w:rPr>
            </w:pPr>
            <w:r>
              <w:rPr>
                <w:rFonts w:ascii="Arial" w:cs="Arial" w:eastAsia="Arial" w:hAnsi="Arial"/>
                <w:sz w:val="18"/>
                <w:szCs w:val="18"/>
                <w:color w:val="auto"/>
                <w:w w:val="99"/>
              </w:rPr>
              <w:t>Contingent consideration earned during the period but not yet paid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(16,695)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 in fair value of contingent consideration</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Balance at June 30,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gridSpan w:val="3"/>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237,000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June 30, 2022 and December 31, 2021 included a discount rate of 10% and updated projections of future net revenues of ICLUSIG in the European Union and other countries for the approved third line treatment. The change in fair value of the contingent consideration during the three and six months ended June 30, 2022 was due primarily to the passage of time and updated projections of future net revenues of ICLUSIG.</w:t>
      </w:r>
    </w:p>
    <w:p>
      <w:pPr>
        <w:spacing w:after="0" w:line="22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make payments to Takeda Pharmaceutical Company Limited quarterly based on the royalties or any additional milestone payments earned in the previous quarter. At June 30, 2022 and December 31, 2021, contingent consideration earned but not yet paid was $16.7 million and $19.6 million, respectively, and was included in accrued and other current liabilities.</w:t>
      </w:r>
    </w:p>
    <w:p>
      <w:pPr>
        <w:spacing w:after="0" w:line="210"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Concentration of credit risk and current expected credit losses</w:t>
      </w:r>
    </w:p>
    <w:p>
      <w:pPr>
        <w:spacing w:after="0" w:line="229"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November 2009, we entered into a collaboration and license agreement with Novartis Pharmaceutical International Ltd. (“Novartis”). In December 2009, we entered into a license, development and commercialization agreement with Eli Lilly and Company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37% and 36% of the accounts receivable balance as of June 30, 2022 and December 31, 2021, respectively. For further information relating to these collaboration and license agreements, refer to Note 7.</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November 2011, we began commercialization and distribution of JAKAFI, in April 2020, we began commercialization and distribution of PEMAZYRE, and in October 2021, we began commercialization and distribution of OPZELURA to a number of customers. Our product revenues are concentrated in a number of these customers. The concentration of credit risk related to our JAKAFI, PEMAZYRE and OPZELURA product revenues is as follows:</w:t>
      </w:r>
    </w:p>
    <w:p>
      <w:pPr>
        <w:sectPr>
          <w:pgSz w:w="11900" w:h="16838" w:orient="portrait"/>
          <w:cols w:equalWidth="0" w:num="1">
            <w:col w:w="9019"/>
          </w:cols>
          <w:pgMar w:left="1440" w:top="517" w:right="1440" w:bottom="1440" w:gutter="0" w:footer="0" w:header="0"/>
        </w:sectPr>
      </w:pPr>
    </w:p>
    <w:p>
      <w:pPr>
        <w:spacing w:after="0" w:line="176" w:lineRule="exact"/>
        <w:rPr>
          <w:sz w:val="20"/>
          <w:szCs w:val="20"/>
          <w:color w:val="auto"/>
        </w:rPr>
      </w:pPr>
    </w:p>
    <w:p>
      <w:pPr>
        <w:jc w:val="center"/>
        <w:ind w:left="4600"/>
        <w:spacing w:after="0"/>
        <w:rPr>
          <w:sz w:val="20"/>
          <w:szCs w:val="20"/>
          <w:color w:val="auto"/>
        </w:rPr>
      </w:pPr>
      <w:r>
        <w:rPr>
          <w:rFonts w:ascii="Arial" w:cs="Arial" w:eastAsia="Arial" w:hAnsi="Arial"/>
          <w:sz w:val="13"/>
          <w:szCs w:val="13"/>
          <w:b w:val="1"/>
          <w:bCs w:val="1"/>
          <w:color w:val="auto"/>
        </w:rPr>
        <w:t>Percentage of Total Net</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2"/>
          <w:szCs w:val="12"/>
          <w:b w:val="1"/>
          <w:bCs w:val="1"/>
          <w:color w:val="auto"/>
        </w:rPr>
        <w:t>Product Revenues for the</w:t>
      </w:r>
    </w:p>
    <w:p>
      <w:pPr>
        <w:spacing w:after="0" w:line="11" w:lineRule="exact"/>
        <w:rPr>
          <w:sz w:val="20"/>
          <w:szCs w:val="20"/>
          <w:color w:val="auto"/>
        </w:rPr>
      </w:pPr>
    </w:p>
    <w:p>
      <w:pPr>
        <w:jc w:val="center"/>
        <w:ind w:left="46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-3175</wp:posOffset>
            </wp:positionV>
            <wp:extent cx="1388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ind w:left="51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-3175</wp:posOffset>
            </wp:positionV>
            <wp:extent cx="1388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ind w:left="4620"/>
        <w:spacing w:after="0"/>
        <w:tabs>
          <w:tab w:leader="none" w:pos="57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left="-39"/>
        <w:spacing w:after="0" w:line="254" w:lineRule="auto"/>
        <w:rPr>
          <w:sz w:val="20"/>
          <w:szCs w:val="20"/>
          <w:color w:val="auto"/>
        </w:rPr>
      </w:pPr>
      <w:r>
        <w:rPr>
          <w:rFonts w:ascii="Arial" w:cs="Arial" w:eastAsia="Arial" w:hAnsi="Arial"/>
          <w:sz w:val="13"/>
          <w:szCs w:val="13"/>
          <w:b w:val="1"/>
          <w:bCs w:val="1"/>
          <w:color w:val="auto"/>
        </w:rPr>
        <w:t>Percentage of Total Net Product Revenues 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-3175</wp:posOffset>
            </wp:positionV>
            <wp:extent cx="13970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-3175</wp:posOffset>
            </wp:positionV>
            <wp:extent cx="13970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tabs>
          <w:tab w:leader="none" w:pos="10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p>
    <w:p>
      <w:pPr>
        <w:sectPr>
          <w:pgSz w:w="11900" w:h="16838" w:orient="portrait"/>
          <w:cols w:equalWidth="0" w:num="2">
            <w:col w:w="6280" w:space="720"/>
            <w:col w:w="201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43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Customer A</w:t>
            </w:r>
          </w:p>
        </w:tc>
        <w:tc>
          <w:tcPr>
            <w:tcW w:w="11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19 %</w:t>
            </w:r>
          </w:p>
        </w:tc>
        <w:tc>
          <w:tcPr>
            <w:tcW w:w="12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19 %</w:t>
            </w:r>
          </w:p>
        </w:tc>
        <w:tc>
          <w:tcPr>
            <w:tcW w:w="11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19 %</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18 %</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Customer B</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12 %</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12 %</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16 %</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18 %</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18 %</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18 %</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Customer D</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10 %</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Customer 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12 %</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12 %</w:t>
            </w:r>
          </w:p>
        </w:tc>
      </w:tr>
    </w:tbl>
    <w:p>
      <w:pPr>
        <w:spacing w:after="0" w:line="16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are exposed to risks associated with extending credit to customers related to the sale of products. Customers A, B, C, D and E comprised, in aggregate, 31% of the accounts receivable balance as of both June 30, 2022 and December 31, 2021. The concentration of credit risk relating to our other product revenues or accounts receivable is not significant.</w:t>
      </w:r>
    </w:p>
    <w:p>
      <w:pPr>
        <w:spacing w:after="0" w:line="14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assessed our collaborative and customer receivable assets as of June 30, 2022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June 30, 2022 and December 31, 2021, we had no allowance for doubtful accounts.</w:t>
      </w:r>
    </w:p>
    <w:p>
      <w:pPr>
        <w:spacing w:after="0" w:line="15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22,371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w w:val="98"/>
              </w:rPr>
              <w:t>36,317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39,895</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35,440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100" w:type="dxa"/>
            <w:vAlign w:val="bottom"/>
            <w:shd w:val="clear" w:color="auto" w:fill="CCEEFF"/>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8"/>
              </w:rPr>
              <w:t>94,128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56,938</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Inventories, stated at the lower of cost and net realizable value, consist of raw materials, work in process and finished goods. At June 30, 2022, $54.5 million of inventory was classified as current on the condensed consolidated balance sheet as we expect this inventory to be consumed for commercial use within the next twelve months. At June 30, 2022, $39.6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capitalize inventory after U.S. Food and Drug Administration (FDA) approval as the related costs are expected to be recoverable through the commercialization of the product. Costs incurred prior to FDA approval are recorded as research and development expense in our statements of operations. At June 30, 2022, inventory with approximately $66.0 million of product costs incurred prior to FDA approval had not yet been sold. We expect to sell the pre commercialization inventory over the next 30 months and, as a result, cost of product revenues will reflect a lower average per unit cost of materials.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License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9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we are eligible to receive up to $75.0 million of additional potential development and regulatory milestones relating to graft-versus-host-disease (“GVHD”). We have recognized and received, in the aggregate, $157.0 million for the achievement of development milestones, $340.0 million for the achievement of regulatory milestones, and $200.0 million for the achievement of sales milestones through June 30, 2022.</w:t>
      </w:r>
    </w:p>
    <w:p>
      <w:pPr>
        <w:spacing w:after="0" w:line="164"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April 2022, we recognized a $15.0 million regulatory milestone for the positive opinion issued by the Committee for Medicinal Products for Human Use (CHMP) of the European Medicines Agency (EMA) that recommends granting marketing authorization for capmatinib (TABRECTA) as a monotherapy for the treatment of adults with advanced non-small cell lung cancer. Additionally, in May 2022, we recognized a $45.0 million regulatory milestone as a result of the European Commission’s approval of JAKAVI (ruxolitinib) as the first post-steroid treatment for acute and chronic GVHD.</w:t>
      </w:r>
    </w:p>
    <w:p>
      <w:pPr>
        <w:spacing w:after="0" w:line="161"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three and six months ended June 30, 2022, such royalties on net sales within the United States totaled $29.3 million and $51.0 million, respectively, and were reflected in cost of product revenues on the condensed consolidated statements of operations. During the three and six months ended June 30, 2021, such royalties on net sales within the United States totaled $25.9 million and $43.7 million, respectively, and were reflected in cost of product revenues on the condensed consolidated statements of operations. At June 30, 2022 and December 31, 2021, $191.4 million and $148.1 million, respectively, of accrued royalties were included in accrued and other current liabilities on the condensed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68"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Milestone and contract revenue under the Novartis agreement was $60.0 million for both the three and six months ended June 30, 2022. Product royalty revenue related to Novartis net sales of JAKAVI outside of the United States for the three and six months ended June 30, 2022 was $83.6 million and $154.6 million, respectively. Product royalty revenue related to Novartis net sales of JAKAVI outside of the United States for the three and six months ended June 30, 2021 was $82.0 million and $147.6 million, respectively. Product royalty revenue related to Novartis net sales of TABRECTA worldwide for the three and six months ended June 30, 2022 was $3.6 million and $7.1 million, respectively. Product royalty revenue related to Novartis net sales of TABRECTA worldwide for the three and six months ended June 30, 2021 was $2.5 million and $4.5 million, respectively.</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Under this agreement, we were initially eligible to receive up to $150.0 million for the achievement of development milestones, up to $365.0 million for the achievement of regulatory milestones and up to $150.0 million for the achievement of sales milestones. We have recognized and received, in aggregate, $149.0 million for the achievement of development milestones, $335.0 million for the achievement of regulatory milestones and $50.0 million for the achievement of sales milestones through June 30, 2022. We are also eligible to receive tiered, double-digit royalty payments on future global sales with rates ranging up to mid-twenties if a product is successfully commercialized.</w:t>
      </w:r>
    </w:p>
    <w:p>
      <w:pPr>
        <w:spacing w:after="0" w:line="164"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7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June 2022, we recognized a $40.0 million regulatory milestone for the FDA approval of OLUMIANT as a first-in-disease systemic treatment for adults with severe alopecia areata. Additionally, in June 2022 we recognized a $20.0 million regulatory milestone for the European Commission’s approval for OLUMIANT for the treatment of adults with severe alopecia areata, and a $10.0 million regulatory milestone for the Ministry of Health, Labour and Welfare of Japan’s approval for OLUMIANT for the treatment of adults with severe alopecia areata in Japan.</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Milestone and contract revenue under the Lilly agreement was $70.0 million for both the three and six months ended June 30, 2022. Product royalty revenue related to Lilly net sales of OLUMIANT outside of the United States for the three and six months ended June 30, 2022 was $30.3 million and $78.3 million, respectively. Product royalty revenue related to Lilly net sales of OLUMIANT outside of the United States for the three and six months ended June 30, 2021 was $36.0 million and $68.3 million, respectively.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March 2016, we entered into an amendment to the agreement with Lilly that amended the non-compete provision of the agreement to allow us to engage in the development and commercialization of ruxolitinib in the GVHD field. Lilly is eligible to receive up to $40.0 million in regulatory milestone payments relating to ruxolitinib in the GVHD field. In May 2019, the approval of JAKAFI in steroid-refractory acute GVHD triggered a $20.0 million milestone payment to Lilly. In March 2022, the positive recommendation from the European Medicines Agency for regulatory approval of ruxolitinib in the GVHD field triggered an additional $20.0 million milestone payment to Lilly, which was recorded as research and development expense in our condensed consolidated statements of operations.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 Under the terms of the amended agreement, we received exclusive worldwide development and commercialization rights to four checkpoint modulators directed against GITR, OX40, LAG-3 and TIM-3 as well as two undisclosed targets. Targets may be designated profit-share programs, where all costs and profits are shared equally by us and Agenus, or royalty-bearing programs, where we are responsible for all costs associated with discovery, preclinical, clinical development and commercialization activities.</w:t>
      </w:r>
    </w:p>
    <w:p>
      <w:pPr>
        <w:spacing w:after="0" w:line="1"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There are currently no profit-share programs. For each royalty-bearing product other than GITR, OX40 and one undisclosed target, Agenus will be eligible to receive tiered royalties on global net sales ranging from 6% to 12%. For GITR, OX40 and one undisclosed target, Agenus will be eligible to receive 15% royalties on global net sales. The agreement may be terminated by us for convenience upon 12 months’ notice and may also be terminated under certain other circumstances, including material breach.</w:t>
      </w:r>
    </w:p>
    <w:p>
      <w:pPr>
        <w:spacing w:after="0" w:line="19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As of June 30, 2022, we have paid Agenus milestones totaling $30.0 million and Agenus is eligible to receive up to an additional $500.0 million in future contingent development, regulatory and commercialization milestones across all programs in the collaboration.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in 2017 we purchased 10.0 million shares of Agenus Inc.’s common stock for an aggregate purchase price of $60.0 million in cash, or $6.00 per share. In 2020, we sold an aggregate of approximately 3.7 million shares of Agenus Inc.’s common stock resulting in gross proceeds of approximately $17.2 million. In 2021, we sold an aggregate of approximately 2.0 million shares of Agenus Inc.’s common stock resulting in gross proceeds of approximately $10.5 million. The fair market value of our long term investment in Agenus Inc. at June 30, 2022 and December 31, 2021 was $23.4 million and $38.9 million, respectively. As of June 30, 2022, we owned less than 5% of the outstanding shares of Agenus Inc.’s common stock.</w:t>
      </w:r>
    </w:p>
    <w:p>
      <w:pPr>
        <w:spacing w:after="0" w:line="19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We intend to hold the investment in Agenus Inc. for the foreseeable future and therefore, are accounting for our shares held in Agenus Inc.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2022, we recorded an unrealized loss of $6.3 million and $15.4 million, respectively, based on the change in fair value of Agenus Inc.’s common stock during the respective periods. For the three and six months ended June 30, 2021, we recorded an unrealized gain of $37.8 million and $31.9 million, respectively, based on the change in fair value of Agenus Inc.’s common stock during the respective periods.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4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7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For each program as to which Merus does not have commercialization or development co-funding rights, Merus is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is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As of June 30, 2022, we have paid Merus milestones totaling $2.0 million.</w:t>
      </w:r>
    </w:p>
    <w:p>
      <w:pPr>
        <w:spacing w:after="0" w:line="172"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in 2016 we entered into a Share Subscription Agreement with Merus, pursuant to which we purchased 3.2 million common shares of Merus for an aggregate purchase price of $80.0 million in cash, or $25.00 per share. In January 2021, we purchased 350,000 common shares in Merus’ underwritten public offering of 4,848,485 common shares at the public offering price of $24.75 per share, or an aggregate purchase price of $8.7 million. The fair market value of our total long term investment in Merus at June 30, 2022 and December 31, 2021 was $80.4 million and $112.9 million, respectively. As of June 30, 2022, we owned approximately 8% of the outstanding common shares of Merus.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have concluded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and six months ended June 30, 2022, we recorded an unrealized loss of $13.5 million and $32.5 million, respectively, based on the change in fair value of Merus’ common shares during the respective periods. For the three and six months ended June 30, 2021, we recorded an unrealized gain of $0.6 million and $10.0 million, respectively, based on the change in fair value of Merus’ common shares during the respective periods.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2017, we entered into a Collaboration and License Agreement with Calithera Biosciences, Inc. (“Calithera”). Under this agreement, we received an exclusive, worldwide license to develop and commercialize small molecule arginase inhibitors, including INCB01158.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w:t>
      </w:r>
    </w:p>
    <w:p>
      <w:pPr>
        <w:spacing w:after="0" w:line="196" w:lineRule="exact"/>
        <w:rPr>
          <w:sz w:val="20"/>
          <w:szCs w:val="20"/>
          <w:color w:val="auto"/>
        </w:rPr>
      </w:pPr>
    </w:p>
    <w:p>
      <w:pPr>
        <w:jc w:val="both"/>
        <w:ind w:left="40" w:right="59" w:firstLine="441"/>
        <w:spacing w:after="0" w:line="270" w:lineRule="auto"/>
        <w:rPr>
          <w:sz w:val="20"/>
          <w:szCs w:val="20"/>
          <w:color w:val="auto"/>
        </w:rPr>
      </w:pPr>
      <w:r>
        <w:rPr>
          <w:rFonts w:ascii="Arial" w:cs="Arial" w:eastAsia="Arial" w:hAnsi="Arial"/>
          <w:sz w:val="17"/>
          <w:szCs w:val="17"/>
          <w:color w:val="auto"/>
        </w:rPr>
        <w:t>As of June 30, 2022, we have paid Calithera milestones totaling $12.0 million. Calithera delivered notice of its decision to opt out of its co-funding obligation, effective on September 30, 2020. As a result, the U.S. profit sharing will no longer be in effect, we will be responsible for funding all of the development costs of INCB01158 and any other licensed products, and the agreement provides that we will pay Calithera tiered royalties ranging from the low to mid-double digits on net sales of licensed products both in the United States and outside the United States and additional royalties to reimburse Calithera for previously incurred development costs. Calithera is eligible to receive $720.0 million in potential future development, regulatory and sales milestone payments and will have no further rights to research, develop or co-detail INCB001158. We will have the right to take over the conduct of all activities related to the research, development and commercialization of INCB001158 for all indications in the hematology/oncology field.</w:t>
      </w:r>
    </w:p>
    <w:p>
      <w:pPr>
        <w:spacing w:after="0" w:line="181"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addition, in 2017, we entered into a Stock Purchase Agreement with Calithera, pursuant to which we purchased 1.7 million shares of Calithera common stock for an aggregate purchase price of $8.0 million in cash, or $4.65 per share. In June 2022, Calithera effected a one-for-twenty stock split of its outstanding common stock, adjusting our ownership to 86,021 shares of Calithera’s common stock. The fair market value of our long term investment in Calithera at June 30, 2022 and December 31, 2021 was $0.2 million and $1.1 million, respectively. As of June 30, 2022, we owned approximately 2% of the outstanding shares of Calithera common stock.</w:t>
      </w:r>
    </w:p>
    <w:p>
      <w:pPr>
        <w:spacing w:after="0" w:line="17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intend to hold the investment in Calithera for the foreseeable future and therefore, are accounting for our shares held in Calithera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2022 we recorded an unrealized loss of $0.5 million and $0.9 million, respectively, based on the change in fair value of Calithera’s common stock during the respective periods. For the three and six months ended June 30, 2021 we recorded an unrealized loss of $0.5 million and $4.8 million, respectively, based on the change in fair value of Calithera’s common stock during the respective periods.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6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of June 30, 2022, we have paid MacroGenics developmental milestones totaling $70.0 million and MacroGenics was eligible to receive up to an additional $365.0 million in future contingent development and regulatory milestones, and up to $330.0 million in sales milestones as well as tiered royalties ranging from 15% to 24% of global net sales.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2022, we amended our agreement with MacroGenics to reflect changes related to the payment of certain milestones and paid MacroGenics $30.0 million. As a result, after the amendment, MacroGenics will be eligible to receive up to an additional $335.0 million in future contingent development and regulatory milestones, and the aforementioned sales milestones and royalties.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Research and development expenses for the three and six months ended June 30, 2022 also included $14.8 million and $28.3 million, respectively, of development costs incurred pursuant to the MacroGenics agreement. Research and development expenses for the three and six months ended June 30, 2021 also included $17.6 million and $31.2 million, respectively, of development costs incurred pursuant to the MacroGenics agreement. At June 30, 2022 and December 31, 2021, a total of $0.6 million and $0.7 million of such costs were included in accrued and other liabilities on the condensed consolidated balance sheets.</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8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in 2018, we entered into a Stock Purchase Agreement with Syros, pursuant to which we purchased 0.8 million shares of Syros common stock for an aggregate purchase price of $10.0 million in cash, or $12.61 per share. Subsequently in 2018, we entered into an Amended Stock Purchase Agreement with Syros, pursuant to which we purchased an additional 0.1 million shares of Syros common stock for an aggregate purchase price of $1.4 million in cash, or $9.55 per share. The fair market value of our long term investment in Syros as of June 30, 2022 and December 31, 2021 was $0.9 million and $3.1 million, respectively. As of June 30, 2022, we owned less than 2% of the outstanding shares of Syros common stock.</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intend to hold the investment in Syros for the foreseeable future and therefore, are accounting for our shares held in Syros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2022, we recorded an unrealized loss of $0.2 million and $2.2 million, respectively, based on the change in fair value of Syros’ common stock during the respective periods. For the three and six months ended June 30, 2021, we recorded an unrealized loss of $1.9 million and $5.1 million, respectively, based on the change in fair value of Syros’ common stock during the respective periods.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We are eligible to receive up to an additional $94.0 million in potential development and regulatory milestones.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Innovent and decisions made by regulatory agencies. In March 2022, we recognized a $5.0 million milestone for approval of PEMAZYRE (pemigatinib) in China.</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7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7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addition, under the terms of the agreement and pursuant to a related purchase agreement, we purchased American Depositary Shares (“ADSs”), each representing 0.25 of an ordinary share of MorphoSys AG, for an aggregate purchase price of $150.0 million or $41.33 per ADS (such ADSs to be purchased, the “New ADSs”). The fair market value of our long term investment in MorphoSys as of June 30, 2022 and December 31, 2021 was $17.5 million and $34.2 million, respectively. As of June 30, 2022, we owned approximately 3% of the outstanding ordinary shares of MorphoSys.</w:t>
      </w:r>
    </w:p>
    <w:p>
      <w:pPr>
        <w:spacing w:after="0" w:line="161"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We intend to hold the investment in MorphoSys for the foreseeable future and therefore, are accounting for our shares held in MorphoSys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2022, we recorded an unrealized loss of $7.1 million and $16.7 million, respectively, based on the change in fair value of MorphoSys’ ordinary shares during the respective periods. For the three and six months ended June 30, 2021, we recorded an unrealized loss of $9.2 million and $32.9 million, respectively, based on the change in fair value of MorphoSys’ ordinary shares during the respective periods.</w:t>
      </w:r>
    </w:p>
    <w:p>
      <w:pPr>
        <w:spacing w:after="0" w:line="17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50% share of the United States loss for the commercialization of tafasitamab for the three and six months ended June 30, 2022 was $2.5 million and $7.3 million, respectively, and is recorded as collaboration loss sharing on the condensed consolidated statement of operations. Our 50% share of the United States loss for the commercialization of tafasitamab for the three and six months ended June 30, 2021 was $9.8 million and $20.3 million, respectively, and is recorded as collaboration loss sharing on the condensed consolidated statement of operations. Research and development expenses for the three and six months ended June 30, 2022, includes $27.5 million and $48.5 million, respectively, related to our 55% share of the co-development costs for tafasitamab. Research and development expenses for the three and six months ended June 30, 2021, includes $19.4 million and $34.3 million, respectively, related to our 55% share of the co-development costs for tafasitamab. At June 30, 2022 and December 31, 2021, $42.5 million and $21.5 million, respectively, was included in accrued and other liabilities on the condensed consolidated balance sheets for amounts due to MorphoSys under the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Nimble</w:t>
      </w:r>
    </w:p>
    <w:p>
      <w:pPr>
        <w:spacing w:after="0" w:line="26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September 2020, we entered into a Collaboration and License Agreement with Nimble Therapeutics, Inc. (“Nimble”). Under the terms of this agreement, Nimble will utilize their peptide synthesis, screening and optimization platform for discovery and validation of peptides against specified targets. Under the agreement, Nimble is eligible to receive up to $8.0 million in future contingent discovery milestones and up to $127.0 million in future contingent development and regulatory milestones. Additionally, in the event of successful commercialization, Nimble is eligible to receive up to $130.0 million in future contingent sales milestones and tiered royalties on net sales in the low single digits.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InnoCare</w:t>
      </w:r>
    </w:p>
    <w:p>
      <w:pPr>
        <w:spacing w:after="0" w:line="26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August 2021, we entered into a Collaboration and License Agreement with Sunny Investments Limited, a wholly-owned subsidiary of InnoCare Pharma Limited (“InnoCare”). InnoCare received development and exclusive commercialization rights to tafasitamab in hematology and oncology in mainland China, Hong Kong, Macau and Taiwan. In September 2021, we recognized an upfront payment under this agreement of $35.0 million upon our transfer of technology related to the licensed product candidate to InnoCare, which was recorded in milestone and contract revenues on the consolidated statement of operations for the year ended December 31, 2021. Under the terms of this agreement, we are eligible to receive up to an additional $82.5 million in potential development, regulatory and commercial milestones. We recognize development and regulatory milestones upon confirmation of achievement of the event, as development and regulatory approvals are events not controllable by us but rather development activities of InnoCare and decisions made by regulatory agencies. In the event of commercialization, we will recognize sales milestones in the corresponding period of the product sale upon confirmation of net sales milestone threshold achievement by InnoCare.</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Syndax</w:t>
      </w:r>
    </w:p>
    <w:p>
      <w:pPr>
        <w:spacing w:after="0" w:line="25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September 2021, we entered into a Collaboration and License Agreement with Syndax Pharmaceuticals, Inc. (“Syndax”), covering the worldwide development and commercialization of SNDX-6352 (“axatilimab”). Axatilimab, currently in clinical development by Syndax, is a monoclonal antibody that blocks the colony stimulating factor-1 (CSF-1) receptor. Syndax has exclusive worldwide development and commercialization rights to axatilimab under a June 2016 license agreement with UCB Biopharma Sprl. The agreement became effective in December 2021.</w:t>
      </w:r>
    </w:p>
    <w:p>
      <w:pPr>
        <w:spacing w:after="0" w:line="1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Syndax and we have co-commercialization rights in the United States, with respect to axatilimab. We will be responsible for leading the commercialization strategy and booking all revenue from sales of axatilimab globally, and Syndax will have the option to co-commercialization axatilimab with Incyte in the United States.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 All development costs related to the collaboration are subject to a joint development plan.</w:t>
      </w:r>
    </w:p>
    <w:p>
      <w:pPr>
        <w:spacing w:after="0" w:line="18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December 2021, we paid Syndax an upfront, non-refundable payment of $117.0 million, which was recorded in research and development expense on the consolidated statement of operations for the year ended December 31, 2021.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addition, under the terms of the agreement and pursuant to a related stock purchase agreement, we purchased approximately 1.4 million shares of Syndax common stock for an aggregate purchase price of $35.0 million, or $24.62 per share. We completed the purchase of the shares on December 9, 2021 when the closing price on The Nasdaq Stock Market was $17.48 per share. Of the $35.0 million aggregate purchase price paid, $24.8 million was allocated to our stock purchase and was recorded within long term investments and $10.2 million, representing premium paid on the purchase, was allocated to research and development expense on the consolidated statement of operations for the year ended December 31, 2021. The fair market value of our long term investment in Syndax as of June 30, 2022 and December 31, 2021 was $27.4 million and $31.1 million. As of June 30, 2022, we owned less than 3% of the outstanding shares of Syndax common stock.</w:t>
      </w:r>
    </w:p>
    <w:p>
      <w:pPr>
        <w:spacing w:after="0" w:line="23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intend to hold the investment in Syndax for the foreseeable future and therefore, are accounting for our shares held in Syndax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2022, we recorded an unrealized gain of $2.7 million and an unrealized loss of $3.8 million, respectively, based on the change in fair value of Syndax’s common stock during the respective periods.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Maruho</w:t>
      </w:r>
    </w:p>
    <w:p>
      <w:pPr>
        <w:spacing w:after="0" w:line="26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 xml:space="preserve">In April 2022, we entered into a strategic alliance agreement with Maruho, Co., Ltd (“Maruho”) </w:t>
      </w:r>
      <w:r>
        <w:rPr>
          <w:rFonts w:ascii="Arial" w:cs="Arial" w:eastAsia="Arial" w:hAnsi="Arial"/>
          <w:sz w:val="18"/>
          <w:szCs w:val="18"/>
          <w:color w:val="auto"/>
          <w:highlight w:val="white"/>
        </w:rPr>
        <w:t>for the</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development, manufacturing and exclusive commercialization of ruxolitinib cream, for treatment of autoimmune and inflammatory dermatology indications in Japan. Maruho will receive the rights to develop, manufacture and exclusively commercialize ruxolitinib cream, and other potential future topical formulations of ruxolitinib, in autoimmune and inflammatory dermatologic diseases, including vitiligo and atopic dermatitis, in Japan. </w:t>
      </w:r>
      <w:r>
        <w:rPr>
          <w:rFonts w:ascii="Arial" w:cs="Arial" w:eastAsia="Arial" w:hAnsi="Arial"/>
          <w:sz w:val="18"/>
          <w:szCs w:val="18"/>
          <w:color w:val="auto"/>
        </w:rPr>
        <w:t>Under the terms of the agreement, we</w:t>
      </w:r>
      <w:r>
        <w:rPr>
          <w:rFonts w:ascii="Arial" w:cs="Arial" w:eastAsia="Arial" w:hAnsi="Arial"/>
          <w:sz w:val="18"/>
          <w:szCs w:val="18"/>
          <w:color w:val="auto"/>
          <w:highlight w:val="white"/>
        </w:rPr>
        <w:t xml:space="preserve"> </w:t>
      </w:r>
      <w:r>
        <w:rPr>
          <w:rFonts w:ascii="Arial" w:cs="Arial" w:eastAsia="Arial" w:hAnsi="Arial"/>
          <w:sz w:val="18"/>
          <w:szCs w:val="18"/>
          <w:color w:val="auto"/>
        </w:rPr>
        <w:t>received an upfront payment from Maruho which was deferred and recorded in other liabilities on the condensed consolidated balance sheet and we are eligible to receive additional potential development, regulatory and commercial milestones and royalties on net sales of the licensed product in Japan.</w:t>
      </w:r>
    </w:p>
    <w:p>
      <w:pPr>
        <w:spacing w:after="0" w:line="18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110,400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105,040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10,494</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434,321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27,308</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220,052</w:t>
            </w:r>
          </w:p>
        </w:tc>
        <w:tc>
          <w:tcPr>
            <w:tcW w:w="100" w:type="dxa"/>
            <w:vAlign w:val="bottom"/>
            <w:shd w:val="clear" w:color="auto" w:fill="CCEEFF"/>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913,186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899,640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(191,858)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(175,720)</w:t>
            </w: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721,328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723,920</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2017, we acquired additional adjacent buildings to our global headquarters in Wilmington, Delaware and in 2019, began demolition of these buildings and construction of a new laboratory and office building totaling approximately 200,000 square feet. The certificate of occupancy was received in December 2021 and we capitalized approximately $158.2 million in building and office equipment that was previously included in construction in progress as of December 31, 2021.</w:t>
      </w:r>
    </w:p>
    <w:p>
      <w:pPr>
        <w:spacing w:after="0" w:line="188"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February 2018, we signed an agreement to rent a building in Morges, Switzerland for an initial term of 15 years plus one year of free rent, with multiple options to extend for an additional 20 years. The building serves as our new</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European headquarters and consists of approximately 100,000 square feet of office space. This building allowed for consolidation of our European operations that were located in Geneva and Lausanne, Switzerland. In June 2019, we obtained control of the Morges building to begin our construction activity, which was completed in 2020. At that time, we determined the lease to be a finance lease and recorded a lease liability of $31.1 million and a finance lease right-of-use asset of $29.1 million, net of a lease incentive from our landlord of $2.0 million. We have capitalized approximately $19.5 million in leasehold improvements as of June 30, 2022 relating to Morges.</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June 30, 2022, we have capitalized approximately $198.1 million in costs for construction, ground preparation and architectural and engineering studies. Inspection from competent authorities was finalized in March 2022, and in June 2022 Swissmedic authorities granted the GMP drug manufacturing license for this facility.</w:t>
      </w:r>
    </w:p>
    <w:p>
      <w:pPr>
        <w:spacing w:after="0" w:line="188"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Accrued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168,412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Clinical related costs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137,445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109,486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34,607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35,750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27,098</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9,369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10,554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45,754</w:t>
            </w: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598,808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533,595</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Stock compensation</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recorded $46.5 million and $90.3 million of stock compensation expense on our condensed consolidated statements of operations for the three and six months ended June 30, 2022, respectively. We recorded $44.8 million and $92.1 million of stock compensation expense on our condensed consolidated statements of operations for the three and six months ended June 30, 2021, respectively. Stock compensation expense included within our condensed consolidated statements of operations included research and development expense of $28.1 million, $54.4 million, $28.0 million and $57.9 million for the three and six months ended June 30, 2022 and 2021, respectively. Stock compensation expense included within our condensed consolidated statements of operations also included selling, general and administrative expense of $17.7 million, $34.6 million, $16.4 million and $33.6 million for the three and six months ended June 30, 2022 and 2021, respectively. Stock compensation expense included within our condensed consolidated statements of operations also included cost of product revenues of $0.7 million, $1.3 million, $0.4 million and $0.6 million, respectively, for the three and six months ended June 30, 2022 and 2021.</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9019"/>
          </w:cols>
          <w:pgMar w:left="1440" w:top="517" w:right="1440" w:bottom="1440" w:gutter="0" w:footer="0" w:header="0"/>
        </w:sectPr>
      </w:pPr>
    </w:p>
    <w:p>
      <w:pPr>
        <w:spacing w:after="0" w:line="175"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Employee Stock Options</w:t>
      </w:r>
    </w:p>
    <w:p>
      <w:pPr>
        <w:spacing w:after="0" w:line="10" w:lineRule="exact"/>
        <w:rPr>
          <w:sz w:val="20"/>
          <w:szCs w:val="20"/>
          <w:color w:val="auto"/>
        </w:rPr>
      </w:pPr>
    </w:p>
    <w:tbl>
      <w:tblPr>
        <w:tblLayout w:type="fixed"/>
        <w:tblInd w:w="236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
              <w:spacing w:after="0" w:line="119" w:lineRule="exact"/>
              <w:rPr>
                <w:sz w:val="20"/>
                <w:szCs w:val="20"/>
                <w:color w:val="auto"/>
              </w:rPr>
            </w:pPr>
            <w:r>
              <w:rPr>
                <w:rFonts w:ascii="Arial" w:cs="Arial" w:eastAsia="Arial" w:hAnsi="Arial"/>
                <w:sz w:val="13"/>
                <w:szCs w:val="13"/>
                <w:b w:val="1"/>
                <w:bCs w:val="1"/>
                <w:color w:val="auto"/>
              </w:rPr>
              <w:t>For the Three</w:t>
            </w:r>
          </w:p>
        </w:tc>
        <w:tc>
          <w:tcPr>
            <w:tcW w:w="8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411"/>
              <w:spacing w:after="0" w:line="119" w:lineRule="exact"/>
              <w:rPr>
                <w:sz w:val="20"/>
                <w:szCs w:val="20"/>
                <w:color w:val="auto"/>
              </w:rPr>
            </w:pPr>
            <w:r>
              <w:rPr>
                <w:rFonts w:ascii="Arial" w:cs="Arial" w:eastAsia="Arial" w:hAnsi="Arial"/>
                <w:sz w:val="13"/>
                <w:szCs w:val="13"/>
                <w:b w:val="1"/>
                <w:bCs w:val="1"/>
                <w:color w:val="auto"/>
              </w:rPr>
              <w:t>For the</w:t>
            </w:r>
          </w:p>
        </w:tc>
      </w:tr>
      <w:tr>
        <w:trPr>
          <w:trHeight w:val="171"/>
        </w:trPr>
        <w:tc>
          <w:tcPr>
            <w:tcW w:w="132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w w:val="93"/>
              </w:rPr>
              <w:t>Months Ended</w:t>
            </w:r>
          </w:p>
        </w:tc>
        <w:tc>
          <w:tcPr>
            <w:tcW w:w="194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June 30,</w:t>
            </w:r>
          </w:p>
        </w:tc>
        <w:tc>
          <w:tcPr>
            <w:tcW w:w="1140" w:type="dxa"/>
            <w:vAlign w:val="bottom"/>
            <w:tcBorders>
              <w:bottom w:val="single" w:sz="8" w:color="auto"/>
            </w:tcBorders>
          </w:tcPr>
          <w:p>
            <w:pPr>
              <w:spacing w:after="0"/>
              <w:rPr>
                <w:sz w:val="12"/>
                <w:szCs w:val="12"/>
                <w:color w:val="auto"/>
              </w:rPr>
            </w:pPr>
          </w:p>
        </w:tc>
      </w:tr>
      <w:tr>
        <w:trPr>
          <w:trHeight w:val="142"/>
        </w:trPr>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94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2022</w:t>
            </w:r>
          </w:p>
        </w:tc>
        <w:tc>
          <w:tcPr>
            <w:tcW w:w="114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Employee Stock Purchase Plan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1"/>
              <w:spacing w:after="0" w:line="119" w:lineRule="exact"/>
              <w:rPr>
                <w:sz w:val="20"/>
                <w:szCs w:val="20"/>
                <w:color w:val="auto"/>
              </w:rPr>
            </w:pPr>
            <w:r>
              <w:rPr>
                <w:rFonts w:ascii="Arial" w:cs="Arial" w:eastAsia="Arial" w:hAnsi="Arial"/>
                <w:sz w:val="13"/>
                <w:szCs w:val="13"/>
                <w:b w:val="1"/>
                <w:bCs w:val="1"/>
                <w:color w:val="auto"/>
              </w:rPr>
              <w:t>For the Three</w:t>
            </w:r>
          </w:p>
        </w:tc>
        <w:tc>
          <w:tcPr>
            <w:tcW w:w="8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431"/>
              <w:spacing w:after="0" w:line="119" w:lineRule="exact"/>
              <w:rPr>
                <w:sz w:val="20"/>
                <w:szCs w:val="20"/>
                <w:color w:val="auto"/>
              </w:rPr>
            </w:pPr>
            <w:r>
              <w:rPr>
                <w:rFonts w:ascii="Arial" w:cs="Arial" w:eastAsia="Arial" w:hAnsi="Arial"/>
                <w:sz w:val="13"/>
                <w:szCs w:val="13"/>
                <w:b w:val="1"/>
                <w:bCs w:val="1"/>
                <w:color w:val="auto"/>
                <w:w w:val="99"/>
              </w:rPr>
              <w:t>For the</w:t>
            </w:r>
          </w:p>
        </w:tc>
      </w:tr>
      <w:tr>
        <w:trPr>
          <w:trHeight w:val="171"/>
        </w:trPr>
        <w:tc>
          <w:tcPr>
            <w:tcW w:w="130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w w:val="95"/>
              </w:rPr>
              <w:t>Months Ended</w:t>
            </w:r>
          </w:p>
        </w:tc>
        <w:tc>
          <w:tcPr>
            <w:tcW w:w="194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June 30,</w:t>
            </w:r>
          </w:p>
        </w:tc>
        <w:tc>
          <w:tcPr>
            <w:tcW w:w="1140" w:type="dxa"/>
            <w:vAlign w:val="bottom"/>
            <w:tcBorders>
              <w:bottom w:val="single" w:sz="8" w:color="auto"/>
            </w:tcBorders>
          </w:tcPr>
          <w:p>
            <w:pPr>
              <w:spacing w:after="0"/>
              <w:rPr>
                <w:sz w:val="12"/>
                <w:szCs w:val="12"/>
                <w:color w:val="auto"/>
              </w:rPr>
            </w:pPr>
          </w:p>
        </w:tc>
      </w:tr>
      <w:tr>
        <w:trPr>
          <w:trHeight w:val="142"/>
        </w:trPr>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92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2022</w:t>
            </w:r>
          </w:p>
        </w:tc>
        <w:tc>
          <w:tcPr>
            <w:tcW w:w="114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p>
    <w:p>
      <w:pPr>
        <w:sectPr>
          <w:pgSz w:w="11900" w:h="16838" w:orient="portrait"/>
          <w:cols w:equalWidth="0" w:num="2">
            <w:col w:w="5620" w:space="60"/>
            <w:col w:w="333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3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189"/>
        </w:trPr>
        <w:tc>
          <w:tcPr>
            <w:tcW w:w="232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Average risk-free interest rates</w:t>
            </w:r>
          </w:p>
        </w:tc>
        <w:tc>
          <w:tcPr>
            <w:tcW w:w="4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0.75</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4"/>
              </w:rPr>
              <w:t>%</w:t>
            </w:r>
          </w:p>
        </w:tc>
        <w:tc>
          <w:tcPr>
            <w:tcW w:w="560" w:type="dxa"/>
            <w:vAlign w:val="bottom"/>
            <w:tcBorders>
              <w:righ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0.44</w:t>
            </w:r>
          </w:p>
        </w:tc>
        <w:tc>
          <w:tcPr>
            <w:tcW w:w="2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87"/>
              </w:rPr>
              <w:t>%</w:t>
            </w:r>
          </w:p>
        </w:tc>
        <w:tc>
          <w:tcPr>
            <w:tcW w:w="600" w:type="dxa"/>
            <w:vAlign w:val="bottom"/>
            <w:tcBorders>
              <w:right w:val="single" w:sz="8" w:color="CCEEFF"/>
            </w:tcBorders>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4"/>
              </w:rPr>
              <w:t>%</w:t>
            </w:r>
          </w:p>
        </w:tc>
        <w:tc>
          <w:tcPr>
            <w:tcW w:w="560" w:type="dxa"/>
            <w:vAlign w:val="bottom"/>
            <w:tcBorders>
              <w:righ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4"/>
              </w:rPr>
              <w:t>%</w:t>
            </w:r>
          </w:p>
        </w:tc>
        <w:tc>
          <w:tcPr>
            <w:tcW w:w="580" w:type="dxa"/>
            <w:vAlign w:val="bottom"/>
            <w:tcBorders>
              <w:right w:val="single" w:sz="8" w:color="CCEEFF"/>
            </w:tcBorders>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4"/>
              </w:rPr>
              <w:t>%</w:t>
            </w:r>
          </w:p>
        </w:tc>
        <w:tc>
          <w:tcPr>
            <w:tcW w:w="560" w:type="dxa"/>
            <w:vAlign w:val="bottom"/>
            <w:tcBorders>
              <w:righ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0.18</w:t>
            </w:r>
          </w:p>
        </w:tc>
        <w:tc>
          <w:tcPr>
            <w:tcW w:w="38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4"/>
              </w:rPr>
              <w:t>%</w:t>
            </w: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Average expected life (in</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years)</w:t>
            </w:r>
          </w:p>
        </w:tc>
        <w:tc>
          <w:tcPr>
            <w:tcW w:w="460" w:type="dxa"/>
            <w:vAlign w:val="bottom"/>
          </w:tcPr>
          <w:p>
            <w:pPr>
              <w:jc w:val="right"/>
              <w:spacing w:after="0"/>
              <w:rPr>
                <w:sz w:val="20"/>
                <w:szCs w:val="20"/>
                <w:color w:val="auto"/>
              </w:rPr>
            </w:pPr>
            <w:r>
              <w:rPr>
                <w:rFonts w:ascii="Arial" w:cs="Arial" w:eastAsia="Arial" w:hAnsi="Arial"/>
                <w:sz w:val="18"/>
                <w:szCs w:val="18"/>
                <w:color w:val="auto"/>
              </w:rPr>
              <w:t>5.51</w:t>
            </w:r>
          </w:p>
        </w:tc>
        <w:tc>
          <w:tcPr>
            <w:tcW w:w="2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2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380" w:type="dxa"/>
            <w:vAlign w:val="bottom"/>
          </w:tcPr>
          <w:p>
            <w:pPr>
              <w:spacing w:after="0"/>
              <w:rPr>
                <w:sz w:val="20"/>
                <w:szCs w:val="20"/>
                <w:color w:val="auto"/>
              </w:rPr>
            </w:pPr>
          </w:p>
        </w:tc>
      </w:tr>
      <w:tr>
        <w:trPr>
          <w:trHeight w:val="216"/>
        </w:trPr>
        <w:tc>
          <w:tcPr>
            <w:tcW w:w="2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37 %</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39 %</w:t>
            </w:r>
          </w:p>
        </w:tc>
        <w:tc>
          <w:tcPr>
            <w:tcW w:w="8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39 %</w:t>
            </w:r>
          </w:p>
        </w:tc>
        <w:tc>
          <w:tcPr>
            <w:tcW w:w="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26 %</w:t>
            </w:r>
          </w:p>
        </w:tc>
        <w:tc>
          <w:tcPr>
            <w:tcW w:w="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28 %</w:t>
            </w:r>
          </w:p>
        </w:tc>
        <w:tc>
          <w:tcPr>
            <w:tcW w:w="9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33 %</w:t>
            </w: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Weighted-average fair value</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(in dollars)</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26.35</w:t>
            </w:r>
          </w:p>
        </w:tc>
        <w:tc>
          <w:tcPr>
            <w:tcW w:w="2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29.55</w:t>
            </w:r>
          </w:p>
        </w:tc>
        <w:tc>
          <w:tcPr>
            <w:tcW w:w="2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25.30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29.80</w:t>
            </w:r>
          </w:p>
        </w:tc>
        <w:tc>
          <w:tcPr>
            <w:tcW w:w="2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14.91</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16.14</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14.53</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18.48</w:t>
            </w:r>
          </w:p>
        </w:tc>
        <w:tc>
          <w:tcPr>
            <w:tcW w:w="380" w:type="dxa"/>
            <w:vAlign w:val="bottom"/>
          </w:tcPr>
          <w:p>
            <w:pPr>
              <w:spacing w:after="0"/>
              <w:rPr>
                <w:sz w:val="20"/>
                <w:szCs w:val="20"/>
                <w:color w:val="auto"/>
              </w:rPr>
            </w:pPr>
          </w:p>
        </w:tc>
      </w:tr>
    </w:tbl>
    <w:p>
      <w:pPr>
        <w:spacing w:after="0" w:line="16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Option activity under our 2010 Stock Incentive Plan (the “2010 Stock Plan”) was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74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Shares Subject to</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Outstanding Options</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20" w:type="dxa"/>
            <w:vAlign w:val="bottom"/>
          </w:tcPr>
          <w:p>
            <w:pPr>
              <w:spacing w:after="0"/>
              <w:rPr>
                <w:sz w:val="10"/>
                <w:szCs w:val="10"/>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0"/>
                <w:szCs w:val="10"/>
                <w:color w:val="auto"/>
              </w:rPr>
            </w:pP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12,763,460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88.39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1,245,450</w:t>
            </w:r>
          </w:p>
        </w:tc>
        <w:tc>
          <w:tcPr>
            <w:tcW w:w="80" w:type="dxa"/>
            <w:vAlign w:val="bottom"/>
          </w:tcPr>
          <w:p>
            <w:pPr>
              <w:spacing w:after="0"/>
              <w:rPr>
                <w:sz w:val="18"/>
                <w:szCs w:val="18"/>
                <w:color w:val="auto"/>
              </w:rPr>
            </w:pPr>
          </w:p>
        </w:tc>
        <w:tc>
          <w:tcPr>
            <w:tcW w:w="740" w:type="dxa"/>
            <w:vAlign w:val="bottom"/>
            <w:gridSpan w:val="2"/>
          </w:tcPr>
          <w:p>
            <w:pPr>
              <w:jc w:val="right"/>
              <w:ind w:right="50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(384,281)</w:t>
            </w:r>
          </w:p>
        </w:tc>
        <w:tc>
          <w:tcPr>
            <w:tcW w:w="740" w:type="dxa"/>
            <w:vAlign w:val="bottom"/>
            <w:gridSpan w:val="2"/>
            <w:shd w:val="clear" w:color="auto" w:fill="CCEEFF"/>
          </w:tcPr>
          <w:p>
            <w:pPr>
              <w:jc w:val="right"/>
              <w:ind w:right="50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69.03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Options cancelled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(723,224)</w:t>
            </w:r>
          </w:p>
        </w:tc>
        <w:tc>
          <w:tcPr>
            <w:tcW w:w="740" w:type="dxa"/>
            <w:vAlign w:val="bottom"/>
            <w:gridSpan w:val="2"/>
          </w:tcPr>
          <w:p>
            <w:pPr>
              <w:jc w:val="right"/>
              <w:ind w:right="50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12,901,405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right"/>
              <w:ind w:right="509"/>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87.69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annual stock option grants generally have a 10-year term and vest over four years, with 25% vesting after one year and the remainder vesting in 36 equal monthly installments.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Restricted stock unit (“RSU”) and performance share (“PSU”) award activity under the 2010 Stock Plan was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60" w:type="dxa"/>
            <w:vAlign w:val="bottom"/>
            <w:gridSpan w:val="3"/>
          </w:tcPr>
          <w:p>
            <w:pPr>
              <w:jc w:val="center"/>
              <w:ind w:left="435"/>
              <w:spacing w:after="0"/>
              <w:rPr>
                <w:sz w:val="20"/>
                <w:szCs w:val="20"/>
                <w:color w:val="auto"/>
              </w:rPr>
            </w:pPr>
            <w:r>
              <w:rPr>
                <w:rFonts w:ascii="Arial" w:cs="Arial" w:eastAsia="Arial" w:hAnsi="Arial"/>
                <w:sz w:val="14"/>
                <w:szCs w:val="14"/>
                <w:b w:val="1"/>
                <w:bCs w:val="1"/>
                <w:color w:val="auto"/>
                <w:w w:val="89"/>
              </w:rPr>
              <w:t>Shares Subject to</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660" w:type="dxa"/>
            <w:vAlign w:val="bottom"/>
          </w:tcPr>
          <w:p>
            <w:pPr>
              <w:spacing w:after="0"/>
              <w:rPr>
                <w:sz w:val="14"/>
                <w:szCs w:val="14"/>
                <w:color w:val="auto"/>
              </w:rPr>
            </w:pPr>
          </w:p>
        </w:tc>
        <w:tc>
          <w:tcPr>
            <w:tcW w:w="2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Outstanding Awards</w:t>
            </w:r>
          </w:p>
        </w:tc>
      </w:tr>
      <w:tr>
        <w:trPr>
          <w:trHeight w:val="142"/>
        </w:trPr>
        <w:tc>
          <w:tcPr>
            <w:tcW w:w="666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Shares</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Grant Date Value</w:t>
            </w:r>
          </w:p>
        </w:tc>
        <w:tc>
          <w:tcPr>
            <w:tcW w:w="80" w:type="dxa"/>
            <w:vAlign w:val="bottom"/>
          </w:tcPr>
          <w:p>
            <w:pPr>
              <w:spacing w:after="0"/>
              <w:rPr>
                <w:sz w:val="12"/>
                <w:szCs w:val="12"/>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3,966,888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84.91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RSUs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359,524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74.37</w:t>
            </w:r>
          </w:p>
        </w:tc>
        <w:tc>
          <w:tcPr>
            <w:tcW w:w="8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(153,897)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83.43</w:t>
            </w:r>
          </w:p>
        </w:tc>
        <w:tc>
          <w:tcPr>
            <w:tcW w:w="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PSUs released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(152,009)</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67.18</w:t>
            </w:r>
          </w:p>
        </w:tc>
        <w:tc>
          <w:tcPr>
            <w:tcW w:w="8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RSUs cancelled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(171,234)</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86.06</w:t>
            </w:r>
          </w:p>
        </w:tc>
        <w:tc>
          <w:tcPr>
            <w:tcW w:w="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PSUs cancelled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(1,720)</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65.76</w:t>
            </w:r>
          </w:p>
        </w:tc>
        <w:tc>
          <w:tcPr>
            <w:tcW w:w="80" w:type="dxa"/>
            <w:vAlign w:val="bottom"/>
          </w:tcPr>
          <w:p>
            <w:pPr>
              <w:spacing w:after="0"/>
              <w:rPr>
                <w:sz w:val="18"/>
                <w:szCs w:val="18"/>
                <w:color w:val="auto"/>
              </w:rPr>
            </w:pPr>
          </w:p>
        </w:tc>
      </w:tr>
      <w:tr>
        <w:trPr>
          <w:trHeight w:val="209"/>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3,847,552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84.64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and six months ended June 30, 2022 we recorded $0.1 million and $1.9 million, respectively, of stock compensation expense for PSUs on our condensed consolidated statements of operations. For the three and six months ended June 30, 2021 we recorded $0.6 million and $3.2 million of stock compensation expense for PSUs on our condensed consolidated statements of operations.</w:t>
      </w:r>
    </w:p>
    <w:p>
      <w:pPr>
        <w:spacing w:after="0" w:line="17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summarizes our shares available for grant under the 2010 Stock Plan. Each RSU and PSU grant reduces the available share pool by 2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cancelled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2022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79"/>
        <w:spacing w:after="0"/>
        <w:rPr>
          <w:sz w:val="20"/>
          <w:szCs w:val="20"/>
          <w:color w:val="auto"/>
        </w:rPr>
      </w:pPr>
      <w:r>
        <w:rPr>
          <w:rFonts w:ascii="Arial" w:cs="Arial" w:eastAsia="Arial" w:hAnsi="Arial"/>
          <w:sz w:val="12"/>
          <w:szCs w:val="12"/>
          <w:b w:val="1"/>
          <w:bCs w:val="1"/>
          <w:color w:val="auto"/>
        </w:rPr>
        <w:t>Shares Available</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for Grant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10,113,298</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(1,964,498)</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1,083,976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13335</wp:posOffset>
            </wp:positionV>
            <wp:extent cx="8655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9,232,776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21590</wp:posOffset>
            </wp:positionV>
            <wp:extent cx="8655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38735</wp:posOffset>
            </wp:positionV>
            <wp:extent cx="8655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6900" w:space="720"/>
            <w:col w:w="1399"/>
          </w:cols>
          <w:pgMar w:left="1440" w:top="517" w:right="1440" w:bottom="1440" w:gutter="0" w:footer="0" w:header="0"/>
          <w:type w:val="continuous"/>
        </w:sectPr>
      </w:pPr>
    </w:p>
    <w:p>
      <w:pPr>
        <w:spacing w:after="0" w:line="5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Total compensation cost of options granted but not yet vested, as of June 30, 2022, was $53.0 million, which is expected to be recognized over the weighted average period of approximately 1.0 years. Total compensation cost of RSUs granted but not yet vested, as of June 30, 2022, was $128.8 million, which is expected to be recognized over the weighted average period of approximately 1.6 years. Total compensation cost of PSUs granted but not yet vested, as of June 30, 2022, was $22.7 million, which is expected to be recognized over the weighted average period of 1.9 years, should the underlying performance conditions be deemed probable of achievement.</w:t>
      </w:r>
    </w:p>
    <w:p>
      <w:pPr>
        <w:spacing w:after="0" w:line="174"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For the three and six months ended June 30, 2022, we recorded income tax expense of approximately $67.9 million and $100.5 million, respectively. For the three and six months ended June 30, 2021, we recorded income tax expense of approximately $22.2 million and $38.0 million, respectively. The tax expense for the three and six months ended June 30, 2022 increased as compared to that for the prior year periods due to the release of our valuation allowance against a majority of our U.S. research and development tax credit carryforwards and other deferred tax assets at December 31, 2021.</w:t>
      </w:r>
    </w:p>
    <w:p>
      <w:pPr>
        <w:spacing w:after="0" w:line="19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the fourth quarter of 2021, we assessed the valuation allowance and considered positive evidence, including significant cumulative consolidated and U.S. income over the three years ended December 31, 2021, consistent growth in product revenues, and expectations regarding future profitability. We also assessed negative evidence, including the potential impact of competition, clinical failures and patent expirations on our projections. After assessing both the positive evidence and negative evidence, we determined it was more likely than not that the majority of our U.S. deferred tax assets would be realized in the future and released the associated valuation allowance as of December 31, 2021. This resulted in a benefit of $569.0 million. As of December 31, 2021, we maintained a valuation allowance of $408.2 million against a portion of our remaining U.S. deferred tax assets as well as select state and foreign deferred tax assets.</w:t>
      </w:r>
    </w:p>
    <w:p>
      <w:pPr>
        <w:spacing w:after="0" w:line="16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The balance of our unrecognized tax benefits (including penalties and interest) increased by approximately $9.4 million during the six months ended June 30, 2022, resulting in movements to other liabilities and deferred income tax</w:t>
      </w:r>
    </w:p>
    <w:p>
      <w:pPr>
        <w:sectPr>
          <w:pgSz w:w="11900" w:h="16838" w:orient="portrait"/>
          <w:cols w:equalWidth="0" w:num="1">
            <w:col w:w="9019"/>
          </w:cols>
          <w:pgMar w:left="1440" w:top="517" w:right="1440" w:bottom="1440" w:gutter="0" w:footer="0" w:header="0"/>
          <w:type w:val="continuous"/>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asset on the condensed consolidated balance sheet. The overall increase is primarily driven by unrecognized tax benefits related to current year operations and research and development tax credits. We accrue interest and penalties related to unrecognized tax benefits as a component of its provision for income taxes.</w:t>
      </w:r>
    </w:p>
    <w:p>
      <w:pPr>
        <w:spacing w:after="0" w:line="180"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Net income per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per share was calculated as follows for the periods indicated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9"/>
          </w:tcPr>
          <w:p>
            <w:pPr>
              <w:jc w:val="center"/>
              <w:ind w:right="1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jc w:val="center"/>
              <w:ind w:left="199"/>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8"/>
          </w:tcPr>
          <w:p>
            <w:pPr>
              <w:jc w:val="center"/>
              <w:ind w:right="70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4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4"/>
          </w:tcPr>
          <w:p>
            <w:pPr>
              <w:jc w:val="right"/>
              <w:ind w:right="17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09"/>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net income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161,432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149,456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199,424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202,991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221,660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220,083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221,493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219,942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09"/>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net income per share</w:t>
            </w: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4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r>
      <w:tr>
        <w:trPr>
          <w:trHeight w:val="209"/>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net income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161,432</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149,456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199,424</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202,991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221,660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220,083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221,493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219,942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Dilutive stock options and awards</w:t>
            </w: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2,167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1,784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182"/>
        </w:trPr>
        <w:tc>
          <w:tcPr>
            <w:tcW w:w="5220" w:type="dxa"/>
            <w:vAlign w:val="bottom"/>
            <w:gridSpan w:val="4"/>
            <w:shd w:val="clear" w:color="auto" w:fill="CCEEFF"/>
          </w:tcPr>
          <w:p>
            <w:pPr>
              <w:ind w:left="120"/>
              <w:spacing w:after="0" w:line="182" w:lineRule="exact"/>
              <w:rPr>
                <w:sz w:val="20"/>
                <w:szCs w:val="20"/>
                <w:color w:val="auto"/>
              </w:rPr>
            </w:pPr>
            <w:r>
              <w:rPr>
                <w:rFonts w:ascii="Arial" w:cs="Arial" w:eastAsia="Arial" w:hAnsi="Arial"/>
                <w:sz w:val="18"/>
                <w:szCs w:val="18"/>
                <w:color w:val="auto"/>
                <w:w w:val="96"/>
              </w:rPr>
              <w:t>Weighted average shares used to compute diluted net income per</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30"/>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223,661</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222,250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223,277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222,061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4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4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 net income per share</w:t>
            </w: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51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8920" w:type="dxa"/>
            <w:vAlign w:val="bottom"/>
            <w:gridSpan w:val="24"/>
          </w:tcPr>
          <w:p>
            <w:pPr>
              <w:ind w:left="660"/>
              <w:spacing w:after="0"/>
              <w:rPr>
                <w:sz w:val="20"/>
                <w:szCs w:val="20"/>
                <w:color w:val="auto"/>
              </w:rPr>
            </w:pPr>
            <w:r>
              <w:rPr>
                <w:rFonts w:ascii="Arial" w:cs="Arial" w:eastAsia="Arial" w:hAnsi="Arial"/>
                <w:sz w:val="18"/>
                <w:szCs w:val="18"/>
                <w:color w:val="auto"/>
                <w:w w:val="96"/>
              </w:rPr>
              <w:t>The potential common shares that were excluded from the diluted net income per share computation are as</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follows: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5"/>
        </w:trPr>
        <w:tc>
          <w:tcPr>
            <w:tcW w:w="4120" w:type="dxa"/>
            <w:vAlign w:val="bottom"/>
          </w:tcPr>
          <w:p>
            <w:pPr>
              <w:spacing w:after="0"/>
              <w:rPr>
                <w:sz w:val="24"/>
                <w:szCs w:val="24"/>
                <w:color w:val="auto"/>
              </w:rPr>
            </w:pPr>
          </w:p>
        </w:tc>
        <w:tc>
          <w:tcPr>
            <w:tcW w:w="1920" w:type="dxa"/>
            <w:vAlign w:val="bottom"/>
            <w:gridSpan w:val="6"/>
          </w:tcPr>
          <w:p>
            <w:pPr>
              <w:jc w:val="center"/>
              <w:ind w:left="299"/>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10"/>
          </w:tcPr>
          <w:p>
            <w:pPr>
              <w:jc w:val="center"/>
              <w:ind w:right="6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120" w:type="dxa"/>
            <w:vAlign w:val="bottom"/>
          </w:tcPr>
          <w:p>
            <w:pPr>
              <w:spacing w:after="0"/>
              <w:rPr>
                <w:sz w:val="14"/>
                <w:szCs w:val="14"/>
                <w:color w:val="auto"/>
              </w:rPr>
            </w:pPr>
          </w:p>
        </w:tc>
        <w:tc>
          <w:tcPr>
            <w:tcW w:w="1920" w:type="dxa"/>
            <w:vAlign w:val="bottom"/>
            <w:tcBorders>
              <w:bottom w:val="single" w:sz="8" w:color="auto"/>
            </w:tcBorders>
            <w:gridSpan w:val="6"/>
          </w:tcPr>
          <w:p>
            <w:pPr>
              <w:jc w:val="center"/>
              <w:ind w:left="299"/>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ind w:left="195"/>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00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10,767,335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5"/>
            <w:shd w:val="clear" w:color="auto" w:fill="CCEEFF"/>
          </w:tcPr>
          <w:p>
            <w:pPr>
              <w:jc w:val="center"/>
              <w:ind w:left="179"/>
              <w:spacing w:after="0"/>
              <w:rPr>
                <w:sz w:val="20"/>
                <w:szCs w:val="20"/>
                <w:color w:val="auto"/>
              </w:rPr>
            </w:pPr>
            <w:r>
              <w:rPr>
                <w:rFonts w:ascii="Arial" w:cs="Arial" w:eastAsia="Arial" w:hAnsi="Arial"/>
                <w:sz w:val="18"/>
                <w:szCs w:val="18"/>
                <w:color w:val="auto"/>
                <w:w w:val="89"/>
              </w:rPr>
              <w:t>9,283,385</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10,901,507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8,982,288</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Employee benefit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six months ended June 30, 2022 was $4.7 million and $9.6 million, respectively. Defined contribution expense for the three and six months ended June 30, 2021 was $4.3 million and $8.4 million, respectively.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r>
      <w:tr>
        <w:trPr>
          <w:trHeight w:val="20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4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components of net periodic benefit cost other than the service cost component are included in other income (expense), net on the condensed consolidated statements of operations. We expect to contribute a total of $6.4 million to the pension plans in 2022 inclusive of the amounts contributed to the plan during the current period.</w:t>
      </w:r>
    </w:p>
    <w:p>
      <w:pPr>
        <w:spacing w:after="0" w:line="337"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as of and for the three and six months ended June 30, 2022 should be read in conjunction with the unaudited condensed consolidated financial statements and notes to those statements included elsewhere in this Quarterly Report on Form 10-Q and our audited consolidated financial statements as of and for the year ended December 31, 2021 included in our Annual Report on Form 10-K for the year ended December 31, 2021 previously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3" w:lineRule="exact"/>
        <w:rPr>
          <w:sz w:val="20"/>
          <w:szCs w:val="20"/>
          <w:color w:val="auto"/>
        </w:rPr>
      </w:pPr>
    </w:p>
    <w:p>
      <w:pPr>
        <w:jc w:val="both"/>
        <w:ind w:left="1040" w:right="79" w:hanging="321"/>
        <w:spacing w:after="0" w:line="202"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discovery, development, formulation, manufacturing and commercialization of our compounds, our drug candidates and JAKAFI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/JAKAVI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(ruxolitinib), PEMAZYRE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(pemigatinib), ICLUSIG</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(ponatinib), MONJUVI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(tafasitamab-cxix) /MINJUVI</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(tafasitamab), and OPZELURA™ (ruxolitinib) cream;</w:t>
      </w:r>
    </w:p>
    <w:p>
      <w:pPr>
        <w:spacing w:after="0" w:line="2" w:lineRule="exact"/>
        <w:rPr>
          <w:rFonts w:ascii="Arial" w:cs="Arial" w:eastAsia="Arial" w:hAnsi="Arial"/>
          <w:sz w:val="17"/>
          <w:szCs w:val="17"/>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74"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and anticipated benefits and disadvantages of entering into collaboration agreements;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licensing, investment and commercialization strategies, including our plans to commercialize our drug products and drug candidates;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pacing w:after="0" w:line="128" w:lineRule="exact"/>
        <w:rPr>
          <w:rFonts w:ascii="Arial" w:cs="Arial" w:eastAsia="Arial" w:hAnsi="Arial"/>
          <w:sz w:val="17"/>
          <w:szCs w:val="17"/>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 and governmental proceedings;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117"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84" w:lineRule="exact"/>
        <w:rPr>
          <w:sz w:val="20"/>
          <w:szCs w:val="20"/>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our drug products and drug candidates;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67"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out-licensed compounds or drug candidates;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unanticipated delays or changes in plans or regulatory agency interactions or other issues relating to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our ability to analyze the effects of new accounting pronouncements and apply new accounting rules;</w:t>
      </w:r>
    </w:p>
    <w:p>
      <w:pPr>
        <w:spacing w:after="0" w:line="128" w:lineRule="exact"/>
        <w:rPr>
          <w:rFonts w:ascii="Arial" w:cs="Arial" w:eastAsia="Arial" w:hAnsi="Arial"/>
          <w:sz w:val="17"/>
          <w:szCs w:val="17"/>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our ability to sustain profitability;</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natural disasters, or geopolitical events such as the Russian invasion of Ukraine; and</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left="40" w:right="59" w:firstLine="706"/>
        <w:spacing w:after="0" w:line="286" w:lineRule="auto"/>
        <w:rPr>
          <w:sz w:val="20"/>
          <w:szCs w:val="20"/>
          <w:color w:val="auto"/>
        </w:rPr>
      </w:pPr>
      <w:r>
        <w:rPr>
          <w:rFonts w:ascii="Arial" w:cs="Arial" w:eastAsia="Arial" w:hAnsi="Arial"/>
          <w:sz w:val="17"/>
          <w:szCs w:val="17"/>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Incyte, JAKAFI and PEMAZYRE are our registered trademarks and OPZELURA is our trademark. We also refer to trademarks of other corporations and organizations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87" w:lineRule="exact"/>
        <w:rPr>
          <w:sz w:val="20"/>
          <w:szCs w:val="20"/>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62" w:lineRule="exact"/>
        <w:rPr>
          <w:rFonts w:ascii="Arial" w:cs="Arial" w:eastAsia="Arial" w:hAnsi="Arial"/>
          <w:sz w:val="18"/>
          <w:szCs w:val="18"/>
          <w:color w:val="auto"/>
        </w:rPr>
      </w:pPr>
    </w:p>
    <w:p>
      <w:pPr>
        <w:jc w:val="both"/>
        <w:ind w:left="720" w:right="59" w:hanging="325"/>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75" w:lineRule="exact"/>
        <w:rPr>
          <w:rFonts w:ascii="Arial" w:cs="Arial" w:eastAsia="Arial" w:hAnsi="Arial"/>
          <w:sz w:val="18"/>
          <w:szCs w:val="18"/>
          <w:color w:val="auto"/>
        </w:rPr>
      </w:pPr>
    </w:p>
    <w:p>
      <w:pPr>
        <w:jc w:val="both"/>
        <w:ind w:left="720" w:right="59" w:hanging="325"/>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75"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62" w:lineRule="exact"/>
        <w:rPr>
          <w:rFonts w:ascii="Arial" w:cs="Arial" w:eastAsia="Arial" w:hAnsi="Arial"/>
          <w:sz w:val="18"/>
          <w:szCs w:val="18"/>
          <w:color w:val="auto"/>
        </w:rPr>
      </w:pPr>
    </w:p>
    <w:p>
      <w:pPr>
        <w:ind w:left="720" w:hanging="32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for our products could harm our business and result in a decrease in our revenue.</w:t>
      </w:r>
    </w:p>
    <w:p>
      <w:pPr>
        <w:spacing w:after="0" w:line="117"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and measures to address the pandemic, as well as other geopolitical events, have adversely affected and could in the future adversely affect our business and results of operations.</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or our collaborators may be unsuccessful in discovering and developing drug candidates, and we may spend significant time and money attempting to do so, in particular with our later stage drug candidates.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62"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establish collaborations to fully exploit our drug discovery and development capabilities or if future collaborations are unsuccessful, our future revenue prospects could be diminished.</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one of our drug candidates receives regulatory approval, we may determine that commercialization would not be worth the investment.</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reliance on others to manufacture our drug products and drug candidates could result in drug supply constraints, delays in clinical trials, increased costs, and withdrawal or denial of regulatory approvals.</w:t>
      </w:r>
    </w:p>
    <w:p>
      <w:pPr>
        <w:spacing w:after="0" w:line="38" w:lineRule="exact"/>
        <w:rPr>
          <w:rFonts w:ascii="Arial" w:cs="Arial" w:eastAsia="Arial" w:hAnsi="Arial"/>
          <w:sz w:val="17"/>
          <w:szCs w:val="17"/>
          <w:color w:val="auto"/>
        </w:rPr>
      </w:pPr>
    </w:p>
    <w:p>
      <w:pPr>
        <w:ind w:left="720" w:right="5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62" w:lineRule="exact"/>
        <w:rPr>
          <w:rFonts w:ascii="Arial" w:cs="Arial" w:eastAsia="Arial" w:hAnsi="Arial"/>
          <w:sz w:val="18"/>
          <w:szCs w:val="18"/>
          <w:color w:val="auto"/>
        </w:rPr>
      </w:pPr>
    </w:p>
    <w:p>
      <w:pPr>
        <w:ind w:left="720" w:hanging="325"/>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manage our growth effectively, our ability to develop and commercialize products could suffer.</w:t>
      </w:r>
    </w:p>
    <w:p>
      <w:pPr>
        <w:spacing w:after="0" w:line="128" w:lineRule="exact"/>
        <w:rPr>
          <w:rFonts w:ascii="Arial" w:cs="Arial" w:eastAsia="Arial" w:hAnsi="Arial"/>
          <w:sz w:val="17"/>
          <w:szCs w:val="17"/>
          <w:color w:val="auto"/>
        </w:rPr>
      </w:pPr>
    </w:p>
    <w:p>
      <w:pPr>
        <w:ind w:left="720" w:right="79" w:hanging="325"/>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acquire businesses or assets, form joint ventures or make investments in other companies that may be unsuccessful, divert our management’s attention and harm our operating results and prospects.</w:t>
      </w:r>
    </w:p>
    <w:p>
      <w:pPr>
        <w:spacing w:after="0" w:line="38" w:lineRule="exact"/>
        <w:rPr>
          <w:rFonts w:ascii="Arial" w:cs="Arial" w:eastAsia="Arial" w:hAnsi="Arial"/>
          <w:sz w:val="17"/>
          <w:szCs w:val="17"/>
          <w:color w:val="auto"/>
        </w:rPr>
      </w:pPr>
    </w:p>
    <w:p>
      <w:pPr>
        <w:ind w:left="720" w:hanging="32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17"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62" w:lineRule="exact"/>
        <w:rPr>
          <w:rFonts w:ascii="Arial" w:cs="Arial" w:eastAsia="Arial" w:hAnsi="Arial"/>
          <w:sz w:val="18"/>
          <w:szCs w:val="18"/>
          <w:color w:val="auto"/>
        </w:rPr>
      </w:pPr>
    </w:p>
    <w:p>
      <w:pPr>
        <w:ind w:left="720" w:right="79" w:hanging="325"/>
        <w:spacing w:after="0" w:line="342"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marketable securities and long term investments are subject to risks that could adversely affect our overall financial position, and tax law changes could adversely affect our results of operations and financial condition.</w:t>
      </w:r>
    </w:p>
    <w:p>
      <w:pPr>
        <w:spacing w:after="0" w:line="15" w:lineRule="exact"/>
        <w:rPr>
          <w:rFonts w:ascii="Arial" w:cs="Arial" w:eastAsia="Arial" w:hAnsi="Arial"/>
          <w:sz w:val="16"/>
          <w:szCs w:val="16"/>
          <w:color w:val="auto"/>
        </w:rPr>
      </w:pPr>
    </w:p>
    <w:p>
      <w:pPr>
        <w:ind w:left="720" w:right="79" w:hanging="325"/>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achieve milestones, develop product candidates to license or renew or enter into new collaborations, our royalty and milestone revenues and future prospects for those revenues may decrease.</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clinical development and commercial operations from our country offices across Europe, including our European headquarters in Morges, Switzerland, our Japanese office in Tokyo and our Canadian headquarters in Montreal.</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As described in more detail below, we operate in two therapeutic areas that are defined by the indications of our approved medicines and the diseases for which our clinical candidates are being developed. One therapeutic area is Hematology/Oncology, which is comprised of Myeloproliferative Neoplasms (MPNs), Graft-Versus-Host Disease (GVHD), as well as solid tumors and hematologic malignancies. The other therapeutic area is Inflammation and Autoimmunity (IAI), which includes our newly established Dermatology commercial franchise. We are also eligible to receive milestones and royalties on molecules discovered by us and licensed to third parties.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Hematology and Oncology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hematology and oncology franchise is comprised of four approved products, which are JAKAFI (ruxolitinib), MONJUVI (tafasitamab-cxix)/MINJUVI (tafasitamab), PEMAZYRE (pemigatinib) and ICLUSIG (ponatinib), as well as numerous clinical development programs.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2" w:lineRule="exact"/>
        <w:rPr>
          <w:sz w:val="20"/>
          <w:szCs w:val="20"/>
          <w:color w:val="auto"/>
        </w:rPr>
      </w:pPr>
    </w:p>
    <w:p>
      <w:pPr>
        <w:jc w:val="both"/>
        <w:ind w:left="40" w:right="59" w:firstLine="720"/>
        <w:spacing w:after="0" w:line="293" w:lineRule="auto"/>
        <w:rPr>
          <w:sz w:val="20"/>
          <w:szCs w:val="20"/>
          <w:color w:val="auto"/>
        </w:rPr>
      </w:pPr>
      <w:r>
        <w:rPr>
          <w:rFonts w:ascii="Arial" w:cs="Arial" w:eastAsia="Arial" w:hAnsi="Arial"/>
          <w:sz w:val="16"/>
          <w:szCs w:val="16"/>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2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MF is a rare, life-threatening condition. MF, considered the most serious of the myeloproliferative</w:t>
      </w:r>
      <w:r>
        <w:rPr>
          <w:rFonts w:ascii="Arial" w:cs="Arial" w:eastAsia="Arial" w:hAnsi="Arial"/>
          <w:sz w:val="17"/>
          <w:szCs w:val="17"/>
          <w:i w:val="1"/>
          <w:iCs w:val="1"/>
          <w:color w:val="auto"/>
        </w:rPr>
        <w:t xml:space="preserve"> </w:t>
      </w:r>
      <w:r>
        <w:rPr>
          <w:rFonts w:ascii="Arial" w:cs="Arial" w:eastAsia="Arial" w:hAnsi="Arial"/>
          <w:sz w:val="17"/>
          <w:szCs w:val="17"/>
          <w:color w:val="auto"/>
        </w:rPr>
        <w:t>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4"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7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genetically 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June 2016, we announced that the FDA granted Breakthrough Therapy designation for ruxolitinib in patients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with acute GVHD. In May 2019, the FDA approved JAKAFI for the treatment of steroid-refractory acute GVHD in adult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pediatric patients 12 years and older. The approval was based on data from REACH1, an open-label, single-arm,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multicenter study of JAKAFI in combination with corticosteroids in patients with steroid-refractory grade II-IV acute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GVHD. The overall response rate (ORR) in patients refractory to steroids alone was 57% with a complete response (CR)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of 31%. The most frequently reported adverse reactions among all study participants were infections (55%) and edema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 and the most common laboratory abnormalities were anemia (75%), thrombocytopenia (75%) and neutropenia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(58%).</w:t>
      </w:r>
    </w:p>
    <w:p>
      <w:pPr>
        <w:spacing w:after="0" w:line="21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September 2021, the FDA approved JAKAFI for the treatment of chronic GVHD after failure of one or two lines of systemic therapy in adult and pediatric patients 12 years and older. This approval was based on data from REACH3, a Phase III,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8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These patents, including applicable extensions, currently expire in mid-2028. A determination of pediatric exclusivity would add six months to the expiration.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MONJUVI (tafasitamab-cxix) / MINJUVI (tafasitamab)</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161"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w:t>
      </w:r>
    </w:p>
    <w:p>
      <w:pPr>
        <w:spacing w:after="0" w:line="16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August 2021, we and MorphoSys announced that the European Commission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8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PEMAZYRE is the first internally discovered product to be internationally commercialized by us.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8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In March 2021, PEMAZYRE was approved by the Japanese Ministry of Health, Labour and Welfare (MHLW) for the treatment of patients with unresectable biliary tract cancer (BTC) with an FGFR2 fusion gene, worsening after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w:t>
      </w:r>
    </w:p>
    <w:p>
      <w:pPr>
        <w:spacing w:after="0" w:line="184"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17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4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pacing w:after="0" w:line="16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2022, PEMAZYRE was approved by the National Medical Products Administration (NMPA) for the treatment of adults with locally advanced or metastatic cholangiocarcinoma with a fibroblast growth receptor 2 (FGFR2) fusion or rearrangement as confirmed by a validated diagnostic test that have progressed after at least one prior line of systemic therapy.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Ruxolitinib</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2021 Virtual Congress in June 2021. The FDA accepted the NDA for QD ruxolitinib with a Prescription Drug User Fee Act (PDUFA) target action date of March 23, 2023.</w:t>
      </w:r>
    </w:p>
    <w:p>
      <w:pPr>
        <w:spacing w:after="0" w:line="17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Based on positive Phase II data, we opened two pivotal trials of ruxolitinib in combination with parsaclisib (PI3Kδ) in first-line MF (LIMBER-313) and in MF patients with a suboptimal response to ruxolitinib monotherapy (LIMBER-304), and both trials are ongoing. Additional Phase II trials combining ruxolitinib with investigational agents from our portfolio such as INCB57643 (BET) and INCB00928 (ALK2) in patients with MF are in preparation, and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additional discovery and development initiatives are also ongoing within the LIMBER program, which are evaluating internally-discovered compounds and candidates from collaboration partners.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Itacitinib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no longer intend to develop itacitinib, a selective JAK1 inhibitor, in treatment-naïve chronic GVHD (cGVHD). Based on efficacy data from Part I of the Phase II/II GRAVTIAS-309 trial, we determined that a pivotal trial was unlikely to be successful.</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Axatilimab</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as well as in additional immune-mediated diseases where CSF-1R-dependent monocytes and macrophages are believed to contribute to organ fibrosis. In December, updated positive data were presented at ASH from the Phase I/II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Additional trials of axatilimab are planned in patients with chronic GVHD, including a Phase II trial in combination with a JAK inhibitor in patients with steroid-refractory cGVHD. In May 2022, Syndax announced that axatilimab was granted fast-track designation by the FDA for the treatment of patients with chronic GVHD after failure of two or more lines of systemic therapy.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Tafasitamab</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ongoing.</w:t>
      </w:r>
    </w:p>
    <w:p>
      <w:pPr>
        <w:spacing w:after="0" w:line="182"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A placebo-controlled Phase III trial (inMIND) of tafasitamab added to lenalidomide plus rituximab (R</w:t>
      </w:r>
      <w:r>
        <w:rPr>
          <w:rFonts w:ascii="Arial" w:cs="Arial" w:eastAsia="Arial" w:hAnsi="Arial"/>
          <w:sz w:val="26"/>
          <w:szCs w:val="26"/>
          <w:color w:val="auto"/>
          <w:vertAlign w:val="superscript"/>
        </w:rPr>
        <w:t>2</w:t>
      </w:r>
      <w:r>
        <w:rPr>
          <w:rFonts w:ascii="Arial" w:cs="Arial" w:eastAsia="Arial" w:hAnsi="Arial"/>
          <w:sz w:val="18"/>
          <w:szCs w:val="18"/>
          <w:color w:val="auto"/>
        </w:rPr>
        <w:t>) in patients with relapsed or refractory follicular or marginal zone lymphomas is ongoing, as is a proof-of-concept study (topMIND) evaluating tafasitamab in combination with parsaclisib (PI3Kδ) in patients with relapsed or refractory B-cell malignancies. A proof-of-concept study of tafasitamab, lenalidomide and plamotamab in patients with r/r DLBCL is also ongoing.</w:t>
      </w:r>
    </w:p>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January 2021, the FDA granted orphan drug designation to tafasitamab as a treatment for patients with follicular lymphoma.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Pemigatinib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84"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myeloid/lymphoid neoplasms with FGFR1 rearrangement. Based on data generated from these trials, we have initiated additional trials including FIGHT-302, a Phase III study in first-line cholangiocarcinoma. FIGHT-207, a solid tumor-agnostic trial evaluating pemigatinib in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patients with driver-alterations of FGF/FGFR, is now closed to recruitment. Based on findings from this study, we have identified populations that may potentially benefit from treatment with pemigatinib and have initiated two Phase II trials – FIGHT-209 in patients with glioblastoma and FIGHT-210 in patients with non-small cell lung cancer.</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Parsaclisib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PI3Kδ pathway mediates oncogenic signaling in B cell malignancies. Parsaclisib is a PI3Kδ inhibitor that has demonstrated potency and selectivity in preclinical studies and has potential therapeutic utility in the treatment of patients with lymphoma. We initiated the CITADEL clinical program to evaluate parsaclisib in non-Hodgkin lymphomas, including Phase II trials in follicular lymphoma, marginal zone lymphoma and mantle cell lymphoma. The FDA granted orphan drug designation and Fast Track designation to parsaclisib as a treatment for patients with follicular lymphoma, marginal zone lymphoma and mantle cell lymphoma.</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2020, we announced preliminary results from the ongoing CITADEL monotherapy development program, which was designed to enable registration of parsaclisib. Results from four cohorts were presented at the American Society of Hematology (ASH), including in r/r follicular lymphoma (CITADEL-203), in BTK-naïve r/r marginal zone lymphoma (CITADEL-204) and in both BTK-naïve and BTK-experienced r/r mantle cell lymphoma (CITADEL-205).</w:t>
      </w:r>
    </w:p>
    <w:p>
      <w:pPr>
        <w:spacing w:after="0" w:line="373"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October 2021, we announced the FDA acceptance of an NDA seeking approval of parsaclisib for the treatment of patients with relapsed or refractory follicular lymphoma, marginal zone lymphoma and mantle cell lymphoma. The submission was based on data from several Phase II studies (CITADEL-203, -204 and -205) evaluating parsaclisib as a treatment for relapsed or refractory non-Hodgkin lymphomas (follicular, marginal zone and mantle cell). In January 2022, we announced that we withdrew the NDA seeking approval of parsaclisib for the three indications in non-Hodgkin lymphoma. The decision to withdraw the NDA followed discussions with FDA regarding confirmatory studies that we determined cannot be completed within a reasonable time period to support an accelerated approval. In July 2022, we withdrew the Marketing Authorization Application (MAA) seeking approval of parsaclisib in marginal zone lymphoma following discussions with the European Medicines Agency regarding the confirmatory study needed to support the approval which we determined were not feasible.</w:t>
      </w:r>
    </w:p>
    <w:p>
      <w:pPr>
        <w:spacing w:after="0" w:line="18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 Phase II trial of parsaclisib in patients with autoimmune hemolytic anemia (AIHA), a rare red blood cell disorder, is ongoing. In June 2021, data from the Phase II trial were presented at EHA. The majority of patients achieved a response with parsaclisib over the initial 12-week treatment period and treatment with parsaclisib was generally well tolerated. Based on these results, we initiated a Phase III trial (PATHWAY) in warm AIHA. The FDA has granted orphan drug designation to parsaclisib as a treatment for patients with AIHA.</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Retifanlimab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microsatellite instability-high (MSI-H) endometrial cancer and Merkel cell carcinoma are ongoing.</w:t>
      </w:r>
    </w:p>
    <w:p>
      <w:pPr>
        <w:spacing w:after="0" w:line="19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Phase III POD1UM-303 trial of retifanlimab in combination with platinum-based chemotherapy as a first-line treatment for patients with SCAC is underway. In July 2021, we announced that the FDA issued a complete response letter (CRL) for the BLA of retifanlimab for the treatment of squamous cell carcinoma of the anal canal (SCAC). In October 2021, we announced that we withdrew the MAA seeking approval of retifanlimab in SCAC.</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Phase III POD1UM-304 trial is evaluating retifanlimab in combination with platinum-based chemotherapy as a first-line treatment for patients with non-small cell lung cancer (NSCLC), and in October 2020, our collaboration partner Zai Lab announced dosing of the first patient in China.</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Retifanlimab has been granted Fast Track designation for the treatment of certain patients with advanced or metastatic MSI-H or DNA mismatch repair (dMMR) endometrial cancer, for the treatment of certain patients with locally advanced or metastatic SCAC and for the treatment of Merkel cell carcinoma (MCC). The FDA and EMA have granted orphan drug designation to retifanlimab as a treatment for patients with locally advanced or metastatic SCAC and the FDA has granted orphan drug designation to retifanlimab as a treatment for patients with MCC.</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320" w:type="dxa"/>
            <w:vAlign w:val="bottom"/>
            <w:tcBorders>
              <w:top w:val="single" w:sz="8" w:color="auto"/>
            </w:tcBorders>
          </w:tcPr>
          <w:p>
            <w:pPr>
              <w:spacing w:after="0"/>
              <w:rPr>
                <w:sz w:val="21"/>
                <w:szCs w:val="21"/>
                <w:color w:val="auto"/>
              </w:rPr>
            </w:pPr>
          </w:p>
        </w:tc>
        <w:tc>
          <w:tcPr>
            <w:tcW w:w="652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2320" w:type="dxa"/>
            <w:vAlign w:val="bottom"/>
            <w:tcBorders>
              <w:bottom w:val="single" w:sz="8" w:color="auto"/>
            </w:tcBorders>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r>
      <w:tr>
        <w:trPr>
          <w:trHeight w:val="142"/>
        </w:trPr>
        <w:tc>
          <w:tcPr>
            <w:tcW w:w="232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Once-a-day ruxolitinib</w:t>
            </w:r>
          </w:p>
        </w:tc>
        <w:tc>
          <w:tcPr>
            <w:tcW w:w="652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Myelofibrosis, polycythemia vera and GVHD: clinical pharmacology studies; NDA</w:t>
            </w:r>
          </w:p>
        </w:tc>
      </w:tr>
      <w:tr>
        <w:trPr>
          <w:trHeight w:val="234"/>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review</w:t>
            </w:r>
          </w:p>
        </w:tc>
      </w:tr>
      <w:tr>
        <w:trPr>
          <w:trHeight w:val="117"/>
        </w:trPr>
        <w:tc>
          <w:tcPr>
            <w:tcW w:w="2320" w:type="dxa"/>
            <w:vAlign w:val="bottom"/>
            <w:shd w:val="clear" w:color="auto" w:fill="CCEEFF"/>
          </w:tcPr>
          <w:p>
            <w:pPr>
              <w:spacing w:after="0"/>
              <w:rPr>
                <w:sz w:val="10"/>
                <w:szCs w:val="10"/>
                <w:color w:val="auto"/>
              </w:rPr>
            </w:pPr>
          </w:p>
        </w:tc>
        <w:tc>
          <w:tcPr>
            <w:tcW w:w="6520" w:type="dxa"/>
            <w:vAlign w:val="bottom"/>
            <w:shd w:val="clear" w:color="auto" w:fill="CCEEFF"/>
          </w:tcPr>
          <w:p>
            <w:pPr>
              <w:spacing w:after="0"/>
              <w:rPr>
                <w:sz w:val="10"/>
                <w:szCs w:val="10"/>
                <w:color w:val="auto"/>
              </w:rPr>
            </w:pPr>
          </w:p>
        </w:tc>
      </w:tr>
      <w:tr>
        <w:trPr>
          <w:trHeight w:val="148"/>
        </w:trPr>
        <w:tc>
          <w:tcPr>
            <w:tcW w:w="232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parsaclisib</w:t>
            </w:r>
          </w:p>
        </w:tc>
        <w:tc>
          <w:tcPr>
            <w:tcW w:w="6520" w:type="dxa"/>
            <w:vAlign w:val="bottom"/>
          </w:tcPr>
          <w:p>
            <w:pPr>
              <w:ind w:left="180"/>
              <w:spacing w:after="0" w:line="149" w:lineRule="exact"/>
              <w:rPr>
                <w:sz w:val="20"/>
                <w:szCs w:val="20"/>
                <w:color w:val="auto"/>
              </w:rPr>
            </w:pPr>
            <w:r>
              <w:rPr>
                <w:rFonts w:ascii="Arial" w:cs="Arial" w:eastAsia="Arial" w:hAnsi="Arial"/>
                <w:sz w:val="17"/>
                <w:szCs w:val="17"/>
                <w:color w:val="auto"/>
              </w:rPr>
              <w:t>Myelofibrosis: Phase III (first-line therapy) (LIMBER-313)</w:t>
            </w:r>
          </w:p>
        </w:tc>
      </w:tr>
      <w:tr>
        <w:trPr>
          <w:trHeight w:val="234"/>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(JAK1/JAK2 + PI3Kδ)</w:t>
            </w:r>
          </w:p>
        </w:tc>
        <w:tc>
          <w:tcPr>
            <w:tcW w:w="6520" w:type="dxa"/>
            <w:vAlign w:val="bottom"/>
          </w:tcPr>
          <w:p>
            <w:pPr>
              <w:ind w:left="180"/>
              <w:spacing w:after="0"/>
              <w:rPr>
                <w:sz w:val="20"/>
                <w:szCs w:val="20"/>
                <w:color w:val="auto"/>
              </w:rPr>
            </w:pPr>
            <w:r>
              <w:rPr>
                <w:rFonts w:ascii="Arial" w:cs="Arial" w:eastAsia="Arial" w:hAnsi="Arial"/>
                <w:sz w:val="18"/>
                <w:szCs w:val="18"/>
                <w:color w:val="auto"/>
              </w:rPr>
              <w:t>Myelofibrosis: Phase III (suboptimal responders to ruxolitinib) (LIMBER-304)</w:t>
            </w:r>
          </w:p>
        </w:tc>
      </w:tr>
      <w:tr>
        <w:trPr>
          <w:trHeight w:val="130"/>
        </w:trPr>
        <w:tc>
          <w:tcPr>
            <w:tcW w:w="2320" w:type="dxa"/>
            <w:vAlign w:val="bottom"/>
          </w:tcPr>
          <w:p>
            <w:pPr>
              <w:spacing w:after="0"/>
              <w:rPr>
                <w:sz w:val="11"/>
                <w:szCs w:val="11"/>
                <w:color w:val="auto"/>
              </w:rPr>
            </w:pPr>
          </w:p>
        </w:tc>
        <w:tc>
          <w:tcPr>
            <w:tcW w:w="6520" w:type="dxa"/>
            <w:vAlign w:val="bottom"/>
          </w:tcPr>
          <w:p>
            <w:pPr>
              <w:spacing w:after="0"/>
              <w:rPr>
                <w:sz w:val="11"/>
                <w:szCs w:val="11"/>
                <w:color w:val="auto"/>
              </w:rPr>
            </w:pPr>
          </w:p>
        </w:tc>
      </w:tr>
      <w:tr>
        <w:trPr>
          <w:trHeight w:val="149"/>
        </w:trPr>
        <w:tc>
          <w:tcPr>
            <w:tcW w:w="232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ruxolitinib + INCB57643</w:t>
            </w:r>
          </w:p>
        </w:tc>
        <w:tc>
          <w:tcPr>
            <w:tcW w:w="652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Myelofibrosis: Phase II</w:t>
            </w:r>
          </w:p>
        </w:tc>
      </w:tr>
      <w:tr>
        <w:trPr>
          <w:trHeight w:val="234"/>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BET)</w:t>
            </w:r>
          </w:p>
        </w:tc>
        <w:tc>
          <w:tcPr>
            <w:tcW w:w="6520" w:type="dxa"/>
            <w:vAlign w:val="bottom"/>
            <w:shd w:val="clear" w:color="auto" w:fill="CCEEFF"/>
          </w:tcPr>
          <w:p>
            <w:pPr>
              <w:spacing w:after="0"/>
              <w:rPr>
                <w:sz w:val="20"/>
                <w:szCs w:val="20"/>
                <w:color w:val="auto"/>
              </w:rPr>
            </w:pPr>
          </w:p>
        </w:tc>
      </w:tr>
      <w:tr>
        <w:trPr>
          <w:trHeight w:val="130"/>
        </w:trPr>
        <w:tc>
          <w:tcPr>
            <w:tcW w:w="2320" w:type="dxa"/>
            <w:vAlign w:val="bottom"/>
            <w:shd w:val="clear" w:color="auto" w:fill="CCEEFF"/>
          </w:tcPr>
          <w:p>
            <w:pPr>
              <w:spacing w:after="0"/>
              <w:rPr>
                <w:sz w:val="11"/>
                <w:szCs w:val="11"/>
                <w:color w:val="auto"/>
              </w:rPr>
            </w:pPr>
          </w:p>
        </w:tc>
        <w:tc>
          <w:tcPr>
            <w:tcW w:w="6520" w:type="dxa"/>
            <w:vAlign w:val="bottom"/>
            <w:shd w:val="clear" w:color="auto" w:fill="CCEEFF"/>
          </w:tcPr>
          <w:p>
            <w:pPr>
              <w:spacing w:after="0"/>
              <w:rPr>
                <w:sz w:val="11"/>
                <w:szCs w:val="11"/>
                <w:color w:val="auto"/>
              </w:rPr>
            </w:pPr>
          </w:p>
        </w:tc>
      </w:tr>
      <w:tr>
        <w:trPr>
          <w:trHeight w:val="148"/>
        </w:trPr>
        <w:tc>
          <w:tcPr>
            <w:tcW w:w="232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INCB00928</w:t>
            </w:r>
          </w:p>
        </w:tc>
        <w:tc>
          <w:tcPr>
            <w:tcW w:w="6520" w:type="dxa"/>
            <w:vAlign w:val="bottom"/>
          </w:tcPr>
          <w:p>
            <w:pPr>
              <w:ind w:left="180"/>
              <w:spacing w:after="0" w:line="149" w:lineRule="exact"/>
              <w:rPr>
                <w:sz w:val="20"/>
                <w:szCs w:val="20"/>
                <w:color w:val="auto"/>
              </w:rPr>
            </w:pPr>
            <w:r>
              <w:rPr>
                <w:rFonts w:ascii="Arial" w:cs="Arial" w:eastAsia="Arial" w:hAnsi="Arial"/>
                <w:sz w:val="17"/>
                <w:szCs w:val="17"/>
                <w:color w:val="auto"/>
              </w:rPr>
              <w:t>Myelofibrosis: Phase II</w:t>
            </w:r>
          </w:p>
        </w:tc>
      </w:tr>
      <w:tr>
        <w:trPr>
          <w:trHeight w:val="234"/>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(JAK1/JAK2 + ALK2)</w:t>
            </w:r>
          </w:p>
        </w:tc>
        <w:tc>
          <w:tcPr>
            <w:tcW w:w="6520" w:type="dxa"/>
            <w:vAlign w:val="bottom"/>
          </w:tcPr>
          <w:p>
            <w:pPr>
              <w:spacing w:after="0"/>
              <w:rPr>
                <w:sz w:val="20"/>
                <w:szCs w:val="20"/>
                <w:color w:val="auto"/>
              </w:rPr>
            </w:pPr>
          </w:p>
        </w:tc>
      </w:tr>
      <w:tr>
        <w:trPr>
          <w:trHeight w:val="130"/>
        </w:trPr>
        <w:tc>
          <w:tcPr>
            <w:tcW w:w="2320" w:type="dxa"/>
            <w:vAlign w:val="bottom"/>
          </w:tcPr>
          <w:p>
            <w:pPr>
              <w:spacing w:after="0"/>
              <w:rPr>
                <w:sz w:val="11"/>
                <w:szCs w:val="11"/>
                <w:color w:val="auto"/>
              </w:rPr>
            </w:pPr>
          </w:p>
        </w:tc>
        <w:tc>
          <w:tcPr>
            <w:tcW w:w="6520" w:type="dxa"/>
            <w:vAlign w:val="bottom"/>
          </w:tcPr>
          <w:p>
            <w:pPr>
              <w:spacing w:after="0"/>
              <w:rPr>
                <w:sz w:val="11"/>
                <w:szCs w:val="11"/>
                <w:color w:val="auto"/>
              </w:rPr>
            </w:pPr>
          </w:p>
        </w:tc>
      </w:tr>
      <w:tr>
        <w:trPr>
          <w:trHeight w:val="184"/>
        </w:trPr>
        <w:tc>
          <w:tcPr>
            <w:tcW w:w="2320" w:type="dxa"/>
            <w:vAlign w:val="bottom"/>
            <w:shd w:val="clear" w:color="auto" w:fill="CCEEFF"/>
          </w:tcPr>
          <w:p>
            <w:pPr>
              <w:ind w:left="100"/>
              <w:spacing w:after="0" w:line="185" w:lineRule="exact"/>
              <w:rPr>
                <w:sz w:val="20"/>
                <w:szCs w:val="20"/>
                <w:color w:val="auto"/>
              </w:rPr>
            </w:pPr>
            <w:r>
              <w:rPr>
                <w:rFonts w:ascii="Arial" w:cs="Arial" w:eastAsia="Arial" w:hAnsi="Arial"/>
                <w:sz w:val="15"/>
                <w:szCs w:val="15"/>
                <w:b w:val="1"/>
                <w:bCs w:val="1"/>
                <w:color w:val="auto"/>
              </w:rPr>
              <w:t>ruxolitinib + CK0804</w:t>
            </w:r>
            <w:r>
              <w:rPr>
                <w:rFonts w:ascii="Arial" w:cs="Arial" w:eastAsia="Arial" w:hAnsi="Arial"/>
                <w:sz w:val="21"/>
                <w:szCs w:val="21"/>
                <w:b w:val="1"/>
                <w:bCs w:val="1"/>
                <w:color w:val="auto"/>
                <w:vertAlign w:val="superscript"/>
              </w:rPr>
              <w:t>1</w:t>
            </w:r>
          </w:p>
        </w:tc>
        <w:tc>
          <w:tcPr>
            <w:tcW w:w="6520" w:type="dxa"/>
            <w:vAlign w:val="bottom"/>
            <w:shd w:val="clear" w:color="auto" w:fill="CCEEFF"/>
          </w:tcPr>
          <w:p>
            <w:pPr>
              <w:ind w:left="180"/>
              <w:spacing w:after="0" w:line="184" w:lineRule="exact"/>
              <w:rPr>
                <w:sz w:val="20"/>
                <w:szCs w:val="20"/>
                <w:color w:val="auto"/>
              </w:rPr>
            </w:pPr>
            <w:r>
              <w:rPr>
                <w:rFonts w:ascii="Arial" w:cs="Arial" w:eastAsia="Arial" w:hAnsi="Arial"/>
                <w:sz w:val="18"/>
                <w:szCs w:val="18"/>
                <w:color w:val="auto"/>
              </w:rPr>
              <w:t>Myelofibrosis: PoC (LIMBER-TREG108)</w:t>
            </w:r>
          </w:p>
        </w:tc>
      </w:tr>
      <w:tr>
        <w:trPr>
          <w:trHeight w:val="234"/>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CB-Tregs)</w:t>
            </w:r>
          </w:p>
        </w:tc>
        <w:tc>
          <w:tcPr>
            <w:tcW w:w="6520" w:type="dxa"/>
            <w:vAlign w:val="bottom"/>
            <w:shd w:val="clear" w:color="auto" w:fill="CCEEFF"/>
          </w:tcPr>
          <w:p>
            <w:pPr>
              <w:spacing w:after="0"/>
              <w:rPr>
                <w:sz w:val="20"/>
                <w:szCs w:val="20"/>
                <w:color w:val="auto"/>
              </w:rPr>
            </w:pPr>
          </w:p>
        </w:tc>
      </w:tr>
      <w:tr>
        <w:trPr>
          <w:trHeight w:val="94"/>
        </w:trPr>
        <w:tc>
          <w:tcPr>
            <w:tcW w:w="2320" w:type="dxa"/>
            <w:vAlign w:val="bottom"/>
            <w:shd w:val="clear" w:color="auto" w:fill="CCEEFF"/>
          </w:tcPr>
          <w:p>
            <w:pPr>
              <w:spacing w:after="0"/>
              <w:rPr>
                <w:sz w:val="8"/>
                <w:szCs w:val="8"/>
                <w:color w:val="auto"/>
              </w:rPr>
            </w:pPr>
          </w:p>
        </w:tc>
        <w:tc>
          <w:tcPr>
            <w:tcW w:w="6520" w:type="dxa"/>
            <w:vAlign w:val="bottom"/>
            <w:shd w:val="clear" w:color="auto" w:fill="CCEEFF"/>
          </w:tcPr>
          <w:p>
            <w:pPr>
              <w:spacing w:after="0"/>
              <w:rPr>
                <w:sz w:val="8"/>
                <w:szCs w:val="8"/>
                <w:color w:val="auto"/>
              </w:rPr>
            </w:pPr>
          </w:p>
        </w:tc>
      </w:tr>
      <w:tr>
        <w:trPr>
          <w:trHeight w:val="353"/>
        </w:trPr>
        <w:tc>
          <w:tcPr>
            <w:tcW w:w="2320" w:type="dxa"/>
            <w:vAlign w:val="bottom"/>
          </w:tcPr>
          <w:p>
            <w:pPr>
              <w:ind w:left="100"/>
              <w:spacing w:after="0"/>
              <w:rPr>
                <w:sz w:val="20"/>
                <w:szCs w:val="20"/>
                <w:color w:val="auto"/>
              </w:rPr>
            </w:pPr>
            <w:r>
              <w:rPr>
                <w:rFonts w:ascii="Arial" w:cs="Arial" w:eastAsia="Arial" w:hAnsi="Arial"/>
                <w:sz w:val="18"/>
                <w:szCs w:val="18"/>
                <w:b w:val="1"/>
                <w:bCs w:val="1"/>
                <w:color w:val="auto"/>
              </w:rPr>
              <w:t>axatilimab (anti-CSF-1R)</w:t>
            </w:r>
            <w:r>
              <w:rPr>
                <w:rFonts w:ascii="Arial" w:cs="Arial" w:eastAsia="Arial" w:hAnsi="Arial"/>
                <w:sz w:val="26"/>
                <w:szCs w:val="26"/>
                <w:color w:val="auto"/>
                <w:vertAlign w:val="superscript"/>
              </w:rPr>
              <w:t>2</w:t>
            </w:r>
          </w:p>
        </w:tc>
        <w:tc>
          <w:tcPr>
            <w:tcW w:w="6520" w:type="dxa"/>
            <w:vAlign w:val="bottom"/>
          </w:tcPr>
          <w:p>
            <w:pPr>
              <w:ind w:left="180"/>
              <w:spacing w:after="0"/>
              <w:rPr>
                <w:sz w:val="20"/>
                <w:szCs w:val="20"/>
                <w:color w:val="auto"/>
              </w:rPr>
            </w:pPr>
            <w:r>
              <w:rPr>
                <w:rFonts w:ascii="Arial" w:cs="Arial" w:eastAsia="Arial" w:hAnsi="Arial"/>
                <w:sz w:val="18"/>
                <w:szCs w:val="18"/>
                <w:color w:val="auto"/>
              </w:rPr>
              <w:t>Chronic GVHD: Pivotal Phase II (third-line plus therapy) (AGAVE-201)</w:t>
            </w:r>
          </w:p>
        </w:tc>
      </w:tr>
      <w:tr>
        <w:trPr>
          <w:trHeight w:val="52"/>
        </w:trPr>
        <w:tc>
          <w:tcPr>
            <w:tcW w:w="232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188"/>
        </w:trPr>
        <w:tc>
          <w:tcPr>
            <w:tcW w:w="232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b w:val="1"/>
                <w:bCs w:val="1"/>
                <w:color w:val="auto"/>
              </w:rPr>
              <w:t>tafasitamab (CD19)</w:t>
            </w:r>
            <w:r>
              <w:rPr>
                <w:rFonts w:ascii="Arial" w:cs="Arial" w:eastAsia="Arial" w:hAnsi="Arial"/>
                <w:sz w:val="21"/>
                <w:szCs w:val="21"/>
                <w:b w:val="1"/>
                <w:bCs w:val="1"/>
                <w:color w:val="auto"/>
                <w:vertAlign w:val="superscript"/>
              </w:rPr>
              <w:t>3</w:t>
            </w:r>
          </w:p>
        </w:tc>
        <w:tc>
          <w:tcPr>
            <w:tcW w:w="65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r/r DLBCL: Phase II (L-MIND); Phase III (B-MIND)</w:t>
            </w:r>
          </w:p>
        </w:tc>
      </w:tr>
      <w:tr>
        <w:trPr>
          <w:trHeight w:val="176"/>
        </w:trPr>
        <w:tc>
          <w:tcPr>
            <w:tcW w:w="2320" w:type="dxa"/>
            <w:vAlign w:val="bottom"/>
            <w:shd w:val="clear" w:color="auto" w:fill="CCEEFF"/>
          </w:tcPr>
          <w:p>
            <w:pPr>
              <w:spacing w:after="0"/>
              <w:rPr>
                <w:sz w:val="15"/>
                <w:szCs w:val="15"/>
                <w:color w:val="auto"/>
              </w:rPr>
            </w:pPr>
          </w:p>
        </w:tc>
        <w:tc>
          <w:tcPr>
            <w:tcW w:w="6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1L DLBCL: Phase III (frontMIND)</w:t>
            </w:r>
          </w:p>
        </w:tc>
      </w:tr>
      <w:tr>
        <w:trPr>
          <w:trHeight w:val="175"/>
        </w:trPr>
        <w:tc>
          <w:tcPr>
            <w:tcW w:w="2320" w:type="dxa"/>
            <w:vAlign w:val="bottom"/>
            <w:shd w:val="clear" w:color="auto" w:fill="CCEEFF"/>
          </w:tcPr>
          <w:p>
            <w:pPr>
              <w:spacing w:after="0"/>
              <w:rPr>
                <w:sz w:val="15"/>
                <w:szCs w:val="15"/>
                <w:color w:val="auto"/>
              </w:rPr>
            </w:pPr>
          </w:p>
        </w:tc>
        <w:tc>
          <w:tcPr>
            <w:tcW w:w="6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r/r follicular &amp; marginal zone lymphomas: Phase III (inMIND)</w:t>
            </w:r>
          </w:p>
        </w:tc>
      </w:tr>
      <w:tr>
        <w:trPr>
          <w:trHeight w:val="178"/>
        </w:trPr>
        <w:tc>
          <w:tcPr>
            <w:tcW w:w="2320" w:type="dxa"/>
            <w:vAlign w:val="bottom"/>
            <w:shd w:val="clear" w:color="auto" w:fill="CCEEFF"/>
          </w:tcPr>
          <w:p>
            <w:pPr>
              <w:spacing w:after="0"/>
              <w:rPr>
                <w:sz w:val="15"/>
                <w:szCs w:val="15"/>
                <w:color w:val="auto"/>
              </w:rPr>
            </w:pPr>
          </w:p>
        </w:tc>
        <w:tc>
          <w:tcPr>
            <w:tcW w:w="6520" w:type="dxa"/>
            <w:vAlign w:val="bottom"/>
            <w:shd w:val="clear" w:color="auto" w:fill="CCEEFF"/>
          </w:tcPr>
          <w:p>
            <w:pPr>
              <w:ind w:left="180"/>
              <w:spacing w:after="0" w:line="178" w:lineRule="exact"/>
              <w:rPr>
                <w:sz w:val="20"/>
                <w:szCs w:val="20"/>
                <w:color w:val="auto"/>
              </w:rPr>
            </w:pPr>
            <w:r>
              <w:rPr>
                <w:rFonts w:ascii="Arial" w:cs="Arial" w:eastAsia="Arial" w:hAnsi="Arial"/>
                <w:sz w:val="18"/>
                <w:szCs w:val="18"/>
                <w:color w:val="auto"/>
              </w:rPr>
              <w:t>r/r B-cell malignancies: PoC with parsaclisib (PI3Kδ) (topMIND)</w:t>
            </w:r>
          </w:p>
        </w:tc>
      </w:tr>
      <w:tr>
        <w:trPr>
          <w:trHeight w:val="353"/>
        </w:trPr>
        <w:tc>
          <w:tcPr>
            <w:tcW w:w="2320" w:type="dxa"/>
            <w:vAlign w:val="bottom"/>
            <w:shd w:val="clear" w:color="auto" w:fill="CCEEFF"/>
          </w:tcPr>
          <w:p>
            <w:pPr>
              <w:spacing w:after="0"/>
              <w:rPr>
                <w:sz w:val="24"/>
                <w:szCs w:val="24"/>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r/r B-cell malignancies: PoC with lenalidomide and plamotamab</w:t>
            </w:r>
            <w:r>
              <w:rPr>
                <w:rFonts w:ascii="Arial" w:cs="Arial" w:eastAsia="Arial" w:hAnsi="Arial"/>
                <w:sz w:val="26"/>
                <w:szCs w:val="26"/>
                <w:color w:val="auto"/>
                <w:vertAlign w:val="superscript"/>
              </w:rPr>
              <w:t>4</w:t>
            </w:r>
          </w:p>
        </w:tc>
      </w:tr>
      <w:tr>
        <w:trPr>
          <w:trHeight w:val="131"/>
        </w:trPr>
        <w:tc>
          <w:tcPr>
            <w:tcW w:w="2320" w:type="dxa"/>
            <w:vAlign w:val="bottom"/>
            <w:shd w:val="clear" w:color="auto" w:fill="CCEEFF"/>
          </w:tcPr>
          <w:p>
            <w:pPr>
              <w:spacing w:after="0"/>
              <w:rPr>
                <w:sz w:val="11"/>
                <w:szCs w:val="11"/>
                <w:color w:val="auto"/>
              </w:rPr>
            </w:pPr>
          </w:p>
        </w:tc>
        <w:tc>
          <w:tcPr>
            <w:tcW w:w="6520" w:type="dxa"/>
            <w:vAlign w:val="bottom"/>
            <w:shd w:val="clear" w:color="auto" w:fill="CCEEFF"/>
          </w:tcPr>
          <w:p>
            <w:pPr>
              <w:spacing w:after="0"/>
              <w:rPr>
                <w:sz w:val="11"/>
                <w:szCs w:val="11"/>
                <w:color w:val="auto"/>
              </w:rPr>
            </w:pPr>
          </w:p>
        </w:tc>
      </w:tr>
      <w:tr>
        <w:trPr>
          <w:trHeight w:val="188"/>
        </w:trPr>
        <w:tc>
          <w:tcPr>
            <w:tcW w:w="232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pemigatinib (FGFR1/2/3)</w:t>
            </w:r>
          </w:p>
        </w:tc>
        <w:tc>
          <w:tcPr>
            <w:tcW w:w="6520" w:type="dxa"/>
            <w:vAlign w:val="bottom"/>
          </w:tcPr>
          <w:p>
            <w:pPr>
              <w:ind w:left="180"/>
              <w:spacing w:after="0" w:line="189" w:lineRule="exact"/>
              <w:rPr>
                <w:sz w:val="20"/>
                <w:szCs w:val="20"/>
                <w:color w:val="auto"/>
              </w:rPr>
            </w:pPr>
            <w:r>
              <w:rPr>
                <w:rFonts w:ascii="Arial" w:cs="Arial" w:eastAsia="Arial" w:hAnsi="Arial"/>
                <w:sz w:val="18"/>
                <w:szCs w:val="18"/>
                <w:color w:val="auto"/>
              </w:rPr>
              <w:t>CCA: Phase III (FIGHT-302)</w:t>
            </w:r>
          </w:p>
        </w:tc>
      </w:tr>
      <w:tr>
        <w:trPr>
          <w:trHeight w:val="203"/>
        </w:trPr>
        <w:tc>
          <w:tcPr>
            <w:tcW w:w="2320" w:type="dxa"/>
            <w:vAlign w:val="bottom"/>
          </w:tcPr>
          <w:p>
            <w:pPr>
              <w:spacing w:after="0"/>
              <w:rPr>
                <w:sz w:val="17"/>
                <w:szCs w:val="17"/>
                <w:color w:val="auto"/>
              </w:rPr>
            </w:pPr>
          </w:p>
        </w:tc>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Myeloid/lymphoid neoplasms (MLN): Phase II (FIGHT-203)</w:t>
            </w:r>
          </w:p>
        </w:tc>
      </w:tr>
      <w:tr>
        <w:trPr>
          <w:trHeight w:val="176"/>
        </w:trPr>
        <w:tc>
          <w:tcPr>
            <w:tcW w:w="2320" w:type="dxa"/>
            <w:vAlign w:val="bottom"/>
          </w:tcPr>
          <w:p>
            <w:pPr>
              <w:spacing w:after="0"/>
              <w:rPr>
                <w:sz w:val="15"/>
                <w:szCs w:val="15"/>
                <w:color w:val="auto"/>
              </w:rPr>
            </w:pPr>
          </w:p>
        </w:tc>
        <w:tc>
          <w:tcPr>
            <w:tcW w:w="6520" w:type="dxa"/>
            <w:vAlign w:val="bottom"/>
          </w:tcPr>
          <w:p>
            <w:pPr>
              <w:ind w:left="180"/>
              <w:spacing w:after="0" w:line="176" w:lineRule="exact"/>
              <w:rPr>
                <w:sz w:val="20"/>
                <w:szCs w:val="20"/>
                <w:color w:val="auto"/>
              </w:rPr>
            </w:pPr>
            <w:r>
              <w:rPr>
                <w:rFonts w:ascii="Arial" w:cs="Arial" w:eastAsia="Arial" w:hAnsi="Arial"/>
                <w:sz w:val="18"/>
                <w:szCs w:val="18"/>
                <w:color w:val="auto"/>
              </w:rPr>
              <w:t>Glioblastoma: Phase II (FIGHT-209)</w:t>
            </w:r>
          </w:p>
        </w:tc>
      </w:tr>
      <w:tr>
        <w:trPr>
          <w:trHeight w:val="203"/>
        </w:trPr>
        <w:tc>
          <w:tcPr>
            <w:tcW w:w="2320" w:type="dxa"/>
            <w:vAlign w:val="bottom"/>
          </w:tcPr>
          <w:p>
            <w:pPr>
              <w:spacing w:after="0"/>
              <w:rPr>
                <w:sz w:val="17"/>
                <w:szCs w:val="17"/>
                <w:color w:val="auto"/>
              </w:rPr>
            </w:pPr>
          </w:p>
        </w:tc>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NSCLC: Phase II (FIGHT-210)</w:t>
            </w:r>
          </w:p>
        </w:tc>
      </w:tr>
      <w:tr>
        <w:trPr>
          <w:trHeight w:val="234"/>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parsaclisib (PI3Kδ)</w:t>
            </w: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Warm autoimmune hemolytic anemia: Phase III (PATHWAY)</w:t>
            </w:r>
          </w:p>
        </w:tc>
      </w:tr>
      <w:tr>
        <w:trPr>
          <w:trHeight w:val="279"/>
        </w:trPr>
        <w:tc>
          <w:tcPr>
            <w:tcW w:w="232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r>
      <w:tr>
        <w:trPr>
          <w:trHeight w:val="188"/>
        </w:trPr>
        <w:tc>
          <w:tcPr>
            <w:tcW w:w="2320" w:type="dxa"/>
            <w:vAlign w:val="bottom"/>
          </w:tcPr>
          <w:p>
            <w:pPr>
              <w:ind w:left="100"/>
              <w:spacing w:after="0" w:line="189" w:lineRule="exact"/>
              <w:rPr>
                <w:sz w:val="20"/>
                <w:szCs w:val="20"/>
                <w:color w:val="auto"/>
              </w:rPr>
            </w:pPr>
            <w:r>
              <w:rPr>
                <w:rFonts w:ascii="Arial" w:cs="Arial" w:eastAsia="Arial" w:hAnsi="Arial"/>
                <w:sz w:val="15"/>
                <w:szCs w:val="15"/>
                <w:b w:val="1"/>
                <w:bCs w:val="1"/>
                <w:color w:val="auto"/>
              </w:rPr>
              <w:t>retifanlimab (PD-1)</w:t>
            </w:r>
            <w:r>
              <w:rPr>
                <w:rFonts w:ascii="Arial" w:cs="Arial" w:eastAsia="Arial" w:hAnsi="Arial"/>
                <w:sz w:val="21"/>
                <w:szCs w:val="21"/>
                <w:b w:val="1"/>
                <w:bCs w:val="1"/>
                <w:color w:val="auto"/>
                <w:vertAlign w:val="superscript"/>
              </w:rPr>
              <w:t>5</w:t>
            </w:r>
          </w:p>
        </w:tc>
        <w:tc>
          <w:tcPr>
            <w:tcW w:w="6520" w:type="dxa"/>
            <w:vAlign w:val="bottom"/>
          </w:tcPr>
          <w:p>
            <w:pPr>
              <w:ind w:left="180"/>
              <w:spacing w:after="0" w:line="189" w:lineRule="exact"/>
              <w:rPr>
                <w:sz w:val="20"/>
                <w:szCs w:val="20"/>
                <w:color w:val="auto"/>
              </w:rPr>
            </w:pPr>
            <w:r>
              <w:rPr>
                <w:rFonts w:ascii="Arial" w:cs="Arial" w:eastAsia="Arial" w:hAnsi="Arial"/>
                <w:sz w:val="18"/>
                <w:szCs w:val="18"/>
                <w:color w:val="auto"/>
              </w:rPr>
              <w:t>SCAC: Phase III (PODIUM-303)</w:t>
            </w:r>
          </w:p>
        </w:tc>
      </w:tr>
      <w:tr>
        <w:trPr>
          <w:trHeight w:val="203"/>
        </w:trPr>
        <w:tc>
          <w:tcPr>
            <w:tcW w:w="2320" w:type="dxa"/>
            <w:vAlign w:val="bottom"/>
          </w:tcPr>
          <w:p>
            <w:pPr>
              <w:spacing w:after="0"/>
              <w:rPr>
                <w:sz w:val="17"/>
                <w:szCs w:val="17"/>
                <w:color w:val="auto"/>
              </w:rPr>
            </w:pPr>
          </w:p>
        </w:tc>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MSI-high endometrial cancer: Phase II (POD1UM-101, POD1UM-204)</w:t>
            </w:r>
          </w:p>
        </w:tc>
      </w:tr>
      <w:tr>
        <w:trPr>
          <w:trHeight w:val="216"/>
        </w:trPr>
        <w:tc>
          <w:tcPr>
            <w:tcW w:w="23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Merkel cell carcinoma: Phase II (POD1UM-201)</w:t>
            </w:r>
          </w:p>
        </w:tc>
      </w:tr>
      <w:tr>
        <w:trPr>
          <w:trHeight w:val="230"/>
        </w:trPr>
        <w:tc>
          <w:tcPr>
            <w:tcW w:w="232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NSCLC: Phase III (POD1UM-304)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56064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196" w:lineRule="exact"/>
        <w:rPr>
          <w:sz w:val="20"/>
          <w:szCs w:val="20"/>
          <w:color w:val="auto"/>
        </w:rPr>
      </w:pPr>
    </w:p>
    <w:p>
      <w:pPr>
        <w:ind w:left="200" w:hanging="156"/>
        <w:spacing w:after="0"/>
        <w:tabs>
          <w:tab w:leader="none" w:pos="20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Development collaboration with Cellenkos, Inc.</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axatilimab development in collaboration with Syndax.</w:t>
      </w:r>
    </w:p>
    <w:p>
      <w:pPr>
        <w:spacing w:after="0" w:line="2" w:lineRule="exact"/>
        <w:rPr>
          <w:rFonts w:ascii="Arial" w:cs="Arial" w:eastAsia="Arial" w:hAnsi="Arial"/>
          <w:sz w:val="24"/>
          <w:szCs w:val="24"/>
          <w:color w:val="auto"/>
          <w:vertAlign w:val="superscript"/>
        </w:rPr>
      </w:pPr>
    </w:p>
    <w:p>
      <w:pPr>
        <w:ind w:left="180" w:hanging="136"/>
        <w:spacing w:after="0" w:line="186" w:lineRule="auto"/>
        <w:tabs>
          <w:tab w:leader="none" w:pos="18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tafasitamab development in collaboration with MorphoSys.</w:t>
      </w:r>
    </w:p>
    <w:p>
      <w:pPr>
        <w:spacing w:after="0" w:line="2" w:lineRule="exact"/>
        <w:rPr>
          <w:rFonts w:ascii="Arial" w:cs="Arial" w:eastAsia="Arial" w:hAnsi="Arial"/>
          <w:sz w:val="24"/>
          <w:szCs w:val="24"/>
          <w:color w:val="auto"/>
          <w:vertAlign w:val="superscript"/>
        </w:rPr>
      </w:pPr>
    </w:p>
    <w:p>
      <w:pPr>
        <w:ind w:left="40" w:right="59" w:firstLine="4"/>
        <w:spacing w:after="0" w:line="208" w:lineRule="auto"/>
        <w:tabs>
          <w:tab w:leader="none" w:pos="192"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Clinical collaboration with MorphoSys and Xencor, Inc. to investigate the combination of tafasitamab plus lenalidomide in combination with Xencor’s CD20xCD3 XmAb bispecific antibody, plamotamab.</w:t>
      </w:r>
    </w:p>
    <w:p>
      <w:pPr>
        <w:spacing w:after="0" w:line="1" w:lineRule="exact"/>
        <w:rPr>
          <w:rFonts w:ascii="Arial" w:cs="Arial" w:eastAsia="Arial" w:hAnsi="Arial"/>
          <w:sz w:val="26"/>
          <w:szCs w:val="26"/>
          <w:color w:val="auto"/>
          <w:vertAlign w:val="superscript"/>
        </w:rPr>
      </w:pPr>
    </w:p>
    <w:p>
      <w:pPr>
        <w:ind w:left="200" w:hanging="156"/>
        <w:spacing w:after="0" w:line="180" w:lineRule="auto"/>
        <w:tabs>
          <w:tab w:leader="none" w:pos="200" w:val="left"/>
        </w:tabs>
        <w:numPr>
          <w:ilvl w:val="0"/>
          <w:numId w:val="10"/>
        </w:numPr>
        <w:rPr>
          <w:rFonts w:ascii="Arial" w:cs="Arial" w:eastAsia="Arial" w:hAnsi="Arial"/>
          <w:sz w:val="25"/>
          <w:szCs w:val="25"/>
          <w:color w:val="auto"/>
          <w:vertAlign w:val="superscript"/>
        </w:rPr>
      </w:pPr>
      <w:r>
        <w:rPr>
          <w:rFonts w:ascii="Arial" w:cs="Arial" w:eastAsia="Arial" w:hAnsi="Arial"/>
          <w:sz w:val="17"/>
          <w:szCs w:val="17"/>
          <w:color w:val="auto"/>
        </w:rPr>
        <w:t>retifanlimab licensed from MacroGenics.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Oral PD-L1</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November 2021, we highlighted Phase I clinical safety and efficacy data for our oral PD-L1 program which included three compounds, INCB86550, INCB99280 and INCB99318. Tumor shrinkage was observed for all three oral PD-L1 inhibitors. With regard to safety, both INCB99280 and INCB99318 did not show peripheral neuropathy seen with INCB86550. In May 2022, the decision was made to prioritize the development of INCB99280 and INCB99318 based on positive therapeutic ratios.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INCB123667 (CDK2)</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 In July 2022, we initiated a Phase I dose-escalation and dose-expansion study evaluating INCB123667 in adults with selected advanced or metastatic solid tumors.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INCA32459 (LAG-3xPD-1)</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collaboration with Merus we have developed INCA32459, a novel LAG3xPD-1 bispecific antibody that is planned to enter clinical studies later this year.</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also have a number of other earlier-stage clinical programs in hematology and oncology, as detailed in the table below. We intend to describe these programs more fully if we obtain clinical proof-of-concept and establish that a program warrants further development in a specific indication or group of indications.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2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Modality</w:t>
            </w:r>
          </w:p>
        </w:tc>
        <w:tc>
          <w:tcPr>
            <w:tcW w:w="668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Candidates</w:t>
            </w:r>
          </w:p>
        </w:tc>
      </w:tr>
      <w:tr>
        <w:trPr>
          <w:trHeight w:val="49"/>
        </w:trPr>
        <w:tc>
          <w:tcPr>
            <w:tcW w:w="224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95"/>
        </w:trPr>
        <w:tc>
          <w:tcPr>
            <w:tcW w:w="224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b w:val="1"/>
                <w:bCs w:val="1"/>
                <w:color w:val="auto"/>
              </w:rPr>
              <w:t>Small molecules</w:t>
            </w:r>
          </w:p>
        </w:tc>
        <w:tc>
          <w:tcPr>
            <w:tcW w:w="668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w w:val="98"/>
              </w:rPr>
              <w:t>INCB81776 (AXL/MER), INCB99280 (PD-L1), INCB99318 (PD-L1), INCB106385</w:t>
            </w:r>
          </w:p>
        </w:tc>
      </w:tr>
      <w:tr>
        <w:trPr>
          <w:trHeight w:val="353"/>
        </w:trPr>
        <w:tc>
          <w:tcPr>
            <w:tcW w:w="2240" w:type="dxa"/>
            <w:vAlign w:val="bottom"/>
            <w:shd w:val="clear" w:color="auto" w:fill="CCEEFF"/>
          </w:tcPr>
          <w:p>
            <w:pPr>
              <w:spacing w:after="0"/>
              <w:rPr>
                <w:sz w:val="24"/>
                <w:szCs w:val="24"/>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(A2A/A</w:t>
            </w:r>
            <w:r>
              <w:rPr>
                <w:rFonts w:ascii="Arial" w:cs="Arial" w:eastAsia="Arial" w:hAnsi="Arial"/>
                <w:sz w:val="26"/>
                <w:szCs w:val="26"/>
                <w:color w:val="auto"/>
                <w:vertAlign w:val="subscript"/>
              </w:rPr>
              <w:t>2B</w:t>
            </w:r>
            <w:r>
              <w:rPr>
                <w:rFonts w:ascii="Arial" w:cs="Arial" w:eastAsia="Arial" w:hAnsi="Arial"/>
                <w:sz w:val="18"/>
                <w:szCs w:val="18"/>
                <w:color w:val="auto"/>
              </w:rPr>
              <w:t>), INCB123667 (CDK2)</w:t>
            </w:r>
          </w:p>
        </w:tc>
      </w:tr>
      <w:tr>
        <w:trPr>
          <w:trHeight w:val="107"/>
        </w:trPr>
        <w:tc>
          <w:tcPr>
            <w:tcW w:w="2240" w:type="dxa"/>
            <w:vAlign w:val="bottom"/>
            <w:shd w:val="clear" w:color="auto" w:fill="CCEEFF"/>
          </w:tcPr>
          <w:p>
            <w:pPr>
              <w:spacing w:after="0"/>
              <w:rPr>
                <w:sz w:val="9"/>
                <w:szCs w:val="9"/>
                <w:color w:val="auto"/>
              </w:rPr>
            </w:pPr>
          </w:p>
        </w:tc>
        <w:tc>
          <w:tcPr>
            <w:tcW w:w="6680" w:type="dxa"/>
            <w:vAlign w:val="bottom"/>
            <w:shd w:val="clear" w:color="auto" w:fill="CCEEFF"/>
          </w:tcPr>
          <w:p>
            <w:pPr>
              <w:spacing w:after="0"/>
              <w:rPr>
                <w:sz w:val="9"/>
                <w:szCs w:val="9"/>
                <w:color w:val="auto"/>
              </w:rPr>
            </w:pPr>
          </w:p>
        </w:tc>
      </w:tr>
      <w:tr>
        <w:trPr>
          <w:trHeight w:val="202"/>
        </w:trPr>
        <w:tc>
          <w:tcPr>
            <w:tcW w:w="2240" w:type="dxa"/>
            <w:vAlign w:val="bottom"/>
          </w:tcPr>
          <w:p>
            <w:pPr>
              <w:ind w:left="100"/>
              <w:spacing w:after="0" w:line="201" w:lineRule="exact"/>
              <w:rPr>
                <w:sz w:val="20"/>
                <w:szCs w:val="20"/>
                <w:color w:val="auto"/>
              </w:rPr>
            </w:pPr>
            <w:r>
              <w:rPr>
                <w:rFonts w:ascii="Arial" w:cs="Arial" w:eastAsia="Arial" w:hAnsi="Arial"/>
                <w:sz w:val="16"/>
                <w:szCs w:val="16"/>
                <w:b w:val="1"/>
                <w:bCs w:val="1"/>
                <w:color w:val="auto"/>
              </w:rPr>
              <w:t>Monoclonal antibodies</w:t>
            </w:r>
            <w:r>
              <w:rPr>
                <w:rFonts w:ascii="Arial" w:cs="Arial" w:eastAsia="Arial" w:hAnsi="Arial"/>
                <w:sz w:val="23"/>
                <w:szCs w:val="23"/>
                <w:b w:val="1"/>
                <w:bCs w:val="1"/>
                <w:color w:val="auto"/>
                <w:vertAlign w:val="superscript"/>
              </w:rPr>
              <w:t>1</w:t>
            </w:r>
          </w:p>
        </w:tc>
        <w:tc>
          <w:tcPr>
            <w:tcW w:w="6680" w:type="dxa"/>
            <w:vAlign w:val="bottom"/>
          </w:tcPr>
          <w:p>
            <w:pPr>
              <w:ind w:left="320"/>
              <w:spacing w:after="0" w:line="201" w:lineRule="exact"/>
              <w:rPr>
                <w:sz w:val="20"/>
                <w:szCs w:val="20"/>
                <w:color w:val="auto"/>
              </w:rPr>
            </w:pPr>
            <w:r>
              <w:rPr>
                <w:rFonts w:ascii="Arial" w:cs="Arial" w:eastAsia="Arial" w:hAnsi="Arial"/>
                <w:sz w:val="18"/>
                <w:szCs w:val="18"/>
                <w:color w:val="auto"/>
              </w:rPr>
              <w:t>INCAGN1876 (GITR), INCAGN2385 (LAG-3), INCAGN1949 (OX40),</w:t>
            </w:r>
          </w:p>
        </w:tc>
      </w:tr>
      <w:tr>
        <w:trPr>
          <w:trHeight w:val="230"/>
        </w:trPr>
        <w:tc>
          <w:tcPr>
            <w:tcW w:w="224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INCAGN2390 (TIM-3), INCA00186 (CD73)</w:t>
            </w:r>
          </w:p>
        </w:tc>
      </w:tr>
      <w:tr>
        <w:trPr>
          <w:trHeight w:val="216"/>
        </w:trPr>
        <w:tc>
          <w:tcPr>
            <w:tcW w:w="224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371"/>
        </w:trPr>
        <w:tc>
          <w:tcPr>
            <w:tcW w:w="2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Bispecific antibodies</w:t>
            </w: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INCA32459 (LAG-3xPD-1)</w:t>
            </w:r>
            <w:r>
              <w:rPr>
                <w:rFonts w:ascii="Arial" w:cs="Arial" w:eastAsia="Arial" w:hAnsi="Arial"/>
                <w:sz w:val="26"/>
                <w:szCs w:val="26"/>
                <w:color w:val="auto"/>
                <w:vertAlign w:val="superscript"/>
              </w:rPr>
              <w:t>2</w:t>
            </w:r>
          </w:p>
        </w:tc>
      </w:tr>
      <w:tr>
        <w:trPr>
          <w:trHeight w:val="20"/>
        </w:trPr>
        <w:tc>
          <w:tcPr>
            <w:tcW w:w="224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r>
    </w:tbl>
    <w:p>
      <w:pPr>
        <w:spacing w:after="0" w:line="14" w:lineRule="exact"/>
        <w:rPr>
          <w:sz w:val="20"/>
          <w:szCs w:val="20"/>
          <w:color w:val="auto"/>
        </w:rPr>
      </w:pPr>
    </w:p>
    <w:p>
      <w:pPr>
        <w:ind w:left="200" w:hanging="156"/>
        <w:spacing w:after="0"/>
        <w:tabs>
          <w:tab w:leader="none" w:pos="20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Discovery collaboration with Agenus Inc.</w:t>
      </w:r>
    </w:p>
    <w:p>
      <w:pPr>
        <w:spacing w:after="0" w:line="109"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Development collaboration with Merus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Inflammation and AutoImmunity (IAI)</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Incyte Dermatology launched its first approved product, OPZELURA (ruxolitinib) cream, in October 2021, following FDA approval in September 2021.</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Incyte’s IAI efforts also include numerous clinical development programs.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OPZELURA (ruxolitinib) cream</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In September 2021, we announced that the FDA approved OPZELURA (ruxolitinib) cream, a</w:t>
      </w:r>
      <w:r>
        <w:rPr>
          <w:rFonts w:ascii="Arial" w:cs="Arial" w:eastAsia="Arial" w:hAnsi="Arial"/>
          <w:sz w:val="17"/>
          <w:szCs w:val="17"/>
          <w:i w:val="1"/>
          <w:iCs w:val="1"/>
          <w:color w:val="auto"/>
        </w:rPr>
        <w:t xml:space="preserve"> </w:t>
      </w:r>
      <w:r>
        <w:rPr>
          <w:rFonts w:ascii="Arial" w:cs="Arial" w:eastAsia="Arial" w:hAnsi="Arial"/>
          <w:sz w:val="17"/>
          <w:szCs w:val="17"/>
          <w:color w:val="auto"/>
        </w:rPr>
        <w:t>novel cream formulation of Incyte’s selective JAK1/JAK2 inhibitor ruxolitinib, for the topical short-term and non-continuous chronic treatment of mild to moderate atopic dermatitis (AD) in non-immunocompromised patients 12 years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of age and older whose disease is not adequately controlled with topical prescription therapies, or when those therapies are not advisable.</w:t>
      </w:r>
    </w:p>
    <w:p>
      <w:pPr>
        <w:spacing w:after="0" w:line="170" w:lineRule="exact"/>
        <w:rPr>
          <w:sz w:val="20"/>
          <w:szCs w:val="20"/>
          <w:color w:val="auto"/>
        </w:rPr>
      </w:pPr>
    </w:p>
    <w:p>
      <w:pPr>
        <w:jc w:val="both"/>
        <w:ind w:left="40" w:right="59" w:firstLine="693"/>
        <w:spacing w:after="0" w:line="263"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4" w:lineRule="exact"/>
        <w:rPr>
          <w:sz w:val="20"/>
          <w:szCs w:val="20"/>
          <w:color w:val="auto"/>
        </w:rPr>
      </w:pPr>
    </w:p>
    <w:p>
      <w:pPr>
        <w:jc w:val="both"/>
        <w:ind w:left="40" w:right="59" w:firstLine="693"/>
        <w:spacing w:after="0" w:line="287" w:lineRule="auto"/>
        <w:rPr>
          <w:sz w:val="20"/>
          <w:szCs w:val="20"/>
          <w:color w:val="auto"/>
        </w:rPr>
      </w:pPr>
      <w:r>
        <w:rPr>
          <w:rFonts w:ascii="Arial" w:cs="Arial" w:eastAsia="Arial" w:hAnsi="Arial"/>
          <w:sz w:val="16"/>
          <w:szCs w:val="16"/>
          <w:color w:val="auto"/>
        </w:rPr>
        <w:t>The approval of OPZELURA was based on data from two randomized, double-blind, vehicle-controlled Phase III studies (TRuE-AD1 and TRuE-AD 2) 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17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Vitiligo. </w:t>
      </w:r>
      <w:r>
        <w:rPr>
          <w:rFonts w:ascii="Arial" w:cs="Arial" w:eastAsia="Arial" w:hAnsi="Arial"/>
          <w:sz w:val="18"/>
          <w:szCs w:val="18"/>
          <w:color w:val="auto"/>
        </w:rPr>
        <w:t>In July 2022, we announced that the FDA approved OPZELURA for the topical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nonsegmental vitiligo in adult and pediatric patients 12 years of age and older. OPZELURA was approved for continuous use and no limits to duration as a treatment for nonsegmental vitiligo.</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Vitiligo is a chronic autoimmune depigmenting skin disease characterized by patches of the skin losing their pigment. It is estimated that there are at least 1.5 million patients diagnosed with vitiligo in the United States, with the majority of patients (approximately 85%) suffering from nonsegmental vitiligo. OPZELURA is the first and only FDA approved treatment for repigmentation of vitiligo lesions.</w:t>
      </w:r>
    </w:p>
    <w:p>
      <w:pPr>
        <w:spacing w:after="0" w:line="18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 xml:space="preserve">The approval of OPZELURA in vitiligo was based on two randomized, double-blind, vehicle-controlled Phase III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w:t>
      </w:r>
      <w:r>
        <w:rPr>
          <w:rFonts w:ascii="Arial" w:cs="Arial" w:eastAsia="Arial" w:hAnsi="Arial"/>
          <w:sz w:val="17"/>
          <w:szCs w:val="17"/>
          <w:u w:val="single" w:color="auto"/>
          <w:color w:val="auto"/>
        </w:rPr>
        <w:t>&gt;</w:t>
      </w:r>
      <w:r>
        <w:rPr>
          <w:rFonts w:ascii="Arial" w:cs="Arial" w:eastAsia="Arial" w:hAnsi="Arial"/>
          <w:sz w:val="17"/>
          <w:szCs w:val="17"/>
          <w:color w:val="auto"/>
        </w:rPr>
        <w:t>75% improvement from baseline in the facial Vitiligo Area Scoring Index (F-VASI75) at Week 24, the primary endpoint. At Week 52, approximately 50% of patients achieved F-VASI75. The most common (</w:t>
      </w:r>
      <w:r>
        <w:rPr>
          <w:rFonts w:ascii="Arial" w:cs="Arial" w:eastAsia="Arial" w:hAnsi="Arial"/>
          <w:sz w:val="17"/>
          <w:szCs w:val="17"/>
          <w:u w:val="single" w:color="auto"/>
          <w:color w:val="auto"/>
        </w:rPr>
        <w:t>&gt;</w:t>
      </w:r>
      <w:r>
        <w:rPr>
          <w:rFonts w:ascii="Arial" w:cs="Arial" w:eastAsia="Arial" w:hAnsi="Arial"/>
          <w:sz w:val="17"/>
          <w:szCs w:val="17"/>
          <w:color w:val="auto"/>
        </w:rPr>
        <w:t>1%) treatment-emergent adverse reactions in patients treated with OPZELURA were application site acne, application site pruritus, nasopharyngitis, headache, urinary tract infection, application site erythema and pyrexia.</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Ruxolitinib cream is a potent, selective inhibitor of JAK1 and JAK2 that provides the opportunity to directly target diverse pathogenic pathways that underlie certain dermatologic conditions, including atopic dermatitis, vitiligo and chronic hand eczema.</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are currently evaluating ruxolitinib cream in a Phase III trial, TRuE-AD3, in pediatric atopic dermatitis patients ages ≥2 years to &lt; 12 years. Two Phase III trials (TRuE-CHE1 and TRuE-CHE2) evaluating ruxolitinib cream in chronic hand eczema are in preparation.</w:t>
      </w:r>
    </w:p>
    <w:p>
      <w:pPr>
        <w:spacing w:after="0" w:line="18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October 2021, we announced the validation of the MAA for ruxolitinib cream as a potential treatment for adolescents and adults (age ≥12 years) with nonsegmental vitiligo with facial involvement.</w:t>
      </w:r>
    </w:p>
    <w:p>
      <w:pPr>
        <w:spacing w:after="0" w:line="170"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are also developing povorcitinib (formerly INCB54707), which is an oral small molecule selective JAK1 inhibitor. Povorcitinib is undergoing evaluation in patients with hidradenitis suppurativa (HS), a chronic skin condition where lesions develop as a result of inflammation and infection of the sweat glands. In October 2020, initial results from</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the clinical program were presented and a randomized Phase IIb trial of povorcitinib is underway in patients with HS. In March 2021, we initiated a Phase II trial evaluating povorcitinib in patients with vitiligo. A Phase II trial evaluating povorcitinib in patients with prurigo nodularis is ongoing.</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080" w:type="dxa"/>
            <w:vAlign w:val="bottom"/>
            <w:tcBorders>
              <w:top w:val="single" w:sz="8" w:color="auto"/>
            </w:tcBorders>
          </w:tcPr>
          <w:p>
            <w:pPr>
              <w:spacing w:after="0"/>
              <w:rPr>
                <w:sz w:val="21"/>
                <w:szCs w:val="21"/>
                <w:color w:val="auto"/>
              </w:rPr>
            </w:pPr>
          </w:p>
        </w:tc>
        <w:tc>
          <w:tcPr>
            <w:tcW w:w="684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2080" w:type="dxa"/>
            <w:vAlign w:val="bottom"/>
            <w:tcBorders>
              <w:bottom w:val="single" w:sz="8" w:color="auto"/>
            </w:tcBorders>
          </w:tcPr>
          <w:p>
            <w:pPr>
              <w:spacing w:after="0"/>
              <w:rPr>
                <w:sz w:val="4"/>
                <w:szCs w:val="4"/>
                <w:color w:val="auto"/>
              </w:rPr>
            </w:pPr>
          </w:p>
        </w:tc>
        <w:tc>
          <w:tcPr>
            <w:tcW w:w="6840" w:type="dxa"/>
            <w:vAlign w:val="bottom"/>
            <w:tcBorders>
              <w:bottom w:val="single" w:sz="8" w:color="auto"/>
            </w:tcBorders>
          </w:tcPr>
          <w:p>
            <w:pPr>
              <w:spacing w:after="0"/>
              <w:rPr>
                <w:sz w:val="4"/>
                <w:szCs w:val="4"/>
                <w:color w:val="auto"/>
              </w:rPr>
            </w:pPr>
          </w:p>
        </w:tc>
      </w:tr>
      <w:tr>
        <w:trPr>
          <w:trHeight w:val="156"/>
        </w:trPr>
        <w:tc>
          <w:tcPr>
            <w:tcW w:w="2080" w:type="dxa"/>
            <w:vAlign w:val="bottom"/>
            <w:shd w:val="clear" w:color="auto" w:fill="CCEEFF"/>
          </w:tcPr>
          <w:p>
            <w:pPr>
              <w:ind w:left="100"/>
              <w:spacing w:after="0" w:line="156" w:lineRule="exact"/>
              <w:rPr>
                <w:sz w:val="20"/>
                <w:szCs w:val="20"/>
                <w:color w:val="auto"/>
              </w:rPr>
            </w:pPr>
            <w:r>
              <w:rPr>
                <w:rFonts w:ascii="Arial" w:cs="Arial" w:eastAsia="Arial" w:hAnsi="Arial"/>
                <w:sz w:val="13"/>
                <w:szCs w:val="13"/>
                <w:b w:val="1"/>
                <w:bCs w:val="1"/>
                <w:color w:val="auto"/>
              </w:rPr>
              <w:t>ruxolitinib cream</w:t>
            </w:r>
            <w:r>
              <w:rPr>
                <w:rFonts w:ascii="Arial" w:cs="Arial" w:eastAsia="Arial" w:hAnsi="Arial"/>
                <w:sz w:val="18"/>
                <w:szCs w:val="18"/>
                <w:b w:val="1"/>
                <w:bCs w:val="1"/>
                <w:color w:val="auto"/>
                <w:vertAlign w:val="superscript"/>
              </w:rPr>
              <w:t>1</w:t>
            </w:r>
          </w:p>
        </w:tc>
        <w:tc>
          <w:tcPr>
            <w:tcW w:w="684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Atopic dermatitis: Phase III pediatric study (TRuE-AD3)</w:t>
            </w:r>
          </w:p>
        </w:tc>
      </w:tr>
      <w:tr>
        <w:trPr>
          <w:trHeight w:val="216"/>
        </w:trPr>
        <w:tc>
          <w:tcPr>
            <w:tcW w:w="20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Vitiligo: Phase III (TRuE-V1, TRuE-V2); approved by FDA; MAA under review</w:t>
            </w:r>
          </w:p>
        </w:tc>
      </w:tr>
      <w:tr>
        <w:trPr>
          <w:trHeight w:val="203"/>
        </w:trPr>
        <w:tc>
          <w:tcPr>
            <w:tcW w:w="2080" w:type="dxa"/>
            <w:vAlign w:val="bottom"/>
            <w:tcBorders>
              <w:bottom w:val="single" w:sz="8" w:color="auto"/>
            </w:tcBorders>
            <w:shd w:val="clear" w:color="auto" w:fill="CCEEFF"/>
          </w:tcPr>
          <w:p>
            <w:pPr>
              <w:spacing w:after="0"/>
              <w:rPr>
                <w:sz w:val="17"/>
                <w:szCs w:val="17"/>
                <w:color w:val="auto"/>
              </w:rPr>
            </w:pPr>
          </w:p>
        </w:tc>
        <w:tc>
          <w:tcPr>
            <w:tcW w:w="684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Chronic hand eczema: Phase III (TRuE-CHE1 and TRuE-CHE2) in preparation</w:t>
            </w:r>
          </w:p>
        </w:tc>
      </w:tr>
      <w:tr>
        <w:trPr>
          <w:trHeight w:val="142"/>
        </w:trPr>
        <w:tc>
          <w:tcPr>
            <w:tcW w:w="2080" w:type="dxa"/>
            <w:vAlign w:val="bottom"/>
          </w:tcPr>
          <w:p>
            <w:pPr>
              <w:ind w:left="100"/>
              <w:spacing w:after="0" w:line="142" w:lineRule="exact"/>
              <w:rPr>
                <w:sz w:val="20"/>
                <w:szCs w:val="20"/>
                <w:color w:val="auto"/>
              </w:rPr>
            </w:pPr>
            <w:r>
              <w:rPr>
                <w:rFonts w:ascii="Arial" w:cs="Arial" w:eastAsia="Arial" w:hAnsi="Arial"/>
                <w:sz w:val="16"/>
                <w:szCs w:val="16"/>
                <w:b w:val="1"/>
                <w:bCs w:val="1"/>
                <w:color w:val="auto"/>
              </w:rPr>
              <w:t>ruxolitinib cream + NB-</w:t>
            </w:r>
          </w:p>
        </w:tc>
        <w:tc>
          <w:tcPr>
            <w:tcW w:w="6840" w:type="dxa"/>
            <w:vAlign w:val="bottom"/>
          </w:tcPr>
          <w:p>
            <w:pPr>
              <w:ind w:left="140"/>
              <w:spacing w:after="0" w:line="142" w:lineRule="exact"/>
              <w:rPr>
                <w:sz w:val="20"/>
                <w:szCs w:val="20"/>
                <w:color w:val="auto"/>
              </w:rPr>
            </w:pPr>
            <w:r>
              <w:rPr>
                <w:rFonts w:ascii="Arial" w:cs="Arial" w:eastAsia="Arial" w:hAnsi="Arial"/>
                <w:sz w:val="16"/>
                <w:szCs w:val="16"/>
                <w:color w:val="auto"/>
              </w:rPr>
              <w:t>Vitiligo: Phase II</w:t>
            </w:r>
          </w:p>
        </w:tc>
      </w:tr>
      <w:tr>
        <w:trPr>
          <w:trHeight w:val="175"/>
        </w:trPr>
        <w:tc>
          <w:tcPr>
            <w:tcW w:w="2080" w:type="dxa"/>
            <w:vAlign w:val="bottom"/>
          </w:tcPr>
          <w:p>
            <w:pPr>
              <w:ind w:left="100"/>
              <w:spacing w:after="0" w:line="176" w:lineRule="exact"/>
              <w:rPr>
                <w:sz w:val="20"/>
                <w:szCs w:val="20"/>
                <w:color w:val="auto"/>
              </w:rPr>
            </w:pPr>
            <w:r>
              <w:rPr>
                <w:rFonts w:ascii="Arial" w:cs="Arial" w:eastAsia="Arial" w:hAnsi="Arial"/>
                <w:sz w:val="18"/>
                <w:szCs w:val="18"/>
                <w:b w:val="1"/>
                <w:bCs w:val="1"/>
                <w:color w:val="auto"/>
              </w:rPr>
              <w:t>UVB (JAK1/JAK2 +</w:t>
            </w:r>
          </w:p>
        </w:tc>
        <w:tc>
          <w:tcPr>
            <w:tcW w:w="6840" w:type="dxa"/>
            <w:vAlign w:val="bottom"/>
          </w:tcPr>
          <w:p>
            <w:pPr>
              <w:spacing w:after="0"/>
              <w:rPr>
                <w:sz w:val="15"/>
                <w:szCs w:val="15"/>
                <w:color w:val="auto"/>
              </w:rPr>
            </w:pPr>
          </w:p>
        </w:tc>
      </w:tr>
      <w:tr>
        <w:trPr>
          <w:trHeight w:val="234"/>
        </w:trPr>
        <w:tc>
          <w:tcPr>
            <w:tcW w:w="2080" w:type="dxa"/>
            <w:vAlign w:val="bottom"/>
          </w:tcPr>
          <w:p>
            <w:pPr>
              <w:ind w:left="100"/>
              <w:spacing w:after="0"/>
              <w:rPr>
                <w:sz w:val="20"/>
                <w:szCs w:val="20"/>
                <w:color w:val="auto"/>
              </w:rPr>
            </w:pPr>
            <w:r>
              <w:rPr>
                <w:rFonts w:ascii="Arial" w:cs="Arial" w:eastAsia="Arial" w:hAnsi="Arial"/>
                <w:sz w:val="18"/>
                <w:szCs w:val="18"/>
                <w:b w:val="1"/>
                <w:bCs w:val="1"/>
                <w:color w:val="auto"/>
              </w:rPr>
              <w:t>phototherapy)</w:t>
            </w:r>
          </w:p>
        </w:tc>
        <w:tc>
          <w:tcPr>
            <w:tcW w:w="6840" w:type="dxa"/>
            <w:vAlign w:val="bottom"/>
          </w:tcPr>
          <w:p>
            <w:pPr>
              <w:spacing w:after="0"/>
              <w:rPr>
                <w:sz w:val="20"/>
                <w:szCs w:val="20"/>
                <w:color w:val="auto"/>
              </w:rPr>
            </w:pPr>
          </w:p>
        </w:tc>
      </w:tr>
      <w:tr>
        <w:trPr>
          <w:trHeight w:val="22"/>
        </w:trPr>
        <w:tc>
          <w:tcPr>
            <w:tcW w:w="2080" w:type="dxa"/>
            <w:vAlign w:val="bottom"/>
            <w:tcBorders>
              <w:bottom w:val="single" w:sz="8" w:color="auto"/>
            </w:tcBorders>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r>
      <w:tr>
        <w:trPr>
          <w:trHeight w:val="182"/>
        </w:trPr>
        <w:tc>
          <w:tcPr>
            <w:tcW w:w="208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b w:val="1"/>
                <w:bCs w:val="1"/>
                <w:color w:val="auto"/>
              </w:rPr>
              <w:t>povorcitinib (JAK1)</w:t>
            </w:r>
          </w:p>
        </w:tc>
        <w:tc>
          <w:tcPr>
            <w:tcW w:w="684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Hidradenitis suppurativa: Phase II; Phase III in preparation</w:t>
            </w:r>
          </w:p>
        </w:tc>
      </w:tr>
      <w:tr>
        <w:trPr>
          <w:trHeight w:val="203"/>
        </w:trPr>
        <w:tc>
          <w:tcPr>
            <w:tcW w:w="2080" w:type="dxa"/>
            <w:vAlign w:val="bottom"/>
            <w:shd w:val="clear" w:color="auto" w:fill="CCEEFF"/>
          </w:tcPr>
          <w:p>
            <w:pPr>
              <w:spacing w:after="0"/>
              <w:rPr>
                <w:sz w:val="17"/>
                <w:szCs w:val="17"/>
                <w:color w:val="auto"/>
              </w:rPr>
            </w:pPr>
          </w:p>
        </w:tc>
        <w:tc>
          <w:tcPr>
            <w:tcW w:w="68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Vitiligo: Phase II</w:t>
            </w:r>
          </w:p>
        </w:tc>
      </w:tr>
      <w:tr>
        <w:trPr>
          <w:trHeight w:val="230"/>
        </w:trPr>
        <w:tc>
          <w:tcPr>
            <w:tcW w:w="2080" w:type="dxa"/>
            <w:vAlign w:val="bottom"/>
            <w:shd w:val="clear" w:color="auto" w:fill="CCEEFF"/>
          </w:tcPr>
          <w:p>
            <w:pPr>
              <w:spacing w:after="0"/>
              <w:rPr>
                <w:sz w:val="20"/>
                <w:szCs w:val="20"/>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Prurigo nodularis: Phase II</w:t>
            </w:r>
          </w:p>
        </w:tc>
      </w:tr>
      <w:tr>
        <w:trPr>
          <w:trHeight w:val="230"/>
        </w:trPr>
        <w:tc>
          <w:tcPr>
            <w:tcW w:w="2080" w:type="dxa"/>
            <w:vAlign w:val="bottom"/>
            <w:tcBorders>
              <w:bottom w:val="single" w:sz="8" w:color="auto"/>
            </w:tcBorders>
            <w:shd w:val="clear" w:color="auto" w:fill="CCEEFF"/>
          </w:tcPr>
          <w:p>
            <w:pPr>
              <w:spacing w:after="0"/>
              <w:rPr>
                <w:sz w:val="19"/>
                <w:szCs w:val="19"/>
                <w:color w:val="auto"/>
              </w:rPr>
            </w:pPr>
          </w:p>
        </w:tc>
        <w:tc>
          <w:tcPr>
            <w:tcW w:w="6840" w:type="dxa"/>
            <w:vAlign w:val="bottom"/>
            <w:tcBorders>
              <w:bottom w:val="single" w:sz="8" w:color="auto"/>
            </w:tcBorders>
            <w:shd w:val="clear" w:color="auto" w:fill="CCEEFF"/>
          </w:tcPr>
          <w:p>
            <w:pPr>
              <w:spacing w:after="0"/>
              <w:rPr>
                <w:sz w:val="19"/>
                <w:szCs w:val="19"/>
                <w:color w:val="auto"/>
              </w:rPr>
            </w:pPr>
          </w:p>
        </w:tc>
      </w:tr>
    </w:tbl>
    <w:p>
      <w:pPr>
        <w:spacing w:after="0" w:line="94" w:lineRule="exact"/>
        <w:rPr>
          <w:sz w:val="20"/>
          <w:szCs w:val="20"/>
          <w:color w:val="auto"/>
        </w:rPr>
      </w:pPr>
    </w:p>
    <w:p>
      <w:pPr>
        <w:ind w:left="40" w:right="59" w:firstLine="4"/>
        <w:spacing w:after="0" w:line="207" w:lineRule="auto"/>
        <w:tabs>
          <w:tab w:leader="none" w:pos="227"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May 2022, we initiated a Phase II trial evaluating INCB00928 in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18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57" w:lineRule="exact"/>
        <w:rPr>
          <w:sz w:val="20"/>
          <w:szCs w:val="20"/>
          <w:color w:val="auto"/>
        </w:rPr>
      </w:pPr>
    </w:p>
    <w:p>
      <w:pPr>
        <w:ind w:left="140"/>
        <w:spacing w:after="0"/>
        <w:tabs>
          <w:tab w:leader="none" w:pos="2180" w:val="left"/>
        </w:tabs>
        <w:rPr>
          <w:sz w:val="20"/>
          <w:szCs w:val="20"/>
          <w:color w:val="auto"/>
        </w:rPr>
      </w:pPr>
      <w:r>
        <w:rPr>
          <w:rFonts w:ascii="Arial" w:cs="Arial" w:eastAsia="Arial" w:hAnsi="Arial"/>
          <w:sz w:val="18"/>
          <w:szCs w:val="18"/>
          <w:b w:val="1"/>
          <w:bCs w:val="1"/>
          <w:color w:val="auto"/>
        </w:rPr>
        <w:t>INCB00928 (ALK2)</w:t>
      </w:r>
      <w:r>
        <w:rPr>
          <w:sz w:val="20"/>
          <w:szCs w:val="20"/>
          <w:color w:val="auto"/>
        </w:rPr>
        <w:tab/>
      </w:r>
      <w:r>
        <w:rPr>
          <w:rFonts w:ascii="Arial" w:cs="Arial" w:eastAsia="Arial" w:hAnsi="Arial"/>
          <w:sz w:val="16"/>
          <w:szCs w:val="16"/>
          <w:color w:val="auto"/>
        </w:rPr>
        <w:t>Fibrodysplasia ossificans progressiva: Phase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248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4892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Collaborative Partnered Programs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Rheumatoid Arthritis. </w:t>
      </w:r>
      <w:r>
        <w:rPr>
          <w:rFonts w:ascii="Arial" w:cs="Arial" w:eastAsia="Arial" w:hAnsi="Arial"/>
          <w:sz w:val="17"/>
          <w:szCs w:val="17"/>
          <w:color w:val="auto"/>
        </w:rPr>
        <w:t>Rheumatoid arthritis is an autoimmune disease characterized by aberrant or abnormal</w:t>
      </w:r>
      <w:r>
        <w:rPr>
          <w:rFonts w:ascii="Arial" w:cs="Arial" w:eastAsia="Arial" w:hAnsi="Arial"/>
          <w:sz w:val="17"/>
          <w:szCs w:val="17"/>
          <w:i w:val="1"/>
          <w:iCs w:val="1"/>
          <w:color w:val="auto"/>
        </w:rPr>
        <w:t xml:space="preserve"> </w:t>
      </w:r>
      <w:r>
        <w:rPr>
          <w:rFonts w:ascii="Arial" w:cs="Arial" w:eastAsia="Arial" w:hAnsi="Arial"/>
          <w:sz w:val="17"/>
          <w:szCs w:val="17"/>
          <w:color w:val="auto"/>
        </w:rPr>
        <w:t>immune mechanisms that lead to joint inflammation and swelling and, in some patients, the progressive destruction of joints. Rheumatoid arthritis can also affect connective tissue in the skin and organs of the body.</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7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Japanese Ministry of Health, Labour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Lilly has conducted a Phase IIa trial and a Phase III program to evaluate the safety and efficacy</w:t>
      </w:r>
      <w:r>
        <w:rPr>
          <w:rFonts w:ascii="Arial" w:cs="Arial" w:eastAsia="Arial" w:hAnsi="Arial"/>
          <w:sz w:val="17"/>
          <w:szCs w:val="17"/>
          <w:i w:val="1"/>
          <w:iCs w:val="1"/>
          <w:color w:val="auto"/>
        </w:rPr>
        <w:t xml:space="preserve"> </w:t>
      </w:r>
      <w:r>
        <w:rPr>
          <w:rFonts w:ascii="Arial" w:cs="Arial" w:eastAsia="Arial" w:hAnsi="Arial"/>
          <w:sz w:val="17"/>
          <w:szCs w:val="17"/>
          <w:color w:val="auto"/>
        </w:rPr>
        <w:t>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An sNDA for baricitinib has been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17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8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i w:val="1"/>
          <w:iCs w:val="1"/>
          <w:color w:val="auto"/>
        </w:rPr>
        <w:t>Alopecia Areata</w:t>
      </w:r>
      <w:r>
        <w:rPr>
          <w:rFonts w:ascii="Arial" w:cs="Arial" w:eastAsia="Arial" w:hAnsi="Arial"/>
          <w:sz w:val="17"/>
          <w:szCs w:val="17"/>
          <w:color w:val="auto"/>
        </w:rPr>
        <w:t>. Alopecia areata is an autoimmune disorder in which the immune system attacks the hair follicles,</w:t>
      </w:r>
      <w:r>
        <w:rPr>
          <w:rFonts w:ascii="Arial" w:cs="Arial" w:eastAsia="Arial" w:hAnsi="Arial"/>
          <w:sz w:val="17"/>
          <w:szCs w:val="17"/>
          <w:i w:val="1"/>
          <w:iCs w:val="1"/>
          <w:color w:val="auto"/>
        </w:rPr>
        <w:t xml:space="preserve"> </w:t>
      </w:r>
      <w:r>
        <w:rPr>
          <w:rFonts w:ascii="Arial" w:cs="Arial" w:eastAsia="Arial" w:hAnsi="Arial"/>
          <w:sz w:val="17"/>
          <w:szCs w:val="17"/>
          <w:color w:val="auto"/>
        </w:rPr>
        <w:t>causing hair loss in patches. In March 2020, Lilly announced that baricitinib received Breakthrough Therapy designation for the treatment of alopecia areata, based on the positive Phase II 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Systemic Lupus Erythematosus. </w:t>
      </w:r>
      <w:r>
        <w:rPr>
          <w:rFonts w:ascii="Arial" w:cs="Arial" w:eastAsia="Arial" w:hAnsi="Arial"/>
          <w:sz w:val="17"/>
          <w:szCs w:val="17"/>
          <w:color w:val="auto"/>
        </w:rPr>
        <w:t>Systemic lupus erythematosus (SLE) is a chronic disease that causes</w:t>
      </w:r>
      <w:r>
        <w:rPr>
          <w:rFonts w:ascii="Arial" w:cs="Arial" w:eastAsia="Arial" w:hAnsi="Arial"/>
          <w:sz w:val="17"/>
          <w:szCs w:val="17"/>
          <w:i w:val="1"/>
          <w:iCs w:val="1"/>
          <w:color w:val="auto"/>
        </w:rPr>
        <w:t xml:space="preserve"> </w:t>
      </w:r>
      <w:r>
        <w:rPr>
          <w:rFonts w:ascii="Arial" w:cs="Arial" w:eastAsia="Arial" w:hAnsi="Arial"/>
          <w:sz w:val="17"/>
          <w:szCs w:val="17"/>
          <w:color w:val="auto"/>
        </w:rPr>
        <w:t>inflammation. 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January 2022, Lilly announced the discontinuation of the Phase III development program for baricitinib in SLE based on top-line efficacy results from two pivotal Phase III trials (SLE-BRAVE-I and –II). The primary endpoint of SRI-4 response was reached in SLE-BRAVE-I but was not reached in SLE-BRAVE-II and key secondary endpoints were not met in either study.</w:t>
      </w:r>
    </w:p>
    <w:p>
      <w:pPr>
        <w:spacing w:after="0" w:line="18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COVID-19. </w:t>
      </w:r>
      <w:r>
        <w:rPr>
          <w:rFonts w:ascii="Arial" w:cs="Arial" w:eastAsia="Arial" w:hAnsi="Arial"/>
          <w:sz w:val="16"/>
          <w:szCs w:val="16"/>
          <w:color w:val="auto"/>
        </w:rPr>
        <w:t>In May 2020, we amended our agreement with Lilly to enable Lilly to commercialize baricitinib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treatment of COVID-19. 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extracorporeal membrane oxygenation (ECMO).</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June 2020, we and Novartis announced that the MHLW approved TABRECTA for METex14 mutation-positive advanced and/or recurrent unresectable NSCLC. In April 2022, we and Novartis announced a positive opinion from the CHMP based on data from the Phase II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Ruxolitinib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In March 2022, we and Novartis announced a positive opinion from the CHMP for</w:t>
      </w:r>
      <w:r>
        <w:rPr>
          <w:rFonts w:ascii="Arial" w:cs="Arial" w:eastAsia="Arial" w:hAnsi="Arial"/>
          <w:sz w:val="18"/>
          <w:szCs w:val="18"/>
          <w:i w:val="1"/>
          <w:iCs w:val="1"/>
          <w:color w:val="auto"/>
        </w:rPr>
        <w:t xml:space="preserve"> </w:t>
      </w:r>
      <w:r>
        <w:rPr>
          <w:rFonts w:ascii="Arial" w:cs="Arial" w:eastAsia="Arial" w:hAnsi="Arial"/>
          <w:sz w:val="18"/>
          <w:szCs w:val="18"/>
          <w:color w:val="auto"/>
        </w:rPr>
        <w:t>ruxolitinib in acute and chronic GVHD, based on data from the Phase III REACH2 and REACH3 trials. GVHD is a life-threatening complication of stem cell transplants, with no established standard of care in Europe for patients who do not adequately respond to first-line steroid treatment. In May 2022, we and Novartis announced the EC approval of ruxolitinib as JAKAVI for the treatment of acute or chronic GVHD in patients aged 12 years and older who have inadequate response to corticosteroids or other systemic therapies.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720" w:type="dxa"/>
            <w:vAlign w:val="bottom"/>
            <w:tcBorders>
              <w:top w:val="single" w:sz="8" w:color="auto"/>
            </w:tcBorders>
          </w:tcPr>
          <w:p>
            <w:pPr>
              <w:spacing w:after="0"/>
              <w:rPr>
                <w:sz w:val="22"/>
                <w:szCs w:val="22"/>
                <w:color w:val="auto"/>
              </w:rPr>
            </w:pPr>
          </w:p>
        </w:tc>
        <w:tc>
          <w:tcPr>
            <w:tcW w:w="72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Indication and status</w:t>
            </w:r>
          </w:p>
        </w:tc>
      </w:tr>
      <w:tr>
        <w:trPr>
          <w:trHeight w:val="63"/>
        </w:trPr>
        <w:tc>
          <w:tcPr>
            <w:tcW w:w="172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r>
      <w:tr>
        <w:trPr>
          <w:trHeight w:val="182"/>
        </w:trPr>
        <w:tc>
          <w:tcPr>
            <w:tcW w:w="172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b w:val="1"/>
                <w:bCs w:val="1"/>
                <w:color w:val="auto"/>
              </w:rPr>
              <w:t>baricitinib</w:t>
            </w:r>
          </w:p>
        </w:tc>
        <w:tc>
          <w:tcPr>
            <w:tcW w:w="720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Atopic dermatitis: Phase III (BREEZE-AD); approved in Europe and Japan</w:t>
            </w:r>
          </w:p>
        </w:tc>
      </w:tr>
      <w:tr>
        <w:trPr>
          <w:trHeight w:val="190"/>
        </w:trPr>
        <w:tc>
          <w:tcPr>
            <w:tcW w:w="1720" w:type="dxa"/>
            <w:vAlign w:val="bottom"/>
            <w:shd w:val="clear" w:color="auto" w:fill="CCEEFF"/>
          </w:tcPr>
          <w:p>
            <w:pPr>
              <w:ind w:left="100"/>
              <w:spacing w:after="0" w:line="190" w:lineRule="exact"/>
              <w:rPr>
                <w:sz w:val="20"/>
                <w:szCs w:val="20"/>
                <w:color w:val="auto"/>
              </w:rPr>
            </w:pPr>
            <w:r>
              <w:rPr>
                <w:rFonts w:ascii="Arial" w:cs="Arial" w:eastAsia="Arial" w:hAnsi="Arial"/>
                <w:sz w:val="16"/>
                <w:szCs w:val="16"/>
                <w:b w:val="1"/>
                <w:bCs w:val="1"/>
                <w:color w:val="auto"/>
              </w:rPr>
              <w:t>(JAK1/JAK2)</w:t>
            </w:r>
            <w:r>
              <w:rPr>
                <w:rFonts w:ascii="Arial" w:cs="Arial" w:eastAsia="Arial" w:hAnsi="Arial"/>
                <w:sz w:val="22"/>
                <w:szCs w:val="22"/>
                <w:b w:val="1"/>
                <w:bCs w:val="1"/>
                <w:color w:val="auto"/>
                <w:vertAlign w:val="superscript"/>
              </w:rPr>
              <w:t>1</w:t>
            </w:r>
          </w:p>
        </w:tc>
        <w:tc>
          <w:tcPr>
            <w:tcW w:w="7200" w:type="dxa"/>
            <w:vAlign w:val="bottom"/>
            <w:shd w:val="clear" w:color="auto" w:fill="CCEEFF"/>
          </w:tcPr>
          <w:p>
            <w:pPr>
              <w:ind w:left="120"/>
              <w:spacing w:after="0" w:line="190" w:lineRule="exact"/>
              <w:rPr>
                <w:sz w:val="20"/>
                <w:szCs w:val="20"/>
                <w:color w:val="auto"/>
              </w:rPr>
            </w:pPr>
            <w:r>
              <w:rPr>
                <w:rFonts w:ascii="Arial" w:cs="Arial" w:eastAsia="Arial" w:hAnsi="Arial"/>
                <w:sz w:val="18"/>
                <w:szCs w:val="18"/>
                <w:color w:val="auto"/>
                <w:w w:val="94"/>
              </w:rPr>
              <w:t>Severe alopecia areata: Phase III (BRAVE-AA1, BRAVE-AA2); approved in the United States,</w:t>
            </w:r>
          </w:p>
        </w:tc>
      </w:tr>
      <w:tr>
        <w:trPr>
          <w:trHeight w:val="216"/>
        </w:trPr>
        <w:tc>
          <w:tcPr>
            <w:tcW w:w="172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Europe and Japan</w:t>
            </w:r>
          </w:p>
        </w:tc>
      </w:tr>
      <w:tr>
        <w:trPr>
          <w:trHeight w:val="162"/>
        </w:trPr>
        <w:tc>
          <w:tcPr>
            <w:tcW w:w="1720" w:type="dxa"/>
            <w:vAlign w:val="bottom"/>
          </w:tcPr>
          <w:p>
            <w:pPr>
              <w:ind w:left="100"/>
              <w:spacing w:after="0" w:line="162" w:lineRule="exact"/>
              <w:rPr>
                <w:sz w:val="20"/>
                <w:szCs w:val="20"/>
                <w:color w:val="auto"/>
              </w:rPr>
            </w:pPr>
            <w:r>
              <w:rPr>
                <w:rFonts w:ascii="Arial" w:cs="Arial" w:eastAsia="Arial" w:hAnsi="Arial"/>
                <w:sz w:val="13"/>
                <w:szCs w:val="13"/>
                <w:b w:val="1"/>
                <w:bCs w:val="1"/>
                <w:color w:val="auto"/>
              </w:rPr>
              <w:t>capmatinib (MET)</w:t>
            </w:r>
            <w:r>
              <w:rPr>
                <w:rFonts w:ascii="Arial" w:cs="Arial" w:eastAsia="Arial" w:hAnsi="Arial"/>
                <w:sz w:val="18"/>
                <w:szCs w:val="18"/>
                <w:b w:val="1"/>
                <w:bCs w:val="1"/>
                <w:color w:val="auto"/>
                <w:vertAlign w:val="superscript"/>
              </w:rPr>
              <w:t>2</w:t>
            </w:r>
          </w:p>
        </w:tc>
        <w:tc>
          <w:tcPr>
            <w:tcW w:w="7200" w:type="dxa"/>
            <w:vAlign w:val="bottom"/>
          </w:tcPr>
          <w:p>
            <w:pPr>
              <w:ind w:left="120"/>
              <w:spacing w:after="0" w:line="162" w:lineRule="exact"/>
              <w:rPr>
                <w:sz w:val="20"/>
                <w:szCs w:val="20"/>
                <w:color w:val="auto"/>
              </w:rPr>
            </w:pPr>
            <w:r>
              <w:rPr>
                <w:rFonts w:ascii="Arial" w:cs="Arial" w:eastAsia="Arial" w:hAnsi="Arial"/>
                <w:sz w:val="18"/>
                <w:szCs w:val="18"/>
                <w:color w:val="auto"/>
                <w:w w:val="97"/>
              </w:rPr>
              <w:t>NSCLC (with MET exon 14 skipping mutations): approved in the United States, Europe and</w:t>
            </w:r>
          </w:p>
        </w:tc>
      </w:tr>
      <w:tr>
        <w:trPr>
          <w:trHeight w:val="230"/>
        </w:trPr>
        <w:tc>
          <w:tcPr>
            <w:tcW w:w="1720" w:type="dxa"/>
            <w:vAlign w:val="bottom"/>
          </w:tcPr>
          <w:p>
            <w:pPr>
              <w:spacing w:after="0"/>
              <w:rPr>
                <w:sz w:val="19"/>
                <w:szCs w:val="19"/>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Japan</w:t>
            </w:r>
          </w:p>
        </w:tc>
      </w:tr>
      <w:tr>
        <w:trPr>
          <w:trHeight w:val="190"/>
        </w:trPr>
        <w:tc>
          <w:tcPr>
            <w:tcW w:w="17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b w:val="1"/>
                <w:bCs w:val="1"/>
                <w:color w:val="auto"/>
              </w:rPr>
              <w:t>ruxolitinib</w:t>
            </w:r>
          </w:p>
        </w:tc>
        <w:tc>
          <w:tcPr>
            <w:tcW w:w="72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Acute and chronic GVHD: approved in Europe; J-NDA under review</w:t>
            </w:r>
          </w:p>
        </w:tc>
      </w:tr>
      <w:tr>
        <w:trPr>
          <w:trHeight w:val="242"/>
        </w:trPr>
        <w:tc>
          <w:tcPr>
            <w:tcW w:w="1720" w:type="dxa"/>
            <w:vAlign w:val="bottom"/>
            <w:tcBorders>
              <w:bottom w:val="single" w:sz="8" w:color="auto"/>
            </w:tcBorders>
            <w:shd w:val="clear" w:color="auto" w:fill="CCEEFF"/>
          </w:tcPr>
          <w:p>
            <w:pPr>
              <w:ind w:left="100"/>
              <w:spacing w:after="0" w:line="242" w:lineRule="exact"/>
              <w:rPr>
                <w:sz w:val="20"/>
                <w:szCs w:val="20"/>
                <w:color w:val="auto"/>
              </w:rPr>
            </w:pPr>
            <w:r>
              <w:rPr>
                <w:rFonts w:ascii="Arial" w:cs="Arial" w:eastAsia="Arial" w:hAnsi="Arial"/>
                <w:sz w:val="18"/>
                <w:szCs w:val="18"/>
                <w:b w:val="1"/>
                <w:bCs w:val="1"/>
                <w:color w:val="auto"/>
              </w:rPr>
              <w:t>(JAK1/JAK2)</w:t>
            </w:r>
            <w:r>
              <w:rPr>
                <w:rFonts w:ascii="Arial" w:cs="Arial" w:eastAsia="Arial" w:hAnsi="Arial"/>
                <w:sz w:val="26"/>
                <w:szCs w:val="26"/>
                <w:b w:val="1"/>
                <w:bCs w:val="1"/>
                <w:color w:val="auto"/>
                <w:vertAlign w:val="superscript"/>
              </w:rPr>
              <w:t>3</w:t>
            </w:r>
          </w:p>
        </w:tc>
        <w:tc>
          <w:tcPr>
            <w:tcW w:w="7200" w:type="dxa"/>
            <w:vAlign w:val="bottom"/>
            <w:tcBorders>
              <w:bottom w:val="single" w:sz="8" w:color="auto"/>
            </w:tcBorders>
            <w:shd w:val="clear" w:color="auto" w:fill="CCEEFF"/>
          </w:tcPr>
          <w:p>
            <w:pPr>
              <w:spacing w:after="0"/>
              <w:rPr>
                <w:sz w:val="21"/>
                <w:szCs w:val="21"/>
                <w:color w:val="auto"/>
              </w:rPr>
            </w:pPr>
          </w:p>
        </w:tc>
      </w:tr>
    </w:tbl>
    <w:p>
      <w:pPr>
        <w:spacing w:after="0" w:line="14" w:lineRule="exact"/>
        <w:rPr>
          <w:sz w:val="20"/>
          <w:szCs w:val="20"/>
          <w:color w:val="auto"/>
        </w:rPr>
      </w:pPr>
    </w:p>
    <w:p>
      <w:pPr>
        <w:ind w:left="200" w:hanging="156"/>
        <w:spacing w:after="0"/>
        <w:tabs>
          <w:tab w:leader="none" w:pos="20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baricitinib licensed to Lilly.</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capmatinib licensed to Novartis.</w:t>
      </w:r>
    </w:p>
    <w:p>
      <w:pPr>
        <w:spacing w:after="0" w:line="2" w:lineRule="exact"/>
        <w:rPr>
          <w:rFonts w:ascii="Arial" w:cs="Arial" w:eastAsia="Arial" w:hAnsi="Arial"/>
          <w:sz w:val="24"/>
          <w:szCs w:val="24"/>
          <w:color w:val="auto"/>
          <w:vertAlign w:val="superscript"/>
        </w:rPr>
      </w:pPr>
    </w:p>
    <w:p>
      <w:pPr>
        <w:ind w:left="200" w:hanging="156"/>
        <w:spacing w:after="0" w:line="186" w:lineRule="auto"/>
        <w:tabs>
          <w:tab w:leader="none" w:pos="20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ruxolitinib licensed to Novartis ex-US for use in hematology and oncology excluding topical administration.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7 of notes to the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indications in mainland China, Hong Kong, Macau and Taiwan.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Lab’s subsidiary received development and exclusive commercialization rights to retifanlimab in hematology and oncology in mainland China, Hong Kong, Macau and Taiwan. We retained an option to assist in the promotion of retifanlimab in Zai Lab’s licensed territories.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InnoCare</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August 2021, we entered into a Collaboration and License Agreement with a subsidiary of InnoCare Pharma Limited. Under the terms of this agreement, InnoCare’s subsidiary received development and exclusive commercialization rights to tafasitamab in hematology and oncology in mainland China, Hong Kong, Macau and Taiwan.</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Maruho</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April 2022, we entered into a Strategic Alliance Agreement with Maruho Co., Ltd. Under the terms of this agreement, Maruho received development, manufacturing and exclusive commercialization rights to ruxolitinib cream, and other potential future topical formulations of ruxolitinib, in autoimmune and inflammatory dermatologic diseases in Japan.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Under the terms of this agreement, as amended in February 2017,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two of which were removed from the collaboration under the February 2017 amendments.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II clinical trials, for multiple myeloma.</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this agreement, we received exclusive commercialization rights outside of the United States, and MorphoSys and we have co-commercialization rights in the United States, with respect to tafasitamab.</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Syndax</w:t>
      </w:r>
    </w:p>
    <w:p>
      <w:pPr>
        <w:spacing w:after="0" w:line="25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September 2021, we entered into a Collaboration and License Agreement with Syndax covering the worldwide development and commercialization of SNDX-6352 (axatilimab), Syndax’s anti-CSF-1R monoclonal antibody. In March 2021, axatilimab was granted Orphan Drug Designation by the FDA for the treatment of chronic GVHD and a second designation in April 2021 for treatment of idiopathic pulmonary fibrosis. Under the terms of this agreement, we received exclusive commercialization rights outside of the United States, and Syndax has co-commercialization rights in the United States with respect to axatilimab.</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December 2019, coronavirus disease of 2019, or COVID-19, was first reported in Wuhan, China. In March 2020, the World Health Organization declared COVID-19 a pandemic. We and our collaboration partners Lilly and Novartis initiated a number of clinical trials to address COVID-19.</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April 2020, we announced the initiation of a Phase III clinical trial (RUXCOVID) to evaluate the efficacy and safety of ruxolitinib plus standard-of-care (SoC), compared to SoC therapy alone, in patients not on mechanical ventilation and who have COVID-19 associated cytokine storm. We sponsored this collaborative study in the United States and our collaboration partner Novartis International Pharmaceutical Ltd. sponsored the study outside of the United States.</w:t>
      </w:r>
    </w:p>
    <w:p>
      <w:pPr>
        <w:spacing w:after="0" w:line="157"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In December 2020, we announced initial results from RUXCOVID, where treatment with ruxolitinib plus SoC did not prevent complications compared to SoC treatment alone in patients with COVID-19 associated cytokine storm.</w:t>
      </w:r>
    </w:p>
    <w:p>
      <w:pPr>
        <w:spacing w:after="0" w:line="14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March 2021, results from a second Phase III clinical trial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were announced. Ruxolitinib failed to reduce mortality due to any cause through Day 29 although in the U.S. study population (91% of total study patients), there was a clinically and statistically significant improvement in mortality in each of the 5mg and 15mg ruxolitinib arms.</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Lilly announced that it has entered into an agreement with the National Institute of Allergy and Infectious Diseases (NIAID), part of the National Institutes of Health, to study baricitinib as an arm in NIAID's Adaptive COVID-19 Treatment Trial (ACTT-2). The study is investigating the efficacy and safety of baricitinib as a potential treatment for hospitalized patients diagnosed with COVID-19 in the United States, and Lilly is also planning an expansion to include Europe and Asia.</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September 2020, we and Lilly announced initial results from ACTT-2, where baricitinib in combination with remdesivir reduced the time to recovery in comparison with remdesivir alone. Additional data announced in October 2020 showed that baricitinib plus remdesivir resulted in a numerical decrease in mortality through Day 29 compared to remdesivir alone, with a more pronounced reduction seen in more severely ill patients.</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w:t>
      </w:r>
    </w:p>
    <w:p>
      <w:pPr>
        <w:spacing w:after="0" w:line="18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April 2021, we and Lilly announced that the primary endpoint was not met in COV-BARRIER, the Phase III randomized, double-blind, placebo–controlled study to evaluate the efficacy and safety of baricitinib in hospitalized adults not on mechanical ventilation and who have COVID-19. There was, however, a 38% reduction in mortality by Day 28 in patients treated with baricitinib in addition to SoC. In August 2021, we and Lilly announced new data from an additional cohort of 101 adult patients from the COV-BARRIER trial. In this sub-study, patients with COVID-19 on mechanical ventilation or extracorporeal membrane oxygenation (ECMO) who received baricitinib plus standard of care were 46% less likely to die by Day 28 compared to patients who received placebo plus standard of care.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For a discussion of our critical accounting policies, refer to “Item 7. Management’s Discussion and Analysis of Financial Condition and Results of Operations” in our 2021 Form 10-K. There have been no significant changes to our critical accounting policies or estimates during the six months ended June 30, 2022.</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There were no new accounting pronouncements issued nor adopted since our filing of the Annual Report on Form 10-K for the year ended December 31, 2021, which could have a significant effect on our condensed consolidated financial statements.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recorded net income of $161.4 million and basic net income per share of $0.73 and diluted net income per share of $0.72 for the three months ended June 30, 2022, as compared to net income of $149.5 million and basic net income per share of $0.68 and diluted net income per share of $0.67 in the corresponding period in 2021. We recorded net income of $199.4 million and basic net income per share of $0.90 and diluted net income per share of $0.89 for the six months ended June 30, 2022, as compared to net income of $203.0 million and basic net income per share of $0.92 and diluted net income per share of $0.91 in the corresponding period in 2021.</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w w:val="93"/>
              </w:rPr>
              <w:t>For the 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4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r>
      <w:tr>
        <w:trPr>
          <w:trHeight w:val="129"/>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left="495"/>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jc w:val="center"/>
              <w:ind w:left="455"/>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w:t>
            </w: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ICLUSIG revenues,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MINJUVI revenues,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OPZELURA revenues,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9"/>
        </w:trPr>
        <w:tc>
          <w:tcPr>
            <w:tcW w:w="4040" w:type="dxa"/>
            <w:vAlign w:val="bottom"/>
          </w:tcPr>
          <w:p>
            <w:pPr>
              <w:ind w:left="120"/>
              <w:spacing w:after="0"/>
              <w:rPr>
                <w:sz w:val="20"/>
                <w:szCs w:val="20"/>
                <w:color w:val="auto"/>
              </w:rPr>
            </w:pPr>
            <w:r>
              <w:rPr>
                <w:rFonts w:ascii="Arial" w:cs="Arial" w:eastAsia="Arial" w:hAnsi="Arial"/>
                <w:sz w:val="18"/>
                <w:szCs w:val="18"/>
                <w:color w:val="auto"/>
              </w:rPr>
              <w:t>Total product revenues, net</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663.9</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575.2</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1,269.6</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1,080.0</w:t>
            </w: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r>
      <w:tr>
        <w:trPr>
          <w:trHeight w:val="210"/>
        </w:trPr>
        <w:tc>
          <w:tcPr>
            <w:tcW w:w="404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220.4</w:t>
            </w: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r>
      <w:tr>
        <w:trPr>
          <w:trHeight w:val="209"/>
        </w:trPr>
        <w:tc>
          <w:tcPr>
            <w:tcW w:w="404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1,644.6</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1,310.4</w:t>
            </w:r>
          </w:p>
        </w:tc>
        <w:tc>
          <w:tcPr>
            <w:tcW w:w="16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increase in JAKAFI product revenues for the three months ended June 30, 2022 as compared to the corresponding period in 2021 was comprised of a volume increase of $51.2 million and a price increase of $17.4 million. The increase in JAKAFI product revenues for the six months ended June 30, 2022 as compared to the corresponding period in 2021 was comprised of a volume increase of $94.3 million and a price increase of $53.0 million. Additionally,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9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Discounts and</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Co-Pay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Assistance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2022</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10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Rebates and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and 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Fees</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Chargebacks</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Discounts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Allowances for current period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54,248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282,198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150,487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Credits/payments for current period sales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(37,062)</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(220,389)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(142,086)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(399,537)</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Credits/payments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(79,669)</w:t>
            </w:r>
          </w:p>
        </w:tc>
        <w:tc>
          <w:tcPr>
            <w:tcW w:w="0" w:type="dxa"/>
            <w:vAlign w:val="bottom"/>
          </w:tcPr>
          <w:p>
            <w:pPr>
              <w:spacing w:after="0"/>
              <w:rPr>
                <w:sz w:val="1"/>
                <w:szCs w:val="1"/>
                <w:color w:val="auto"/>
              </w:rPr>
            </w:pPr>
          </w:p>
        </w:tc>
      </w:tr>
      <w:tr>
        <w:trPr>
          <w:trHeight w:val="210"/>
        </w:trPr>
        <w:tc>
          <w:tcPr>
            <w:tcW w:w="3660" w:type="dxa"/>
            <w:vAlign w:val="bottom"/>
            <w:gridSpan w:val="2"/>
          </w:tcPr>
          <w:p>
            <w:pPr>
              <w:spacing w:after="0"/>
              <w:rPr>
                <w:sz w:val="20"/>
                <w:szCs w:val="20"/>
                <w:color w:val="auto"/>
              </w:rPr>
            </w:pPr>
            <w:r>
              <w:rPr>
                <w:rFonts w:ascii="Arial" w:cs="Arial" w:eastAsia="Arial" w:hAnsi="Arial"/>
                <w:sz w:val="18"/>
                <w:szCs w:val="18"/>
                <w:color w:val="auto"/>
              </w:rPr>
              <w:t>Balance at June 30, 2022</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99,285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The increase in OLUMIANT product royalty revenues for the six months ended June 30, 2022 as compared to the corresponding period in 2021 reflects an increase in net product sales as a result of the use of OLUMIANT for the treatment of COVID-19.</w:t>
      </w:r>
    </w:p>
    <w:p>
      <w:pPr>
        <w:spacing w:after="0" w:line="16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milestone and contract revenues for the six months ended June 30, 2022, were derived from total regulatory milestones of $60.0 million under the Novartis collaboration and license agreement, regulatory milestones of $70.0 million under the license, development and commercialization agreement with Lilly, and a $5.0 million regulatory milestone under the Innovent research collaboration and licensing agreement. Our milestone and contract revenues for the six months ended June 30, 2021, were derived from a $10.0 million milestone under the Innovent research collaboration and licensing agreement.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437"/>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r>
      <w:tr>
        <w:trPr>
          <w:trHeight w:val="129"/>
        </w:trPr>
        <w:tc>
          <w:tcPr>
            <w:tcW w:w="3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4"/>
          </w:tcPr>
          <w:p>
            <w:pPr>
              <w:jc w:val="center"/>
              <w:ind w:left="45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Salary and benefits related</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Royalty expense</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30.0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r>
      <w:tr>
        <w:trPr>
          <w:trHeight w:val="209"/>
        </w:trPr>
        <w:tc>
          <w:tcPr>
            <w:tcW w:w="372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50.6</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Cost of product revenues includes all product related costs, employee personnel costs, including stock compensation, for those employees dedicated to the production of our commercial products, royalties under our collaborative agreements and amortization of our licensed intellectual property rights for ICLUSIG. The increase in cost of product revenues for the three and six months ended June 30, 2022 as compared to the same periods in 2021 was primarily due to product related costs for our commercial products including OPZELURA.</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9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71"/>
        </w:trPr>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r>
      <w:tr>
        <w:trPr>
          <w:trHeight w:val="129"/>
        </w:trPr>
        <w:tc>
          <w:tcPr>
            <w:tcW w:w="3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jc w:val="center"/>
              <w:ind w:left="31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4"/>
          </w:tcPr>
          <w:p>
            <w:pPr>
              <w:jc w:val="center"/>
              <w:ind w:right="93"/>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1"/>
                <w:szCs w:val="1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1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Stock compensation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200" w:type="dxa"/>
            <w:vAlign w:val="bottom"/>
            <w:shd w:val="clear" w:color="auto" w:fill="CCEEFF"/>
          </w:tcPr>
          <w:p>
            <w:pPr>
              <w:spacing w:after="0"/>
              <w:rPr>
                <w:sz w:val="18"/>
                <w:szCs w:val="18"/>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Borders>
              <w:bottom w:val="single" w:sz="8" w:color="CCEEFF"/>
            </w:tcBorders>
          </w:tcPr>
          <w:p>
            <w:pPr>
              <w:spacing w:after="0"/>
              <w:rPr>
                <w:sz w:val="18"/>
                <w:szCs w:val="18"/>
                <w:color w:val="auto"/>
              </w:rPr>
            </w:pPr>
          </w:p>
        </w:tc>
      </w:tr>
      <w:tr>
        <w:trPr>
          <w:trHeight w:val="209"/>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r>
              <w:rPr>
                <w:rFonts w:ascii="Arial" w:cs="Arial" w:eastAsia="Arial" w:hAnsi="Arial"/>
                <w:sz w:val="18"/>
                <w:szCs w:val="18"/>
                <w:u w:val="single" w:color="auto"/>
                <w:color w:val="auto"/>
              </w:rPr>
              <w:t>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account for research and development costs by natural expense line and not costs by project. The increase in salary and benefits related expense for the three and six months ended June 30, 2022 as compared to the corresponding periods in 2021 was due primarily to increased development headcount to sustain our development pipeline. Stock</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compensation expense may fluctuate from period to period based on the number of awards granted, stock price volatility and expected award lives, as well as expected award forfeiture rates which are used to value equity-based compensation.</w:t>
      </w:r>
    </w:p>
    <w:p>
      <w:pPr>
        <w:spacing w:after="0" w:line="124" w:lineRule="exact"/>
        <w:rPr>
          <w:sz w:val="20"/>
          <w:szCs w:val="20"/>
          <w:color w:val="auto"/>
        </w:rPr>
      </w:pPr>
    </w:p>
    <w:p>
      <w:pPr>
        <w:jc w:val="both"/>
        <w:ind w:left="40" w:right="59" w:firstLine="720"/>
        <w:spacing w:after="0" w:line="289" w:lineRule="auto"/>
        <w:rPr>
          <w:sz w:val="20"/>
          <w:szCs w:val="20"/>
          <w:color w:val="auto"/>
        </w:rPr>
      </w:pPr>
      <w:r>
        <w:rPr>
          <w:rFonts w:ascii="Arial" w:cs="Arial" w:eastAsia="Arial" w:hAnsi="Arial"/>
          <w:sz w:val="16"/>
          <w:szCs w:val="16"/>
          <w:color w:val="auto"/>
        </w:rPr>
        <w:t>The decrease in clinical research and outside services expense for the three months ended June 30, 2022 as compared to the corresponding period in 2021 was primarily due to the timing of studies, and the increase in such expense for the six months ended June 30, 2022 as compared to the corresponding period in 2021 was due to continued investment in our late stage development assets. Research and development expenses include upfront and milestone expenses related to our collaborative agreements of $2.5 million and $22.5 million, respectively, for the three and six months ended June 30, 2022. Research and development expenses include upfront and milestone expenses related to our collaborative agreements of $5.0 million and $16.5 million, respectively, for the three and six months ended June 30, 2021. Research and development expenses for the three and six months ended June 30, 2022 and 2021 were net of $24.3 million, $34.6 million, $8.9 million and $12.5 million, respectively, of costs reimbursed by our collaborative partners.</w:t>
      </w:r>
    </w:p>
    <w:p>
      <w:pPr>
        <w:spacing w:after="0" w:line="16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80" w:type="dxa"/>
            <w:vAlign w:val="bottom"/>
          </w:tcPr>
          <w:p>
            <w:pPr>
              <w:spacing w:after="0"/>
              <w:rPr>
                <w:sz w:val="14"/>
                <w:szCs w:val="14"/>
                <w:color w:val="auto"/>
              </w:rPr>
            </w:pPr>
          </w:p>
        </w:tc>
        <w:tc>
          <w:tcPr>
            <w:tcW w:w="19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71"/>
        </w:trPr>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318"/>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r>
      <w:tr>
        <w:trPr>
          <w:trHeight w:val="129"/>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jc w:val="center"/>
              <w:ind w:left="318"/>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5"/>
          </w:tcPr>
          <w:p>
            <w:pPr>
              <w:jc w:val="center"/>
              <w:ind w:right="94"/>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1"/>
                <w:szCs w:val="1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0" w:type="dxa"/>
            <w:vAlign w:val="bottom"/>
            <w:shd w:val="clear" w:color="auto" w:fill="CCEEFF"/>
          </w:tcPr>
          <w:p>
            <w:pPr>
              <w:spacing w:after="0"/>
              <w:rPr>
                <w:sz w:val="18"/>
                <w:szCs w:val="18"/>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r>
              <w:rPr>
                <w:rFonts w:ascii="Arial" w:cs="Arial" w:eastAsia="Arial" w:hAnsi="Arial"/>
                <w:sz w:val="18"/>
                <w:szCs w:val="18"/>
                <w:u w:val="single" w:color="auto"/>
                <w:color w:val="auto"/>
              </w:rPr>
              <w:t>3</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r>
              <w:rPr>
                <w:rFonts w:ascii="Arial" w:cs="Arial" w:eastAsia="Arial" w:hAnsi="Arial"/>
                <w:sz w:val="18"/>
                <w:szCs w:val="18"/>
                <w:u w:val="single" w:color="auto"/>
                <w:color w:val="auto"/>
              </w:rPr>
              <w:t>9</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r>
              <w:rPr>
                <w:rFonts w:ascii="Arial" w:cs="Arial" w:eastAsia="Arial" w:hAnsi="Arial"/>
                <w:sz w:val="18"/>
                <w:szCs w:val="18"/>
                <w:u w:val="single" w:color="auto"/>
                <w:color w:val="auto"/>
              </w:rPr>
              <w:t>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r>
              <w:rPr>
                <w:rFonts w:ascii="Arial" w:cs="Arial" w:eastAsia="Arial" w:hAnsi="Arial"/>
                <w:sz w:val="18"/>
                <w:szCs w:val="18"/>
                <w:u w:val="single" w:color="auto"/>
                <w:color w:val="auto"/>
              </w:rPr>
              <w:t>7</w:t>
            </w:r>
          </w:p>
        </w:tc>
        <w:tc>
          <w:tcPr>
            <w:tcW w:w="2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increase in salary and benefits related expense for the three and six months ended June 30, 2022 as compared to the corresponding period in 2021 was due primarily to increased headcount. This increased headcount was due primarily to the establishment of our dermatology commercial organization and activities to support the launch of OPZELURA for the treatment of atopic dermatitis.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for the three and six months ended June 30, 2022, as compared to the corresponding periods in 2021, was due primarily to expenses related to our dermatology commercial organization and activities to support the launch of OPZELURA for the treatments of atopic dermatitis and pre-launch activities for vitiligo.</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and six months ended June 30, 2022 was $3.3 million and $9.7 million, respectively, which is recorded in change in fair value of acquisition-related contingent consideration on the condensed consolidated statements of operations. The change in fair value of the acquisition-related contingent consideration for the three and six months ended June 30, 2021 was $4.6 million and $10.2 million, respectively, which is recorded in change in fair value of acquisition-related contingent consideration on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condensed consolidated statements of operations. The change in fair value for the three and six months ended June 30, 2022 and 2021 was due primarily to the passage of time and updated projections of future net revenues of ICLUSIG.</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loss sharing</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three and six months ended June 30, 2022, our 50% share of the losses for tafasitamab was $2.5 million and $7.3 million, respectively, as recorded in collaboration loss sharing on the condensed consolidated statement of operations. For the three and six months ended June 30, 2021, our 50% share of the losses for tafasitamab was $9.8 million and $20.3 million, respectively, as recorded in collaboration loss sharing on the condensed consolidated statement of operations.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Unrealized (loss) gain on long term investments. </w:t>
      </w:r>
      <w:r>
        <w:rPr>
          <w:rFonts w:ascii="Arial" w:cs="Arial" w:eastAsia="Arial" w:hAnsi="Arial"/>
          <w:sz w:val="18"/>
          <w:szCs w:val="18"/>
          <w:color w:val="auto"/>
        </w:rPr>
        <w:t>Unrealized gains and losses on long term investments will</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from period to period, based on the change in fair value of the securities we hold in our publicly held collaboration partners. The following table provides a summary of those unrealized gains and (losses):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2"/>
                <w:szCs w:val="12"/>
                <w:color w:val="auto"/>
              </w:rPr>
            </w:pPr>
          </w:p>
        </w:tc>
      </w:tr>
      <w:tr>
        <w:trPr>
          <w:trHeight w:val="128"/>
        </w:trPr>
        <w:tc>
          <w:tcPr>
            <w:tcW w:w="4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jc w:val="center"/>
              <w:ind w:left="43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left="39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Agenus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Calithera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Merus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MorphoSys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Syndax</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Syros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8"/>
                <w:szCs w:val="18"/>
                <w:color w:val="auto"/>
              </w:rPr>
            </w:pPr>
          </w:p>
        </w:tc>
      </w:tr>
      <w:tr>
        <w:trPr>
          <w:trHeight w:val="21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Total unrealized (loss) gain on long term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provision for income taxes for the three and six months ended June 30, 2022 was</w:t>
      </w:r>
      <w:r>
        <w:rPr>
          <w:rFonts w:ascii="Arial" w:cs="Arial" w:eastAsia="Arial" w:hAnsi="Arial"/>
          <w:sz w:val="17"/>
          <w:szCs w:val="17"/>
          <w:i w:val="1"/>
          <w:iCs w:val="1"/>
          <w:color w:val="auto"/>
        </w:rPr>
        <w:t xml:space="preserve"> </w:t>
      </w:r>
      <w:r>
        <w:rPr>
          <w:rFonts w:ascii="Arial" w:cs="Arial" w:eastAsia="Arial" w:hAnsi="Arial"/>
          <w:sz w:val="17"/>
          <w:szCs w:val="17"/>
          <w:color w:val="auto"/>
        </w:rPr>
        <w:t>$67.9 million and $100.5 million, respectively. The provision for income taxes for the three and six months ended June 30, 2021 and was $22.2 million and $38.0 million, respectively. The provision for income taxes increased in 2022 as compared to that for the prior year period due to the release of our valuation allowance against a majority of our U.S. research and development tax credit carryforwards and other deferred tax assets at December 31, 2021.</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Due to historical net losses, we had an accumulated deficit of $0.6 billion as of June 30, 2022. We have funded our research and development operations through cash received from customers, sales of equity securities, the issuance of convertible notes, and collaborative arrangements. At June 30, 2022, we had available cash, cash equivalents and marketable securities of $2.7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6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Net cash provided by operating activities for the six months ended June 30, 2022 and 2021 was $389.9 million and $379.0 million, respectively. The increase in cash provided by operating activities was due primarily to changes in working capital.</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investing activities, other than purchases, sales and maturities of marketable securities, have consisted predominantly of capital expenditures and purchases of long term investments. Net cash used in investing activities was $29.2 million for the six months ended June 30, 2022, which represented purchases of marketable securities of $44.0 million and capital expenditures of $28.7 million, offset in part by the sale and maturities of marketable securities of $43.5</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million. Net cash used in investing activities was $108.9 million for the six months ended June 30, 2021, which represented purchases of marketable securities of $102.3 million, capital expenditures of $114.4 million, and purchases of long term equity investments of $8.7 million, offset in part by the sale of long term investment of $9.3 million and the sales and maturities of marketable securities of $107.1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Net cash provided by financing activities was $16.0 million for the six months ended June 30, 2022 and net cash provided by financing activities was $16.5 million for the six months ended June 30, 2021, primarily representing proceeds from the issuance of common stock under our stock plans, offset in part by cash paid to ARIAD/Takeda for contingent consideration.</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capital expenditures for construction activities are discussed in Note 8 of notes to our condensed consolidated financial statements. In addition, 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5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August 2021, we entered into a $500.0 million, three-year senior unsecured revolving credit facility.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June 30, 2022, we had no outstanding borrowings and were in compliance with all covenants under this facility.</w:t>
      </w:r>
    </w:p>
    <w:p>
      <w:pPr>
        <w:spacing w:after="0" w:line="1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Our U.S. income tax payments will increase significantly due to the mandatory capitalization and amortization of research and development expenses for tax years beginning after December 31, 2021, as required under the Tax Cuts and Jobs Act of 2017, which eliminated the immediate expensing of such expenses.</w:t>
      </w:r>
    </w:p>
    <w:p>
      <w:pPr>
        <w:spacing w:after="0" w:line="16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condensed consolidated financial statements.</w:t>
      </w:r>
    </w:p>
    <w:p>
      <w:pPr>
        <w:spacing w:after="0" w:line="20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June 30, 2022, marketable securities were $287.0 million. Due to the nature of these investments, if market interest rates were to increase immediately and uniformly by 10% from levels as of June 30, 2022, the decline in fair value would not be material.</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b w:val="1"/>
          <w:bCs w:val="1"/>
          <w:i w:val="1"/>
          <w:iCs w:val="1"/>
          <w:color w:val="auto"/>
        </w:rPr>
        <w:t>Changes in internal control over financial reporting</w:t>
      </w:r>
      <w:r>
        <w:rPr>
          <w:rFonts w:ascii="Arial" w:cs="Arial" w:eastAsia="Arial" w:hAnsi="Arial"/>
          <w:sz w:val="16"/>
          <w:szCs w:val="16"/>
          <w:color w:val="auto"/>
        </w:rPr>
        <w:t>. There were no changes in our internal control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reporting (as defined in Rules 13a-15(f) and 15d-15(f) under the Exchange Act) for the three months ended June 30, 2022, that materially affected or are reasonably likely to materially affect our internal control over financial reporting.</w:t>
      </w:r>
    </w:p>
    <w:p>
      <w:pPr>
        <w:spacing w:after="0" w:line="145"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in May 2019 for the treatment of steroid-refractory acute graft-versus-host disease in adult and pediatric patients 12 years and older and in September 2021 for the treatment of steroid-refractory chronic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 of leukemia, PEMAZYRE in the United States, Europe and Japan for the treatment of certain metastatic cholangiocarcinoma indications, MONJUVI in the United States and MINJUVI in the European Union for the treatment of certain lymphoma indications, and OPZELURA in the Unites States for the treatment of certain indications of atopic dermatitis, and our exclusive licensees sell OLUMIANT (baricitinib) for the treatment of specified rheumatoid arthritis and atopic dermatitis indications and TABRECTA for the treatment of a certain type of non-small cell lung cancer, we anticipate that JAKAFI product sales will continue to contribute a significant percentage of our total revenues over the next several years.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commercial success of JAKAFI and our ability to maintain and continue to increase revenues from the sale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JAKAFI will depend on a number of factors, including: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21"/>
        <w:spacing w:after="0" w:line="26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1040" w:right="59" w:hanging="321"/>
        <w:spacing w:after="0" w:line="30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physicians, patients and healthcare payors view JAKAFI as therapeutically effective and safe relative to cost and any alternative therapies, as well as whether patients will continue to use JAKAFI;</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to obtain and maintain sufficient coverage or reimbursement by third-party payors and pricing;</w:t>
      </w:r>
    </w:p>
    <w:p>
      <w:pPr>
        <w:spacing w:after="0" w:line="236"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third-party manufacturers to manufacture JAKAFI in sufficient quantities that meet all applicable quality standards;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of our company and our third-party providers to provide marketing and distribution support for</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jc w:val="both"/>
        <w:ind w:left="1040" w:right="59" w:hanging="321"/>
        <w:spacing w:after="0" w:line="272"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hesitancy of patients to make office visits) and other risks detailed further below under “—Other Risks Relating to our Business—Public health epidemics, such as the COVID-19 pandemic, could adversely affect our business, results of operations, and financial condition”;</w:t>
      </w:r>
    </w:p>
    <w:p>
      <w:pPr>
        <w:spacing w:after="0" w:line="177" w:lineRule="exact"/>
        <w:rPr>
          <w:rFonts w:ascii="Arial" w:cs="Arial" w:eastAsia="Arial" w:hAnsi="Arial"/>
          <w:sz w:val="17"/>
          <w:szCs w:val="17"/>
          <w:color w:val="auto"/>
        </w:rPr>
      </w:pPr>
    </w:p>
    <w:p>
      <w:pPr>
        <w:ind w:left="1040" w:hanging="3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addition, revenues from our other products and our receipt of royalties under our collaboration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88"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6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unavailable or limited in scope or amount. The costs of JAKAFI, ICLUSIG, PEMAZYRE, MONJUVI/MINJUVI and OPZELURA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70" w:lineRule="exact"/>
        <w:rPr>
          <w:sz w:val="20"/>
          <w:szCs w:val="20"/>
          <w:color w:val="auto"/>
        </w:rPr>
      </w:pPr>
    </w:p>
    <w:p>
      <w:pPr>
        <w:ind w:left="1040" w:right="79" w:hanging="321"/>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of federal, state and foreign governments and other third-party payors to implement or modify laws, regulations or policies addressing payment and reimbursement for drugs;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 or moderate cost increases, as well as continued public scrutiny of the price of drugs and other healthcare costs; and</w:t>
      </w:r>
    </w:p>
    <w:p>
      <w:pPr>
        <w:spacing w:after="0" w:line="170"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84" w:lineRule="exact"/>
        <w:rPr>
          <w:sz w:val="20"/>
          <w:szCs w:val="20"/>
          <w:color w:val="auto"/>
        </w:rPr>
      </w:pPr>
    </w:p>
    <w:p>
      <w:pPr>
        <w:jc w:val="both"/>
        <w:ind w:left="40" w:right="59" w:firstLine="445"/>
        <w:spacing w:after="0" w:line="269" w:lineRule="auto"/>
        <w:rPr>
          <w:sz w:val="20"/>
          <w:szCs w:val="20"/>
          <w:color w:val="auto"/>
        </w:rPr>
      </w:pPr>
      <w:r>
        <w:rPr>
          <w:rFonts w:ascii="Arial" w:cs="Arial" w:eastAsia="Arial" w:hAnsi="Arial"/>
          <w:sz w:val="17"/>
          <w:szCs w:val="17"/>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85" w:lineRule="exact"/>
        <w:rPr>
          <w:sz w:val="20"/>
          <w:szCs w:val="20"/>
          <w:color w:val="auto"/>
        </w:rPr>
      </w:pPr>
    </w:p>
    <w:p>
      <w:pPr>
        <w:jc w:val="both"/>
        <w:ind w:left="40" w:right="59" w:firstLine="445"/>
        <w:spacing w:after="0" w:line="284" w:lineRule="auto"/>
        <w:rPr>
          <w:sz w:val="20"/>
          <w:szCs w:val="20"/>
          <w:color w:val="auto"/>
        </w:rPr>
      </w:pPr>
      <w:r>
        <w:rPr>
          <w:rFonts w:ascii="Arial" w:cs="Arial" w:eastAsia="Arial" w:hAnsi="Arial"/>
          <w:sz w:val="16"/>
          <w:szCs w:val="16"/>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we are in the process of negotiating agreements with PBMs and payor accounts to provide rebates to those entities related to formulary coverage for OPZELURA, but we cannot guarantee that we will be able to agree to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9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81"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49"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are working to establish and maintain sales, marketing and distribution capabilities for OPZELURA that will generally be separate from our existing capabilities for oncology indications, and we have no prior experience in commercializing products for dermatology indications. Successful commercialization of our drug candidates for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dermatology indications requires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9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approved a labeling update for JAKAFI, adding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testing of JAKAFI, ICLUSIG, PEMAZYRE, MONJUVI/MINJUVI and OPZELURA, the manufacturing, marketing and sale of JAKAFI, PEMAZYRE and OPZELURA and the marketing and sale of ICLUSIG and MONJUVI/MINJUVI expose us to product liability and other risks. Side effects and other problems experienced by patients from the use of our products could:</w:t>
      </w:r>
    </w:p>
    <w:p>
      <w:pPr>
        <w:spacing w:after="0" w:line="187" w:lineRule="exact"/>
        <w:rPr>
          <w:sz w:val="20"/>
          <w:szCs w:val="20"/>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and OPZELURA.</w:t>
      </w:r>
    </w:p>
    <w:p>
      <w:pPr>
        <w:spacing w:after="0" w:line="17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1"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PEMAZYRE and OPZELURA and our collaborator MorphoSys’s marketing of MONJUVI.</w:t>
      </w:r>
    </w:p>
    <w:p>
      <w:pPr>
        <w:spacing w:after="0" w:line="18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this Annual Report on Form 10-K for additional information regarding the effects of competition. If we are unable to compete successfully, our commercial opportunities will be reduced and our business, results of operations and financial conditions may be materially harmed.</w:t>
      </w:r>
    </w:p>
    <w:p>
      <w:pPr>
        <w:spacing w:after="0" w:line="171"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17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include major pharmaceutical and biotechnology companies, as well as specialty pharmaceutical firms. Competitors for OPZELURA include existing over-the-counter topical treatments, prescription topical treatments, including generic versions, such as tacrolimus, pimecrolimus, topical steroids, and EUCRISA (crisaborole) from Pfizer Inc., as well as oral and injectable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therapies such as prednisone and other oral steroids and injectable DUPIXENT (dupilimab) from Sanofi and Regeneron Pharmaceuticals, Inc.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70"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Our global operations expose us to risks associated with public health epidemics and pandemics, such as the COVID-19 pandemic that has spread globally and continues with the proliferation of new variants.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65"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As a result of the COVID-19 pandemic, we have experienced and may in the future experience disruptions that could severely impact our business, results of operations and financial condition, including the following:</w:t>
      </w:r>
    </w:p>
    <w:p>
      <w:pPr>
        <w:spacing w:after="0" w:line="146" w:lineRule="exact"/>
        <w:rPr>
          <w:sz w:val="20"/>
          <w:szCs w:val="20"/>
          <w:color w:val="auto"/>
        </w:rPr>
      </w:pPr>
    </w:p>
    <w:p>
      <w:pPr>
        <w:jc w:val="both"/>
        <w:ind w:left="720" w:right="59" w:hanging="325"/>
        <w:spacing w:after="0" w:line="269"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When the COVID-19 pandemic commenced, to protect the health of our employees and their families, and our communities, in accordance with – and in some cases in advance of – direction from state and local government authorities, we limited access to our facilities and a significant percentage of our personnel worked remotely. In the event that governmental authorities were to re-establish workplace restrictions, our employees conducting research and development activities may not be able to access our laboratory space or access may be limited,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78" w:lineRule="exact"/>
        <w:rPr>
          <w:rFonts w:ascii="Arial" w:cs="Arial" w:eastAsia="Arial" w:hAnsi="Arial"/>
          <w:sz w:val="17"/>
          <w:szCs w:val="17"/>
          <w:color w:val="auto"/>
        </w:rPr>
      </w:pPr>
    </w:p>
    <w:p>
      <w:pPr>
        <w:jc w:val="both"/>
        <w:ind w:left="720" w:right="59" w:hanging="325"/>
        <w:spacing w:after="0" w:line="290"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sales and marketing activities, including our interactions with healthcare professionals, have been limited and made more difficult by government or employer imposed work from home orders and travel and workplace visitor restrictions resulting from measures to address the COVID-19 pandemic, as well as employee-initiated remote work and travel limitations resulting from, among other things, the spread of the COVID-19 variants. In addition, demand for our products has been affected by decreases in new patients, which we believe resulted in large part from decreases in patient visits to healthcare professionals and prioritization of hospital resources for the COVID-19 pandemic, resulting in decreases in disease screening and diagnosis. We cannot predict the effects on patient demand or future sales if there are prolonged quarantines, work from home orders or travel restrictions.</w:t>
      </w:r>
    </w:p>
    <w:p>
      <w:pPr>
        <w:spacing w:after="0" w:line="381" w:lineRule="exact"/>
        <w:rPr>
          <w:rFonts w:ascii="Arial" w:cs="Arial" w:eastAsia="Arial" w:hAnsi="Arial"/>
          <w:sz w:val="16"/>
          <w:szCs w:val="16"/>
          <w:color w:val="auto"/>
        </w:rPr>
      </w:pPr>
    </w:p>
    <w:p>
      <w:pPr>
        <w:jc w:val="both"/>
        <w:ind w:left="720" w:right="59" w:hanging="325"/>
        <w:spacing w:after="0" w:line="288"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clinical trials have been and will likely continue to be affected by delays in site initiation, patient screening, patient enrollment, and monitoring and data collection as a result of prioritization of hospital resources for the COVID-19 pandemic, difficulty in recruiting and retaining healthcare providers and staff due to their diversion toward treating COVID-19 patients, the potential unwillingness of patients to enroll or continue in clinical trials for fear of exposure to COVID-19 at sites, and the inability to access sites for initiation and monitoring. In addition, some patients may be unable to comply with clinical trial protocols if quarantines or travel restrictions impede patient movement or interrupt health services, we may be unable to obtain blood samples for testing, and we may not be able to provide the trial drug candidate to patients. Also, we rely on independent clinical investigators, contract research organizations and other third-party service providers to assist us in managing, monitoring and otherwise carrying out our preclinical studies and clinical trials, and the COVID-19 pandemic has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
        <w:spacing w:after="0" w:line="277" w:lineRule="auto"/>
        <w:rPr>
          <w:sz w:val="20"/>
          <w:szCs w:val="20"/>
          <w:color w:val="auto"/>
        </w:rPr>
      </w:pPr>
      <w:r>
        <w:rPr>
          <w:rFonts w:ascii="Arial" w:cs="Arial" w:eastAsia="Arial" w:hAnsi="Arial"/>
          <w:sz w:val="18"/>
          <w:szCs w:val="18"/>
          <w:color w:val="auto"/>
        </w:rPr>
        <w:t>affected and may continue to affect their ability to devote sufficient time and resources to our programs or to travel to sites to perform work for us.</w:t>
      </w:r>
    </w:p>
    <w:p>
      <w:pPr>
        <w:spacing w:after="0" w:line="170" w:lineRule="exact"/>
        <w:rPr>
          <w:sz w:val="20"/>
          <w:szCs w:val="20"/>
          <w:color w:val="auto"/>
        </w:rPr>
      </w:pPr>
    </w:p>
    <w:p>
      <w:pPr>
        <w:jc w:val="both"/>
        <w:ind w:left="720" w:right="79" w:hanging="325"/>
        <w:spacing w:after="0" w:line="273"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77" w:lineRule="exact"/>
        <w:rPr>
          <w:rFonts w:ascii="Arial" w:cs="Arial" w:eastAsia="Arial" w:hAnsi="Arial"/>
          <w:sz w:val="17"/>
          <w:szCs w:val="17"/>
          <w:color w:val="auto"/>
        </w:rPr>
      </w:pPr>
    </w:p>
    <w:p>
      <w:pPr>
        <w:jc w:val="both"/>
        <w:ind w:left="720" w:right="59" w:hanging="325"/>
        <w:spacing w:after="0" w:line="287"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COVID-19.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71" w:lineRule="exact"/>
        <w:rPr>
          <w:rFonts w:ascii="Arial" w:cs="Arial" w:eastAsia="Arial" w:hAnsi="Arial"/>
          <w:sz w:val="16"/>
          <w:szCs w:val="16"/>
          <w:color w:val="auto"/>
        </w:rPr>
      </w:pPr>
    </w:p>
    <w:p>
      <w:pPr>
        <w:jc w:val="both"/>
        <w:ind w:left="720" w:right="79" w:hanging="325"/>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 global economy as a whole. However, these effects could have a material adverse impact on our business, results of operations, and financial condition.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long-term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49" w:lineRule="exact"/>
        <w:rPr>
          <w:sz w:val="20"/>
          <w:szCs w:val="20"/>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products internally or license or acquire drug candidates from others;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identify and enroll suitable human subjects, either in the United States or abroad, for our clinical trials;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 and maintain necessary regulatory approvals for our products, both in the United States and abroad;</w:t>
      </w:r>
    </w:p>
    <w:p>
      <w:pPr>
        <w:spacing w:after="0" w:line="248" w:lineRule="exact"/>
        <w:rPr>
          <w:rFonts w:ascii="Arial" w:cs="Arial" w:eastAsia="Arial" w:hAnsi="Arial"/>
          <w:sz w:val="16"/>
          <w:szCs w:val="16"/>
          <w:color w:val="auto"/>
        </w:rPr>
      </w:pPr>
    </w:p>
    <w:p>
      <w:pPr>
        <w:ind w:left="1040" w:hanging="321"/>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enter into arrangements with third parties to provide services or to manufacture our products on our behalf;</w:t>
      </w:r>
    </w:p>
    <w:p>
      <w:pPr>
        <w:spacing w:after="0" w:line="248" w:lineRule="exact"/>
        <w:rPr>
          <w:rFonts w:ascii="Arial" w:cs="Arial" w:eastAsia="Arial" w:hAnsi="Arial"/>
          <w:sz w:val="16"/>
          <w:szCs w:val="16"/>
          <w:color w:val="auto"/>
        </w:rPr>
      </w:pPr>
    </w:p>
    <w:p>
      <w:pPr>
        <w:ind w:left="1040" w:right="79" w:hanging="321"/>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invested significant resources in the development of our most advanced drug candidates. We have a number of drug candidates in Phase III clinical trials as monotherapies or in combination with other drugs and drug candidates, including parsaclisib, pemigatinib, ruxolitinib, ruxolitinib cream and tafasitamab.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If a product is developed but not approved or marketed, or becomes approved for a narrower set of indications than those for which we initially conducted clinical trials, we may have spent significant amounts of time and money on it without achieving potential returns initially anticipated, which could adversely affect our operating results and financial condition as well as our business plans.</w:t>
      </w:r>
    </w:p>
    <w:p>
      <w:pPr>
        <w:spacing w:after="0" w:line="18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77" w:lineRule="exact"/>
        <w:rPr>
          <w:sz w:val="20"/>
          <w:szCs w:val="20"/>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w:t>
      </w:r>
    </w:p>
    <w:p>
      <w:pPr>
        <w:spacing w:after="0" w:line="17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respective endpoints, our overall development plans, business, prospects, expected operating results and financial condition could be materially harmed and the value of our company could be negatively affected.</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7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a provision in the American Rescue Plan Act of 2021 that is expected to be implemented in 2024 will have the effect of increasing the Medicaid rebate liability for some medicines that increase prices in excess of inflation.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6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consequences of the COVID-19 pandemic, including the economic effect on government budgets in the United States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8"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have licensed to Novartis rights to ruxolitinib outside of the United States and worldwide rights to our MET inhibitor compounds, including TABRECTA, and licensed to Lilly worldwide rights to baricitinib. In addition, we have licensed to Innovent, Zai Lab, InnoCare and Maruho certain Asian rights to some of our drug products and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Relating to Commercialization of Our Products,” could delay the receipt of and reduce resulting potential royalty and milestone revenue from baricitinib or any of our other out-licensed drug candidates.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7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92"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Zai Lab, InnoCare and Maruho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6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left="40" w:right="59" w:firstLine="648"/>
        <w:spacing w:after="0" w:line="283"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MorphoSys, Syros Pharmaceuticals, Inc., and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If we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200" w:lineRule="exact"/>
        <w:rPr>
          <w:sz w:val="20"/>
          <w:szCs w:val="20"/>
          <w:color w:val="auto"/>
        </w:rPr>
      </w:pPr>
    </w:p>
    <w:p>
      <w:pPr>
        <w:spacing w:after="0" w:line="202"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Even if we or our collaborators are successful in gaining regulatory approval of any of our or our collaborators’ drug candidates in addition to JAKAFI, OLUMIANT, PEMAZYRE, MONJUVI/MINJUVI and OPZELURA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81"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46" w:lineRule="exact"/>
        <w:rPr>
          <w:sz w:val="20"/>
          <w:szCs w:val="20"/>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1040" w:right="79" w:hanging="321"/>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third-party payors, regarding the safety, efficacy and benefits of our drug products compared to those of competing products or therapies;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September 2021, the FDA updated labeling for JAKAFI and other JAK-inhibitor drugs to include warnings of increased risk of major adverse cardiovascular events, thrombosis, and secondary malignancies related to another JAK-inhibitor treating rheumatoid arthritis, a condition for which JAKAFI is not indicated. The label for OPZELURA contains similar warnings seen with JAK inhibitors for inflammatory conditions. We cannot predict the effects on sales of JAKAFI as a result of the labeling change or OPZELURA as a result of warning included in its label, but it is possible that future sales of JAKAFI and the commercial success of OPZELURA can be negatively affected by the updated labeling, which could have a material and adverse effect on our business, results of operations and prospects.</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OPZELURA and most of our other drug candidates or for ICLUSIG. We currently hire third parties to manufacture the raw materials, API and finished drug product of JAKAFI, ICLUSIG, PEMAZYRE, OPZELURA and our other drug candidates for clinical trials and our collaborator MorphoSys is currently responsible for sourcing manufacturing of MONJUVI/MINJUVI.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PEMAZYRE and OPZELURA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84"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are experienced, we could encounter difficulties in supplying sufficient product to meet demand or incur additional costs to remedy the problems or to recall defective products. Any such recall could also harm our sales efforts and our reputation. To the extent our supply chain involves parties in China or materials originating in areas of China that are or could be affected by disease outbreaks such as the COVID-19 pandemic or geopolitical events such as the Russian invasion of Ukraine, we could see disruptions to our supply chain. Currently, our supply chain for our drug products and product candidates depends on operations by us and by other companies in multiple countries around the world, and the effects of the COVID-19 pandemic and measures to address the COVID-19 pandemic, as well as the effects resulting from the Russian invasion of Ukraine and related sanctions and other actions,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which became accredited by the Swiss Health Authority in June 2022.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w:t>
      </w:r>
    </w:p>
    <w:p>
      <w:pPr>
        <w:spacing w:after="0" w:line="18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are unable to manage our growth effectively, our business could be harmed and our ability to execute our business strategy could suffer.</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for the year ended December 31, 2021 and for the three and six months ended June 30, 2022, we recorded unrealized losses related to our investments in our collaboration partners, and we may in experience additional losses related to our investments in future period. In addition, if we choose to issue shares of our stock as consideration for any acquisition, dilution to our stockholders could result.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spacing w:after="0" w:line="176" w:lineRule="exact"/>
        <w:rPr>
          <w:sz w:val="20"/>
          <w:szCs w:val="20"/>
          <w:color w:val="auto"/>
        </w:rPr>
      </w:pPr>
    </w:p>
    <w:p>
      <w:pPr>
        <w:jc w:val="both"/>
        <w:ind w:left="1040" w:right="79" w:hanging="321"/>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6"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patient self-pay systems;</w:t>
      </w:r>
    </w:p>
    <w:p>
      <w:pPr>
        <w:spacing w:after="0" w:line="170"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3" w:lineRule="exact"/>
        <w:rPr>
          <w:rFonts w:ascii="Arial" w:cs="Arial" w:eastAsia="Arial" w:hAnsi="Arial"/>
          <w:sz w:val="18"/>
          <w:szCs w:val="18"/>
          <w:color w:val="auto"/>
        </w:rPr>
      </w:pPr>
    </w:p>
    <w:p>
      <w:pPr>
        <w:jc w:val="both"/>
        <w:ind w:left="1040" w:right="79" w:hanging="321"/>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which we operate, including terrorism and political unrest, geopolitical events such as the Russian invasion of Ukraine, curtailment of trade and other business restrictions, and uncertainties associated with the implementation of the relationship between the United Kingdom and the European Union;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59" w:hanging="321"/>
        <w:spacing w:after="0" w:line="263"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health risks, such as the effects of the COVID-19 pandemic, and related effects on new patient starts, clinical trial activity, regulatory agency response times, supply chain, travel and employee health and availability; and</w:t>
      </w:r>
    </w:p>
    <w:p>
      <w:pPr>
        <w:spacing w:after="0" w:line="183" w:lineRule="exact"/>
        <w:rPr>
          <w:rFonts w:ascii="Arial" w:cs="Arial" w:eastAsia="Arial" w:hAnsi="Arial"/>
          <w:sz w:val="18"/>
          <w:szCs w:val="18"/>
          <w:color w:val="auto"/>
        </w:rPr>
      </w:pPr>
    </w:p>
    <w:p>
      <w:pPr>
        <w:jc w:val="both"/>
        <w:ind w:left="1040" w:right="79" w:hanging="321"/>
        <w:spacing w:after="0" w:line="25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8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environmental, health, workplace and safety laws could cause us to incur additional expense or may restrict our operations or impair our research, development and production efforts.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operations, future revenues and financial condition and increase our costs and expenses.</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 We have engaged CROs to conduct clinical trials outside the United States, including a limited number of trials in Ukraine and Russia. We may not be able to complete any additional dosing or follow-up visits of patients in Ukraine and Russia who are participating in these clinical trials. We may also be unable to ship additional clinical drug and other supplies necessary to complete the clinical trials in Ukraine and Russia. Although the impact of Russia’s invasion is highly unpredictable, certain clinical trial activities have already been changed or suspended, and may continue to be changed, suspended or terminated, which could potentially increase our costs, slow down our product candidate development and approval process and jeopardize our ability to commence product sales and generate revenues.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00" w:lineRule="exact"/>
        <w:rPr>
          <w:sz w:val="20"/>
          <w:szCs w:val="20"/>
          <w:color w:val="auto"/>
        </w:rPr>
      </w:pPr>
    </w:p>
    <w:p>
      <w:pPr>
        <w:jc w:val="both"/>
        <w:ind w:left="40" w:right="59" w:firstLine="706"/>
        <w:spacing w:after="0" w:line="273" w:lineRule="auto"/>
        <w:rPr>
          <w:sz w:val="20"/>
          <w:szCs w:val="20"/>
          <w:color w:val="auto"/>
        </w:rPr>
      </w:pPr>
      <w:r>
        <w:rPr>
          <w:rFonts w:ascii="Arial" w:cs="Arial" w:eastAsia="Arial" w:hAnsi="Arial"/>
          <w:sz w:val="17"/>
          <w:szCs w:val="17"/>
          <w:color w:val="auto"/>
        </w:rPr>
        <w:t>Due to historical net losses, we had an accumulated deficit of $0.6 billion as of June 30, 2022.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MONJUVI/MINJUVI, and OPZELURA, for several years, if ever.</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and OPZELURA, we may incur losses if our drug products do not generate significant revenues.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1040" w:right="79" w:hanging="321"/>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invest our cash in accordance with an established internal policy and customarily in short-term instruments, money market funds, U.S. government backed-funds and Treasury securities, which are investment grade and historically have been highly liquid and carried relatively low risk.</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6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results of operations, business and financial condition.</w:t>
      </w:r>
    </w:p>
    <w:p>
      <w:pPr>
        <w:spacing w:after="0" w:line="24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or our customers, which could adversely affect our results of operations, business and financial condition. The Administration and Congress are considering significant changes to existing U.S. tax law, including an increase in the corporate tax rate and the effective tax rate on foreign earnings. These changes could substantially increase U.S. taxation of our operations. In addition, the Organisation for Economic Co-Operation and Development (OECD) in October 2021 announced an agreement on an outline for new tax rules that would align countries on a minimum corporate tax rate and an expansion of the taxing rights of market countries. If enacted by member countries, this agreement could result in tax increases in both the United States and many foreign jurisdictions where we operate or have a presence. These initiatives not only could significantly increase our tax provision, cash tax liabilities, and effective tax rate, but could also significantly increase tax uncertainty due to differing interpretations and increased audit scrutiny.</w:t>
      </w:r>
    </w:p>
    <w:p>
      <w:pPr>
        <w:spacing w:after="0" w:line="192"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5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derived a substantial portion of our revenues for the year ended December 31, 2021 and the three and six months ended June 30, 2022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6" w:lineRule="exact"/>
        <w:rPr>
          <w:sz w:val="20"/>
          <w:szCs w:val="20"/>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6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6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2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6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can strain our information technology infrastructure, which may affect our ability to operate effectively, may make us more susceptible to communications disruptions, and expose us to greater cybersecurity risks.</w:t>
      </w:r>
    </w:p>
    <w:p>
      <w:pPr>
        <w:spacing w:after="0" w:line="16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1"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81"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CCPA and other similar laws or 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0" w:type="dxa"/>
            <w:vAlign w:val="bottom"/>
          </w:tcPr>
          <w:p>
            <w:pPr>
              <w:spacing w:after="0"/>
              <w:rPr>
                <w:sz w:val="14"/>
                <w:szCs w:val="14"/>
                <w:color w:val="auto"/>
              </w:rPr>
            </w:pPr>
          </w:p>
        </w:tc>
        <w:tc>
          <w:tcPr>
            <w:tcW w:w="6780" w:type="dxa"/>
            <w:vAlign w:val="bottom"/>
            <w:gridSpan w:val="3"/>
            <w:vMerge w:val="restart"/>
          </w:tcPr>
          <w:p>
            <w:pPr>
              <w:ind w:left="2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 w:type="dxa"/>
            <w:vAlign w:val="bottom"/>
          </w:tcPr>
          <w:p>
            <w:pPr>
              <w:spacing w:after="0"/>
              <w:rPr>
                <w:sz w:val="14"/>
                <w:szCs w:val="14"/>
                <w:color w:val="auto"/>
              </w:rPr>
            </w:pPr>
          </w:p>
        </w:tc>
        <w:tc>
          <w:tcPr>
            <w:tcW w:w="6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4"/>
                <w:szCs w:val="14"/>
                <w:color w:val="auto"/>
              </w:rPr>
            </w:pPr>
          </w:p>
        </w:tc>
        <w:tc>
          <w:tcPr>
            <w:tcW w:w="7780" w:type="dxa"/>
            <w:vAlign w:val="bottom"/>
            <w:tcBorders>
              <w:top w:val="single" w:sz="8" w:color="auto"/>
              <w:bottom w:val="single" w:sz="8" w:color="0000EE"/>
            </w:tcBorders>
            <w:gridSpan w:val="4"/>
          </w:tcPr>
          <w:p>
            <w:pPr>
              <w:spacing w:after="0" w:line="169"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Amendment No. 2, dated as of April 7, 2022, to Global Collaboration and License Agreement, dated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October 24, 2017, by and between the Company and MacroGenics, Inc.</w:t>
              </w:r>
            </w:hyperlink>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5160" w:type="dxa"/>
            <w:vAlign w:val="bottom"/>
            <w:tcBorders>
              <w:top w:val="single" w:sz="8" w:color="0000EE"/>
            </w:tcBorders>
            <w:gridSpan w:val="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Rule 13a-14(a) Certification of Chief Executive Officer</w:t>
              </w:r>
            </w:hyperlink>
            <w:r>
              <w:rPr>
                <w:rFonts w:ascii="Arial" w:cs="Arial" w:eastAsia="Arial" w:hAnsi="Arial"/>
                <w:sz w:val="18"/>
                <w:szCs w:val="18"/>
                <w:color w:val="000000"/>
              </w:rPr>
              <w: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20" w:type="dxa"/>
            <w:vAlign w:val="bottom"/>
            <w:tcBorders>
              <w:left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7780" w:type="dxa"/>
            <w:vAlign w:val="bottom"/>
            <w:gridSpan w:val="4"/>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Rule 13a-14(a) Certification of Chief Financial Officer</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Section 1350)</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7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Section 1350)</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780" w:type="dxa"/>
            <w:vAlign w:val="bottom"/>
            <w:gridSpan w:val="4"/>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7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7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7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78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780" w:type="dxa"/>
            <w:vAlign w:val="bottom"/>
            <w:gridSpan w:val="4"/>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019" w:firstLine="9"/>
        <w:spacing w:after="0" w:line="500" w:lineRule="auto"/>
        <w:tabs>
          <w:tab w:leader="none" w:pos="1179"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jc w:val="both"/>
        <w:ind w:left="360" w:right="79" w:hanging="316"/>
        <w:spacing w:after="0" w:line="259"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-900430</wp:posOffset>
            </wp:positionV>
            <wp:extent cx="14141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ind w:left="360" w:hanging="316"/>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212529"/>
        </w:rPr>
        <w:t>Portions of this exhibit have been omitted pursuant to Item 601(b)(10)(iv) of Regulation S-K</w:t>
      </w:r>
      <w:r>
        <w:rPr>
          <w:rFonts w:ascii="Arial" w:cs="Arial" w:eastAsia="Arial" w:hAnsi="Arial"/>
          <w:sz w:val="18"/>
          <w:szCs w:val="18"/>
          <w:color w:val="000000"/>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INCYTE CORPORATION</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Dated: August 2, 2022</w:t>
            </w: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By:  /s/ HERVÉ HOPPENOT</w:t>
            </w:r>
          </w:p>
        </w:tc>
      </w:tr>
      <w:tr>
        <w:trPr>
          <w:trHeight w:val="195"/>
        </w:trPr>
        <w:tc>
          <w:tcPr>
            <w:tcW w:w="3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Hervé Hoppenot</w:t>
            </w:r>
          </w:p>
        </w:tc>
      </w:tr>
      <w:tr>
        <w:trPr>
          <w:trHeight w:val="216"/>
        </w:trPr>
        <w:tc>
          <w:tcPr>
            <w:tcW w:w="3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Dated: August 2, 2022</w:t>
            </w: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By:  /s/ CHRISTIANA STAMOULIS</w:t>
            </w:r>
          </w:p>
        </w:tc>
      </w:tr>
      <w:tr>
        <w:trPr>
          <w:trHeight w:val="195"/>
        </w:trPr>
        <w:tc>
          <w:tcPr>
            <w:tcW w:w="3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Christiana Stamoulis</w:t>
            </w:r>
          </w:p>
        </w:tc>
      </w:tr>
      <w:tr>
        <w:trPr>
          <w:trHeight w:val="216"/>
        </w:trPr>
        <w:tc>
          <w:tcPr>
            <w:tcW w:w="3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jc w:val="right"/>
        <w:ind w:right="139"/>
        <w:spacing w:after="0"/>
        <w:rPr>
          <w:sz w:val="20"/>
          <w:szCs w:val="20"/>
          <w:color w:val="auto"/>
        </w:rPr>
      </w:pPr>
      <w:r>
        <w:rPr>
          <w:rFonts w:ascii="Arial" w:cs="Arial" w:eastAsia="Arial" w:hAnsi="Arial"/>
          <w:sz w:val="20"/>
          <w:szCs w:val="20"/>
          <w:color w:val="auto"/>
        </w:rPr>
        <w:t>Exhibit 10.1</w:t>
      </w:r>
    </w:p>
    <w:p>
      <w:pPr>
        <w:spacing w:after="0" w:line="200" w:lineRule="exact"/>
        <w:rPr>
          <w:sz w:val="20"/>
          <w:szCs w:val="20"/>
          <w:color w:val="auto"/>
        </w:rPr>
      </w:pPr>
    </w:p>
    <w:p>
      <w:pPr>
        <w:spacing w:after="0" w:line="222" w:lineRule="exact"/>
        <w:rPr>
          <w:sz w:val="20"/>
          <w:szCs w:val="20"/>
          <w:color w:val="auto"/>
        </w:rPr>
      </w:pPr>
    </w:p>
    <w:p>
      <w:pPr>
        <w:ind w:left="300" w:right="239"/>
        <w:spacing w:after="0" w:line="293" w:lineRule="auto"/>
        <w:rPr>
          <w:sz w:val="20"/>
          <w:szCs w:val="20"/>
          <w:color w:val="auto"/>
        </w:rPr>
      </w:pPr>
      <w:r>
        <w:rPr>
          <w:rFonts w:ascii="Arial" w:cs="Arial" w:eastAsia="Arial" w:hAnsi="Arial"/>
          <w:sz w:val="18"/>
          <w:szCs w:val="18"/>
          <w:b w:val="1"/>
          <w:bCs w:val="1"/>
          <w:i w:val="1"/>
          <w:iCs w:val="1"/>
          <w:color w:val="auto"/>
        </w:rPr>
        <w:t>Certain identified information, marked by [***], has been excluded from the exhibit because it is both not material and is the type that the Company treats as private or confidential.</w:t>
      </w:r>
    </w:p>
    <w:p>
      <w:pPr>
        <w:spacing w:after="0" w:line="359"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212121"/>
        </w:rPr>
        <w:t>AMENDMENT NO. 2 TO GLOBAL COLLABORATION AND LICENSE</w:t>
      </w:r>
    </w:p>
    <w:p>
      <w:pPr>
        <w:spacing w:after="0" w:line="14"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212121"/>
        </w:rPr>
        <w:t>AGREEMENT</w:t>
      </w:r>
    </w:p>
    <w:p>
      <w:pPr>
        <w:spacing w:after="0" w:line="229" w:lineRule="exact"/>
        <w:rPr>
          <w:sz w:val="20"/>
          <w:szCs w:val="20"/>
          <w:color w:val="auto"/>
        </w:rPr>
      </w:pPr>
    </w:p>
    <w:p>
      <w:pPr>
        <w:jc w:val="both"/>
        <w:ind w:left="300" w:right="139" w:firstLine="648"/>
        <w:spacing w:after="0" w:line="244" w:lineRule="auto"/>
        <w:rPr>
          <w:sz w:val="20"/>
          <w:szCs w:val="20"/>
          <w:color w:val="auto"/>
        </w:rPr>
      </w:pPr>
      <w:r>
        <w:rPr>
          <w:rFonts w:ascii="Arial" w:cs="Arial" w:eastAsia="Arial" w:hAnsi="Arial"/>
          <w:sz w:val="21"/>
          <w:szCs w:val="21"/>
          <w:color w:val="212121"/>
        </w:rPr>
        <w:t>This Amendment No. 2 to Global Collaboration and License Agreement (this "</w:t>
      </w:r>
      <w:r>
        <w:rPr>
          <w:rFonts w:ascii="Arial" w:cs="Arial" w:eastAsia="Arial" w:hAnsi="Arial"/>
          <w:sz w:val="21"/>
          <w:szCs w:val="21"/>
          <w:u w:val="single" w:color="auto"/>
          <w:color w:val="212121"/>
        </w:rPr>
        <w:t>Amendment</w:t>
      </w:r>
      <w:r>
        <w:rPr>
          <w:rFonts w:ascii="Arial" w:cs="Arial" w:eastAsia="Arial" w:hAnsi="Arial"/>
          <w:sz w:val="21"/>
          <w:szCs w:val="21"/>
          <w:color w:val="212121"/>
        </w:rPr>
        <w:t xml:space="preserve"> </w:t>
      </w:r>
      <w:r>
        <w:rPr>
          <w:rFonts w:ascii="Arial" w:cs="Arial" w:eastAsia="Arial" w:hAnsi="Arial"/>
          <w:sz w:val="21"/>
          <w:szCs w:val="21"/>
          <w:u w:val="single" w:color="auto"/>
          <w:color w:val="212121"/>
        </w:rPr>
        <w:t>No. 2</w:t>
      </w:r>
      <w:r>
        <w:rPr>
          <w:rFonts w:ascii="Arial" w:cs="Arial" w:eastAsia="Arial" w:hAnsi="Arial"/>
          <w:sz w:val="21"/>
          <w:szCs w:val="21"/>
          <w:color w:val="212121"/>
        </w:rPr>
        <w:t xml:space="preserve">") is dated as of April 7, 2022, by and between </w:t>
      </w:r>
      <w:r>
        <w:rPr>
          <w:rFonts w:ascii="Arial" w:cs="Arial" w:eastAsia="Arial" w:hAnsi="Arial"/>
          <w:sz w:val="21"/>
          <w:szCs w:val="21"/>
          <w:b w:val="1"/>
          <w:bCs w:val="1"/>
          <w:color w:val="212121"/>
        </w:rPr>
        <w:t>INCYTE CORPORATION,</w:t>
      </w:r>
      <w:r>
        <w:rPr>
          <w:rFonts w:ascii="Arial" w:cs="Arial" w:eastAsia="Arial" w:hAnsi="Arial"/>
          <w:sz w:val="21"/>
          <w:szCs w:val="21"/>
          <w:color w:val="212121"/>
        </w:rPr>
        <w:t xml:space="preserve"> a Delaware corporation, having its principal place of business at 1801 Augustine Cut-Off, Wilmington, DE 19803 (hereinafter </w:t>
      </w:r>
      <w:r>
        <w:rPr>
          <w:rFonts w:ascii="Arial" w:cs="Arial" w:eastAsia="Arial" w:hAnsi="Arial"/>
          <w:sz w:val="21"/>
          <w:szCs w:val="21"/>
          <w:color w:val="363636"/>
        </w:rPr>
        <w:t>"</w:t>
      </w:r>
      <w:r>
        <w:rPr>
          <w:rFonts w:ascii="Arial" w:cs="Arial" w:eastAsia="Arial" w:hAnsi="Arial"/>
          <w:sz w:val="21"/>
          <w:szCs w:val="21"/>
          <w:u w:val="single" w:color="auto"/>
          <w:color w:val="363636"/>
        </w:rPr>
        <w:t>Incyte</w:t>
      </w:r>
      <w:r>
        <w:rPr>
          <w:rFonts w:ascii="Arial" w:cs="Arial" w:eastAsia="Arial" w:hAnsi="Arial"/>
          <w:sz w:val="21"/>
          <w:szCs w:val="21"/>
          <w:color w:val="363636"/>
        </w:rPr>
        <w:t>"),</w:t>
      </w:r>
      <w:r>
        <w:rPr>
          <w:rFonts w:ascii="Arial" w:cs="Arial" w:eastAsia="Arial" w:hAnsi="Arial"/>
          <w:sz w:val="21"/>
          <w:szCs w:val="21"/>
          <w:color w:val="212121"/>
        </w:rPr>
        <w:t xml:space="preserve"> and </w:t>
      </w:r>
      <w:r>
        <w:rPr>
          <w:rFonts w:ascii="Arial" w:cs="Arial" w:eastAsia="Arial" w:hAnsi="Arial"/>
          <w:sz w:val="21"/>
          <w:szCs w:val="21"/>
          <w:b w:val="1"/>
          <w:bCs w:val="1"/>
          <w:color w:val="212121"/>
        </w:rPr>
        <w:t>MACROGENICS, INC.,</w:t>
      </w:r>
      <w:r>
        <w:rPr>
          <w:rFonts w:ascii="Arial" w:cs="Arial" w:eastAsia="Arial" w:hAnsi="Arial"/>
          <w:sz w:val="21"/>
          <w:szCs w:val="21"/>
          <w:color w:val="212121"/>
        </w:rPr>
        <w:t xml:space="preserve"> a Delaware corporation, having its principal place of business at 9704 Medical Center Drive, Rockville, MD 20850 ("</w:t>
      </w:r>
      <w:r>
        <w:rPr>
          <w:rFonts w:ascii="Arial" w:cs="Arial" w:eastAsia="Arial" w:hAnsi="Arial"/>
          <w:sz w:val="21"/>
          <w:szCs w:val="21"/>
          <w:u w:val="single" w:color="auto"/>
          <w:color w:val="212121"/>
        </w:rPr>
        <w:t>MacroGenics</w:t>
      </w:r>
      <w:r>
        <w:rPr>
          <w:rFonts w:ascii="Arial" w:cs="Arial" w:eastAsia="Arial" w:hAnsi="Arial"/>
          <w:sz w:val="21"/>
          <w:szCs w:val="21"/>
          <w:color w:val="212121"/>
        </w:rPr>
        <w:t>", together with Incyte, the "</w:t>
      </w:r>
      <w:r>
        <w:rPr>
          <w:rFonts w:ascii="Arial" w:cs="Arial" w:eastAsia="Arial" w:hAnsi="Arial"/>
          <w:sz w:val="21"/>
          <w:szCs w:val="21"/>
          <w:u w:val="single" w:color="auto"/>
          <w:color w:val="212121"/>
        </w:rPr>
        <w:t>Parties</w:t>
      </w:r>
      <w:r>
        <w:rPr>
          <w:rFonts w:ascii="Arial" w:cs="Arial" w:eastAsia="Arial" w:hAnsi="Arial"/>
          <w:sz w:val="21"/>
          <w:szCs w:val="21"/>
          <w:color w:val="212121"/>
        </w:rPr>
        <w:t>" and each separately, a "</w:t>
      </w:r>
      <w:r>
        <w:rPr>
          <w:rFonts w:ascii="Arial" w:cs="Arial" w:eastAsia="Arial" w:hAnsi="Arial"/>
          <w:sz w:val="21"/>
          <w:szCs w:val="21"/>
          <w:u w:val="single" w:color="auto"/>
          <w:color w:val="212121"/>
        </w:rPr>
        <w:t>Party</w:t>
      </w:r>
      <w:r>
        <w:rPr>
          <w:rFonts w:ascii="Arial" w:cs="Arial" w:eastAsia="Arial" w:hAnsi="Arial"/>
          <w:sz w:val="21"/>
          <w:szCs w:val="21"/>
          <w:color w:val="212121"/>
        </w:rPr>
        <w:t>"), and is meant to amend that certain Global Collaboration and License Agreement, dated as of October 24, 2017, between Incyte and MacroGenics and amended on March 15, 2018 ("Amendment No. 1"). The Global Collaboration and License Agreement and Amendment No. 1, the "</w:t>
      </w:r>
      <w:r>
        <w:rPr>
          <w:rFonts w:ascii="Arial" w:cs="Arial" w:eastAsia="Arial" w:hAnsi="Arial"/>
          <w:sz w:val="21"/>
          <w:szCs w:val="21"/>
          <w:u w:val="single" w:color="auto"/>
          <w:color w:val="212121"/>
        </w:rPr>
        <w:t>Agreement</w:t>
      </w:r>
      <w:r>
        <w:rPr>
          <w:rFonts w:ascii="Arial" w:cs="Arial" w:eastAsia="Arial" w:hAnsi="Arial"/>
          <w:sz w:val="21"/>
          <w:szCs w:val="21"/>
          <w:color w:val="212121"/>
        </w:rPr>
        <w:t>". Capitalized terms used and not otherwise defined herein shall have the meanings ascribed to such terms in the Agreement.</w:t>
      </w:r>
    </w:p>
    <w:p>
      <w:pPr>
        <w:spacing w:after="0" w:line="229" w:lineRule="exact"/>
        <w:rPr>
          <w:sz w:val="20"/>
          <w:szCs w:val="20"/>
          <w:color w:val="auto"/>
        </w:rPr>
      </w:pPr>
    </w:p>
    <w:p>
      <w:pPr>
        <w:jc w:val="both"/>
        <w:ind w:left="300" w:right="139" w:firstLine="648"/>
        <w:spacing w:after="0" w:line="248" w:lineRule="auto"/>
        <w:rPr>
          <w:sz w:val="20"/>
          <w:szCs w:val="20"/>
          <w:color w:val="auto"/>
        </w:rPr>
      </w:pPr>
      <w:r>
        <w:rPr>
          <w:rFonts w:ascii="Arial" w:cs="Arial" w:eastAsia="Arial" w:hAnsi="Arial"/>
          <w:sz w:val="21"/>
          <w:szCs w:val="21"/>
          <w:color w:val="212121"/>
        </w:rPr>
        <w:t>WHEREAS, the Parties wish to add a Milestone to the Agreement specifically for receipt of a Regulatory Approval in the U.S. in the Indication of [***] but do not wish for such Regulatory Approval and Clinical Studies in and regulatory filings for such Indication to qualify as (i) a Development Milestone for [***] under Section 8.2(b); (ii) a Regulatory Filing Milestone for the filing of a BLA in the U.S. under Section 8.2(c); or (iii) an Approval Milestone for the receipt of a Regulatory Approval in the U.S. under Section 8.2(d);</w:t>
      </w:r>
    </w:p>
    <w:p>
      <w:pPr>
        <w:spacing w:after="0" w:line="217" w:lineRule="exact"/>
        <w:rPr>
          <w:sz w:val="20"/>
          <w:szCs w:val="20"/>
          <w:color w:val="auto"/>
        </w:rPr>
      </w:pPr>
    </w:p>
    <w:p>
      <w:pPr>
        <w:jc w:val="both"/>
        <w:ind w:left="300" w:right="139" w:firstLine="648"/>
        <w:spacing w:after="0"/>
        <w:rPr>
          <w:sz w:val="20"/>
          <w:szCs w:val="20"/>
          <w:color w:val="auto"/>
        </w:rPr>
      </w:pPr>
      <w:r>
        <w:rPr>
          <w:rFonts w:ascii="Arial" w:cs="Arial" w:eastAsia="Arial" w:hAnsi="Arial"/>
          <w:sz w:val="22"/>
          <w:szCs w:val="22"/>
          <w:color w:val="212121"/>
        </w:rPr>
        <w:t>NOW, THEREFORE, IN CONSIDERATION of the mutual covenants contained herein, and for other good and valuable consideration the receipt and adequacy of which are hereby acknowledged, the Parties agree as follows:</w:t>
      </w:r>
    </w:p>
    <w:p>
      <w:pPr>
        <w:spacing w:after="0" w:line="227" w:lineRule="exact"/>
        <w:rPr>
          <w:sz w:val="20"/>
          <w:szCs w:val="20"/>
          <w:color w:val="auto"/>
        </w:rPr>
      </w:pPr>
    </w:p>
    <w:p>
      <w:pPr>
        <w:ind w:left="300" w:right="559" w:hanging="7"/>
        <w:spacing w:after="0" w:line="263" w:lineRule="auto"/>
        <w:tabs>
          <w:tab w:leader="none" w:pos="948" w:val="left"/>
        </w:tabs>
        <w:numPr>
          <w:ilvl w:val="0"/>
          <w:numId w:val="32"/>
        </w:numPr>
        <w:rPr>
          <w:rFonts w:ascii="Arial" w:cs="Arial" w:eastAsia="Arial" w:hAnsi="Arial"/>
          <w:sz w:val="22"/>
          <w:szCs w:val="22"/>
          <w:color w:val="212121"/>
        </w:rPr>
      </w:pPr>
      <w:r>
        <w:rPr>
          <w:rFonts w:ascii="Arial" w:cs="Arial" w:eastAsia="Arial" w:hAnsi="Arial"/>
          <w:sz w:val="22"/>
          <w:szCs w:val="22"/>
          <w:u w:val="single" w:color="auto"/>
          <w:color w:val="363636"/>
        </w:rPr>
        <w:t>Addition</w:t>
      </w:r>
      <w:r>
        <w:rPr>
          <w:rFonts w:ascii="Arial" w:cs="Arial" w:eastAsia="Arial" w:hAnsi="Arial"/>
          <w:sz w:val="22"/>
          <w:szCs w:val="22"/>
          <w:color w:val="363636"/>
        </w:rPr>
        <w:t xml:space="preserve"> </w:t>
      </w:r>
      <w:r>
        <w:rPr>
          <w:rFonts w:ascii="Arial" w:cs="Arial" w:eastAsia="Arial" w:hAnsi="Arial"/>
          <w:sz w:val="22"/>
          <w:szCs w:val="22"/>
          <w:u w:val="single" w:color="auto"/>
          <w:color w:val="212121"/>
        </w:rPr>
        <w:t>of</w:t>
      </w:r>
      <w:r>
        <w:rPr>
          <w:rFonts w:ascii="Arial" w:cs="Arial" w:eastAsia="Arial" w:hAnsi="Arial"/>
          <w:sz w:val="22"/>
          <w:szCs w:val="22"/>
          <w:color w:val="363636"/>
        </w:rPr>
        <w:t xml:space="preserve"> </w:t>
      </w:r>
      <w:r>
        <w:rPr>
          <w:rFonts w:ascii="Arial" w:cs="Arial" w:eastAsia="Arial" w:hAnsi="Arial"/>
          <w:sz w:val="22"/>
          <w:szCs w:val="22"/>
          <w:u w:val="single" w:color="auto"/>
          <w:color w:val="363636"/>
        </w:rPr>
        <w:t>new</w:t>
      </w:r>
      <w:r>
        <w:rPr>
          <w:rFonts w:ascii="Arial" w:cs="Arial" w:eastAsia="Arial" w:hAnsi="Arial"/>
          <w:sz w:val="22"/>
          <w:szCs w:val="22"/>
          <w:color w:val="363636"/>
        </w:rPr>
        <w:t xml:space="preserve"> </w:t>
      </w:r>
      <w:r>
        <w:rPr>
          <w:rFonts w:ascii="Arial" w:cs="Arial" w:eastAsia="Arial" w:hAnsi="Arial"/>
          <w:sz w:val="22"/>
          <w:szCs w:val="22"/>
          <w:u w:val="single" w:color="auto"/>
          <w:color w:val="212121"/>
        </w:rPr>
        <w:t>Section 8.2(f)</w:t>
      </w:r>
      <w:r>
        <w:rPr>
          <w:rFonts w:ascii="Arial" w:cs="Arial" w:eastAsia="Arial" w:hAnsi="Arial"/>
          <w:sz w:val="22"/>
          <w:szCs w:val="22"/>
          <w:color w:val="212121"/>
        </w:rPr>
        <w:t>. The following text is inserted in the Agreement as new</w:t>
      </w:r>
      <w:r>
        <w:rPr>
          <w:rFonts w:ascii="Arial" w:cs="Arial" w:eastAsia="Arial" w:hAnsi="Arial"/>
          <w:sz w:val="22"/>
          <w:szCs w:val="22"/>
          <w:color w:val="363636"/>
        </w:rPr>
        <w:t xml:space="preserve"> </w:t>
      </w:r>
      <w:r>
        <w:rPr>
          <w:rFonts w:ascii="Arial" w:cs="Arial" w:eastAsia="Arial" w:hAnsi="Arial"/>
          <w:sz w:val="22"/>
          <w:szCs w:val="22"/>
          <w:color w:val="212121"/>
        </w:rPr>
        <w:t>Section 8.2(f):</w:t>
      </w:r>
    </w:p>
    <w:p>
      <w:pPr>
        <w:spacing w:after="0" w:line="196" w:lineRule="exact"/>
        <w:rPr>
          <w:sz w:val="20"/>
          <w:szCs w:val="20"/>
          <w:color w:val="auto"/>
        </w:rPr>
      </w:pPr>
    </w:p>
    <w:p>
      <w:pPr>
        <w:ind w:left="1600" w:right="159" w:hanging="552"/>
        <w:spacing w:after="0" w:line="288" w:lineRule="auto"/>
        <w:rPr>
          <w:sz w:val="20"/>
          <w:szCs w:val="20"/>
          <w:color w:val="auto"/>
        </w:rPr>
      </w:pPr>
      <w:r>
        <w:rPr>
          <w:rFonts w:ascii="Arial" w:cs="Arial" w:eastAsia="Arial" w:hAnsi="Arial"/>
          <w:sz w:val="19"/>
          <w:szCs w:val="19"/>
          <w:color w:val="212121"/>
        </w:rPr>
        <w:t xml:space="preserve">8.2(f) </w:t>
      </w:r>
      <w:r>
        <w:rPr>
          <w:rFonts w:ascii="Arial" w:cs="Arial" w:eastAsia="Arial" w:hAnsi="Arial"/>
          <w:sz w:val="19"/>
          <w:szCs w:val="19"/>
          <w:b w:val="1"/>
          <w:bCs w:val="1"/>
          <w:color w:val="212121"/>
        </w:rPr>
        <w:t>[***] Milestone.</w:t>
      </w:r>
      <w:r>
        <w:rPr>
          <w:rFonts w:ascii="Arial" w:cs="Arial" w:eastAsia="Arial" w:hAnsi="Arial"/>
          <w:sz w:val="19"/>
          <w:szCs w:val="19"/>
          <w:color w:val="212121"/>
        </w:rPr>
        <w:t xml:space="preserve"> A payment of [***] dollars ($[***]) shall be payable for receipt of the Regulatory Approval in the U.S. by Incyte, its Affiliates, or sublicensees (excluding Collaborators) for a Monotherapy Regimen or Incyte Combination Regimen in the Indication of [***] (the "[***] Milestone Payment"). For clarity, the</w:t>
      </w:r>
    </w:p>
    <w:p>
      <w:pPr>
        <w:spacing w:after="0" w:line="1" w:lineRule="exact"/>
        <w:rPr>
          <w:sz w:val="20"/>
          <w:szCs w:val="20"/>
          <w:color w:val="auto"/>
        </w:rPr>
      </w:pPr>
    </w:p>
    <w:p>
      <w:pPr>
        <w:ind w:left="1600" w:right="219" w:firstLine="1"/>
        <w:spacing w:after="0" w:line="245" w:lineRule="auto"/>
        <w:tabs>
          <w:tab w:leader="none" w:pos="2122" w:val="left"/>
        </w:tabs>
        <w:numPr>
          <w:ilvl w:val="1"/>
          <w:numId w:val="33"/>
        </w:numPr>
        <w:rPr>
          <w:rFonts w:ascii="Arial" w:cs="Arial" w:eastAsia="Arial" w:hAnsi="Arial"/>
          <w:sz w:val="22"/>
          <w:szCs w:val="22"/>
          <w:color w:val="212121"/>
        </w:rPr>
      </w:pPr>
      <w:r>
        <w:rPr>
          <w:rFonts w:ascii="Arial" w:cs="Arial" w:eastAsia="Arial" w:hAnsi="Arial"/>
          <w:sz w:val="22"/>
          <w:szCs w:val="22"/>
          <w:color w:val="212121"/>
        </w:rPr>
        <w:t>Milestone Payment shall be in addition to the existing Approval Milestones such that the [***] Milestone Payment plus the aggregate of the potential Approval Milestones shall equal a total of [***] dollars ($[***]).</w:t>
      </w:r>
    </w:p>
    <w:p>
      <w:pPr>
        <w:spacing w:after="0" w:line="233" w:lineRule="exact"/>
        <w:rPr>
          <w:rFonts w:ascii="Arial" w:cs="Arial" w:eastAsia="Arial" w:hAnsi="Arial"/>
          <w:sz w:val="22"/>
          <w:szCs w:val="22"/>
          <w:color w:val="212121"/>
        </w:rPr>
      </w:pPr>
    </w:p>
    <w:p>
      <w:pPr>
        <w:ind w:left="1840" w:right="439" w:hanging="306"/>
        <w:spacing w:after="0" w:line="262" w:lineRule="auto"/>
        <w:tabs>
          <w:tab w:leader="none" w:pos="1840" w:val="left"/>
        </w:tabs>
        <w:numPr>
          <w:ilvl w:val="0"/>
          <w:numId w:val="33"/>
        </w:numPr>
        <w:rPr>
          <w:rFonts w:ascii="Arial" w:cs="Arial" w:eastAsia="Arial" w:hAnsi="Arial"/>
          <w:sz w:val="22"/>
          <w:szCs w:val="22"/>
          <w:color w:val="212121"/>
        </w:rPr>
      </w:pPr>
      <w:r>
        <w:rPr>
          <w:rFonts w:ascii="Arial" w:cs="Arial" w:eastAsia="Arial" w:hAnsi="Arial"/>
          <w:sz w:val="22"/>
          <w:szCs w:val="22"/>
          <w:color w:val="212121"/>
        </w:rPr>
        <w:t>The filing of a BLA in the U.S. by Incyte, its Affiliates, or sublicensees (excluding Collaborators) for a Monotherapy Regimen or Incyte Combination Regimen in the Indication of [***] shall not qualify as a Regulatory Filing Milestone under Section 8.2(c).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478155</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7" w:name="page88"/>
    <w:bookmarkEnd w:id="87"/>
    <w:p>
      <w:pPr>
        <w:ind w:left="1900" w:right="119" w:hanging="486"/>
        <w:spacing w:after="0" w:line="250" w:lineRule="auto"/>
        <w:tabs>
          <w:tab w:leader="none" w:pos="1900" w:val="left"/>
        </w:tabs>
        <w:numPr>
          <w:ilvl w:val="2"/>
          <w:numId w:val="34"/>
        </w:numPr>
        <w:rPr>
          <w:rFonts w:ascii="Arial" w:cs="Arial" w:eastAsia="Arial" w:hAnsi="Arial"/>
          <w:sz w:val="22"/>
          <w:szCs w:val="22"/>
          <w:color w:val="212121"/>
        </w:rPr>
      </w:pPr>
      <w:r>
        <w:rPr>
          <w:rFonts w:ascii="Arial" w:cs="Arial" w:eastAsia="Arial" w:hAnsi="Arial"/>
          <w:sz w:val="22"/>
          <w:szCs w:val="22"/>
          <w:color w:val="212121"/>
        </w:rPr>
        <w:t>The receipt of a Regulatory Approval in the U.S. by Incyte, its Affiliates, or sublicensees (excluding Collaborators) for a Monotherapy Regimen or Incyte Combination Regimen in the Indication of [***] shall not qualify as an Approval Milestone under Section 8.2(d).</w:t>
      </w:r>
    </w:p>
    <w:p>
      <w:pPr>
        <w:spacing w:after="0" w:line="241" w:lineRule="exact"/>
        <w:rPr>
          <w:rFonts w:ascii="Arial" w:cs="Arial" w:eastAsia="Arial" w:hAnsi="Arial"/>
          <w:sz w:val="22"/>
          <w:szCs w:val="22"/>
          <w:color w:val="212121"/>
        </w:rPr>
      </w:pPr>
    </w:p>
    <w:p>
      <w:pPr>
        <w:ind w:left="1900" w:right="119" w:hanging="486"/>
        <w:spacing w:after="0" w:line="285" w:lineRule="auto"/>
        <w:tabs>
          <w:tab w:leader="none" w:pos="1900" w:val="left"/>
        </w:tabs>
        <w:numPr>
          <w:ilvl w:val="2"/>
          <w:numId w:val="34"/>
        </w:numPr>
        <w:rPr>
          <w:rFonts w:ascii="Arial" w:cs="Arial" w:eastAsia="Arial" w:hAnsi="Arial"/>
          <w:sz w:val="19"/>
          <w:szCs w:val="19"/>
          <w:color w:val="auto"/>
        </w:rPr>
      </w:pPr>
      <w:r>
        <w:rPr>
          <w:rFonts w:ascii="Arial" w:cs="Arial" w:eastAsia="Arial" w:hAnsi="Arial"/>
          <w:sz w:val="19"/>
          <w:szCs w:val="19"/>
          <w:color w:val="212121"/>
        </w:rPr>
        <w:t>The Development Milestone under Section 8.2(b), "Treatment of [***] cumulative subjects across all Incyte Clinical Studies (including Incyte Monotherapy Studies and Incyte Combination Studies) in a single Indication for greater than [***] continuously at a recommended Phase II or Phase III defined dose and schedule" shall not apply to Clinical Studies in the Indication of [***], and no payment for such Development Milestone shall be due with respect to the Indication of [***], whether by reason of actually treating [***] cumulative subjects in the Indication of [***] or by reason of the occurrence of any of the events set forth in the final sentence in the first paragraph of Section 8.2 stating, "In addition, except with respect to the Breakthrough Designation Milestone, if for any reason any other Development Milestone corresponding to a Milestone payment does not occur prior to the occurrence of Regulatory Approval, then such prior non-occurring Development Milestone shall be deemed to occur concurrently with Regulatory Approval, and the applicable Milestone payments for the applicable Development Milestones shall become due and payable in accordance with this Section 8.2." For clarity, receipt of Regulatory Approval in the U.S., the EU, or Japan by Incyte, its Affiliates, or sublicensees (excluding Collaborators) for a Monotherapy Regimen or Incyte Combination Regimen in the Indication of [***] shall not trigger any such Milestone payment.</w:t>
      </w:r>
    </w:p>
    <w:p>
      <w:pPr>
        <w:spacing w:after="0" w:line="186" w:lineRule="exact"/>
        <w:rPr>
          <w:rFonts w:ascii="Arial" w:cs="Arial" w:eastAsia="Arial" w:hAnsi="Arial"/>
          <w:sz w:val="19"/>
          <w:szCs w:val="19"/>
          <w:color w:val="auto"/>
        </w:rPr>
      </w:pPr>
    </w:p>
    <w:p>
      <w:pPr>
        <w:jc w:val="both"/>
        <w:ind w:left="120" w:right="59" w:firstLine="9"/>
        <w:spacing w:after="0" w:line="248" w:lineRule="auto"/>
        <w:tabs>
          <w:tab w:leader="none" w:pos="768" w:val="left"/>
        </w:tabs>
        <w:numPr>
          <w:ilvl w:val="1"/>
          <w:numId w:val="35"/>
        </w:numPr>
        <w:rPr>
          <w:rFonts w:ascii="Arial" w:cs="Arial" w:eastAsia="Arial" w:hAnsi="Arial"/>
          <w:sz w:val="22"/>
          <w:szCs w:val="22"/>
          <w:color w:val="212121"/>
        </w:rPr>
      </w:pPr>
      <w:r>
        <w:rPr>
          <w:rFonts w:ascii="Arial" w:cs="Arial" w:eastAsia="Arial" w:hAnsi="Arial"/>
          <w:sz w:val="22"/>
          <w:szCs w:val="22"/>
          <w:u w:val="single" w:color="auto"/>
          <w:color w:val="363636"/>
        </w:rPr>
        <w:t>Entire Agreement</w:t>
      </w:r>
      <w:r>
        <w:rPr>
          <w:rFonts w:ascii="Arial" w:cs="Arial" w:eastAsia="Arial" w:hAnsi="Arial"/>
          <w:sz w:val="22"/>
          <w:szCs w:val="22"/>
          <w:color w:val="363636"/>
        </w:rPr>
        <w:t xml:space="preserve">. </w:t>
      </w:r>
      <w:r>
        <w:rPr>
          <w:rFonts w:ascii="Arial" w:cs="Arial" w:eastAsia="Arial" w:hAnsi="Arial"/>
          <w:sz w:val="22"/>
          <w:szCs w:val="22"/>
          <w:color w:val="212121"/>
        </w:rPr>
        <w:t>The Agreement (including Amendment No. 1), as supplemented and</w:t>
      </w:r>
      <w:r>
        <w:rPr>
          <w:rFonts w:ascii="Arial" w:cs="Arial" w:eastAsia="Arial" w:hAnsi="Arial"/>
          <w:sz w:val="22"/>
          <w:szCs w:val="22"/>
          <w:color w:val="363636"/>
        </w:rPr>
        <w:t xml:space="preserve"> </w:t>
      </w:r>
      <w:r>
        <w:rPr>
          <w:rFonts w:ascii="Arial" w:cs="Arial" w:eastAsia="Arial" w:hAnsi="Arial"/>
          <w:sz w:val="22"/>
          <w:szCs w:val="22"/>
          <w:color w:val="212121"/>
        </w:rPr>
        <w:t>modified by this Amendment No. 2, together with the exhibits thereto, contains the entire understanding of the parties with respect to the subject matter hereof and supersedes all prior agreements and understandings, oral or written, with respect to such matters, which the parties acknowledge have been merged into the Agreement.</w:t>
      </w:r>
    </w:p>
    <w:p>
      <w:pPr>
        <w:spacing w:after="0" w:line="232" w:lineRule="exact"/>
        <w:rPr>
          <w:rFonts w:ascii="Arial" w:cs="Arial" w:eastAsia="Arial" w:hAnsi="Arial"/>
          <w:sz w:val="22"/>
          <w:szCs w:val="22"/>
          <w:color w:val="212121"/>
        </w:rPr>
      </w:pPr>
    </w:p>
    <w:p>
      <w:pPr>
        <w:jc w:val="both"/>
        <w:ind w:left="120" w:right="59" w:hanging="2"/>
        <w:spacing w:after="0" w:line="266" w:lineRule="auto"/>
        <w:tabs>
          <w:tab w:leader="none" w:pos="768" w:val="left"/>
        </w:tabs>
        <w:numPr>
          <w:ilvl w:val="0"/>
          <w:numId w:val="36"/>
        </w:numPr>
        <w:rPr>
          <w:rFonts w:ascii="Arial" w:cs="Arial" w:eastAsia="Arial" w:hAnsi="Arial"/>
          <w:sz w:val="22"/>
          <w:szCs w:val="22"/>
          <w:color w:val="212121"/>
        </w:rPr>
      </w:pPr>
      <w:r>
        <w:rPr>
          <w:rFonts w:ascii="Arial" w:cs="Arial" w:eastAsia="Arial" w:hAnsi="Arial"/>
          <w:sz w:val="22"/>
          <w:szCs w:val="22"/>
          <w:u w:val="single" w:color="auto"/>
          <w:color w:val="212121"/>
        </w:rPr>
        <w:t>Governing Law</w:t>
      </w:r>
      <w:r>
        <w:rPr>
          <w:rFonts w:ascii="Arial" w:cs="Arial" w:eastAsia="Arial" w:hAnsi="Arial"/>
          <w:sz w:val="22"/>
          <w:szCs w:val="22"/>
          <w:color w:val="212121"/>
        </w:rPr>
        <w:t>. This Amendment No. 2 shall be governed by and construed under the laws of the State of New York, without giving effect to any choice of law principles that would require the application of the laws of a different state.</w:t>
      </w:r>
    </w:p>
    <w:p>
      <w:pPr>
        <w:spacing w:after="0" w:line="211" w:lineRule="exact"/>
        <w:rPr>
          <w:rFonts w:ascii="Arial" w:cs="Arial" w:eastAsia="Arial" w:hAnsi="Arial"/>
          <w:sz w:val="22"/>
          <w:szCs w:val="22"/>
          <w:color w:val="212121"/>
        </w:rPr>
      </w:pPr>
    </w:p>
    <w:p>
      <w:pPr>
        <w:jc w:val="both"/>
        <w:ind w:left="120" w:right="59" w:firstLine="6"/>
        <w:spacing w:after="0" w:line="261" w:lineRule="auto"/>
        <w:tabs>
          <w:tab w:leader="none" w:pos="768" w:val="left"/>
        </w:tabs>
        <w:numPr>
          <w:ilvl w:val="0"/>
          <w:numId w:val="36"/>
        </w:numPr>
        <w:rPr>
          <w:rFonts w:ascii="Arial" w:cs="Arial" w:eastAsia="Arial" w:hAnsi="Arial"/>
          <w:sz w:val="22"/>
          <w:szCs w:val="22"/>
          <w:color w:val="212121"/>
        </w:rPr>
      </w:pPr>
      <w:r>
        <w:rPr>
          <w:rFonts w:ascii="Arial" w:cs="Arial" w:eastAsia="Arial" w:hAnsi="Arial"/>
          <w:sz w:val="22"/>
          <w:szCs w:val="22"/>
          <w:color w:val="484848"/>
        </w:rPr>
        <w:t xml:space="preserve">Execution </w:t>
      </w:r>
      <w:r>
        <w:rPr>
          <w:rFonts w:ascii="Arial" w:cs="Arial" w:eastAsia="Arial" w:hAnsi="Arial"/>
          <w:sz w:val="22"/>
          <w:szCs w:val="22"/>
          <w:color w:val="212121"/>
        </w:rPr>
        <w:t>in</w:t>
      </w:r>
      <w:r>
        <w:rPr>
          <w:rFonts w:ascii="Arial" w:cs="Arial" w:eastAsia="Arial" w:hAnsi="Arial"/>
          <w:sz w:val="22"/>
          <w:szCs w:val="22"/>
          <w:color w:val="484848"/>
        </w:rPr>
        <w:t xml:space="preserve"> </w:t>
      </w:r>
      <w:r>
        <w:rPr>
          <w:rFonts w:ascii="Arial" w:cs="Arial" w:eastAsia="Arial" w:hAnsi="Arial"/>
          <w:sz w:val="22"/>
          <w:szCs w:val="22"/>
          <w:color w:val="363636"/>
        </w:rPr>
        <w:t>Counterparts.</w:t>
      </w:r>
      <w:r>
        <w:rPr>
          <w:rFonts w:ascii="Arial" w:cs="Arial" w:eastAsia="Arial" w:hAnsi="Arial"/>
          <w:sz w:val="22"/>
          <w:szCs w:val="22"/>
          <w:color w:val="484848"/>
        </w:rPr>
        <w:t xml:space="preserve"> </w:t>
      </w:r>
      <w:r>
        <w:rPr>
          <w:rFonts w:ascii="Arial" w:cs="Arial" w:eastAsia="Arial" w:hAnsi="Arial"/>
          <w:sz w:val="22"/>
          <w:szCs w:val="22"/>
          <w:color w:val="212121"/>
        </w:rPr>
        <w:t>This Amendment No. 2 may be executed in two (2) or more</w:t>
      </w:r>
      <w:r>
        <w:rPr>
          <w:rFonts w:ascii="Arial" w:cs="Arial" w:eastAsia="Arial" w:hAnsi="Arial"/>
          <w:sz w:val="22"/>
          <w:szCs w:val="22"/>
          <w:color w:val="484848"/>
        </w:rPr>
        <w:t xml:space="preserve"> </w:t>
      </w:r>
      <w:r>
        <w:rPr>
          <w:rFonts w:ascii="Arial" w:cs="Arial" w:eastAsia="Arial" w:hAnsi="Arial"/>
          <w:sz w:val="22"/>
          <w:szCs w:val="22"/>
          <w:color w:val="212121"/>
        </w:rPr>
        <w:t>counterparts, each of which shall be deemed an original, but all of which together shall constitute one and the same instrument. This Agreement may be executed by .pdf or other electronically transmitted signatures and such signatures shall be deemed to bind each Party as if they were the original signatures.</w:t>
      </w:r>
    </w:p>
    <w:p>
      <w:pPr>
        <w:spacing w:after="0" w:line="230" w:lineRule="exact"/>
        <w:rPr>
          <w:rFonts w:ascii="Arial" w:cs="Arial" w:eastAsia="Arial" w:hAnsi="Arial"/>
          <w:sz w:val="22"/>
          <w:szCs w:val="22"/>
          <w:color w:val="212121"/>
        </w:rPr>
      </w:pPr>
    </w:p>
    <w:p>
      <w:pPr>
        <w:ind w:left="760" w:hanging="642"/>
        <w:spacing w:after="0"/>
        <w:tabs>
          <w:tab w:leader="none" w:pos="760" w:val="left"/>
        </w:tabs>
        <w:numPr>
          <w:ilvl w:val="0"/>
          <w:numId w:val="36"/>
        </w:numPr>
        <w:rPr>
          <w:rFonts w:ascii="Arial" w:cs="Arial" w:eastAsia="Arial" w:hAnsi="Arial"/>
          <w:sz w:val="21"/>
          <w:szCs w:val="21"/>
          <w:color w:val="212121"/>
        </w:rPr>
      </w:pPr>
      <w:r>
        <w:rPr>
          <w:rFonts w:ascii="Arial" w:cs="Arial" w:eastAsia="Arial" w:hAnsi="Arial"/>
          <w:sz w:val="21"/>
          <w:szCs w:val="21"/>
          <w:u w:val="single" w:color="auto"/>
          <w:color w:val="212121"/>
        </w:rPr>
        <w:t>Remaining  Provisions of the Agreement</w:t>
      </w:r>
      <w:r>
        <w:rPr>
          <w:rFonts w:ascii="Arial" w:cs="Arial" w:eastAsia="Arial" w:hAnsi="Arial"/>
          <w:sz w:val="21"/>
          <w:szCs w:val="21"/>
          <w:color w:val="212121"/>
        </w:rPr>
        <w:t>.  Except as provided herein, each of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-1030605</wp:posOffset>
            </wp:positionV>
            <wp:extent cx="1490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90980" cy="8890"/>
                    </a:xfrm>
                    <a:prstGeom prst="rect">
                      <a:avLst/>
                    </a:prstGeom>
                    <a:noFill/>
                  </pic:spPr>
                </pic:pic>
              </a:graphicData>
            </a:graphic>
          </wp:anchor>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2"/>
          <w:szCs w:val="22"/>
          <w:color w:val="212121"/>
        </w:rPr>
        <w:t>provisions of the Agreement shall remain in full force and effect.</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490855</wp:posOffset>
            </wp:positionV>
            <wp:extent cx="56146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14670" cy="17145"/>
                    </a:xfrm>
                    <a:prstGeom prst="rect">
                      <a:avLst/>
                    </a:prstGeom>
                    <a:noFill/>
                  </pic:spPr>
                </pic:pic>
              </a:graphicData>
            </a:graphic>
          </wp:anchor>
        </w:drawing>
      </w:r>
    </w:p>
    <w:p>
      <w:pPr>
        <w:sectPr>
          <w:pgSz w:w="11900" w:h="16838" w:orient="portrait"/>
          <w:cols w:equalWidth="0" w:num="1">
            <w:col w:w="9019"/>
          </w:cols>
          <w:pgMar w:left="1440" w:top="955" w:right="1440" w:bottom="1440" w:gutter="0" w:footer="0" w:header="0"/>
        </w:sectPr>
      </w:pPr>
    </w:p>
    <w:bookmarkStart w:id="88" w:name="page89"/>
    <w:bookmarkEnd w:id="88"/>
    <w:p>
      <w:pPr>
        <w:jc w:val="both"/>
        <w:ind w:left="120" w:firstLine="5"/>
        <w:spacing w:after="0" w:line="253" w:lineRule="auto"/>
        <w:tabs>
          <w:tab w:leader="none" w:pos="768" w:val="left"/>
        </w:tabs>
        <w:numPr>
          <w:ilvl w:val="0"/>
          <w:numId w:val="37"/>
        </w:numPr>
        <w:rPr>
          <w:rFonts w:ascii="Arial" w:cs="Arial" w:eastAsia="Arial" w:hAnsi="Arial"/>
          <w:sz w:val="22"/>
          <w:szCs w:val="22"/>
          <w:color w:val="232323"/>
        </w:rPr>
      </w:pPr>
      <w:r>
        <w:rPr>
          <w:rFonts w:ascii="Arial" w:cs="Arial" w:eastAsia="Arial" w:hAnsi="Arial"/>
          <w:sz w:val="22"/>
          <w:szCs w:val="22"/>
          <w:u w:val="single" w:color="auto"/>
          <w:color w:val="232323"/>
        </w:rPr>
        <w:t>References</w:t>
      </w:r>
      <w:r>
        <w:rPr>
          <w:rFonts w:ascii="Arial" w:cs="Arial" w:eastAsia="Arial" w:hAnsi="Arial"/>
          <w:sz w:val="22"/>
          <w:szCs w:val="22"/>
          <w:color w:val="232323"/>
        </w:rPr>
        <w:t>. Upon the effectiveness of this Amendment No. 2, on and after the date hereof, each reference in the Agreement to "this Agreement," "hereunder," "hereof," "herein" or words of like import shall mean and be a reference to the Agreement, as amended hereby.</w:t>
      </w:r>
    </w:p>
    <w:p>
      <w:pPr>
        <w:spacing w:after="0" w:line="212" w:lineRule="exact"/>
        <w:rPr>
          <w:sz w:val="20"/>
          <w:szCs w:val="20"/>
          <w:color w:val="auto"/>
        </w:rPr>
      </w:pPr>
    </w:p>
    <w:p>
      <w:pPr>
        <w:jc w:val="center"/>
        <w:ind w:right="300"/>
        <w:spacing w:after="0"/>
        <w:rPr>
          <w:sz w:val="20"/>
          <w:szCs w:val="20"/>
          <w:color w:val="auto"/>
        </w:rPr>
      </w:pPr>
      <w:r>
        <w:rPr>
          <w:rFonts w:ascii="Arial" w:cs="Arial" w:eastAsia="Arial" w:hAnsi="Arial"/>
          <w:sz w:val="22"/>
          <w:szCs w:val="22"/>
          <w:i w:val="1"/>
          <w:iCs w:val="1"/>
          <w:color w:val="232323"/>
        </w:rPr>
        <w:t>[signature page follows]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490855</wp:posOffset>
            </wp:positionV>
            <wp:extent cx="582930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ectPr>
          <w:pgSz w:w="11900" w:h="16838" w:orient="portrait"/>
          <w:cols w:equalWidth="0" w:num="1">
            <w:col w:w="9280"/>
          </w:cols>
          <w:pgMar w:left="1440" w:top="901" w:right="1179" w:bottom="1440" w:gutter="0" w:footer="0" w:header="0"/>
        </w:sectPr>
      </w:pPr>
    </w:p>
    <w:bookmarkStart w:id="89" w:name="page90"/>
    <w:bookmarkEnd w:id="89"/>
    <w:p>
      <w:pPr>
        <w:jc w:val="both"/>
        <w:ind w:left="200" w:right="239" w:firstLine="648"/>
        <w:spacing w:after="0"/>
        <w:rPr>
          <w:sz w:val="20"/>
          <w:szCs w:val="20"/>
          <w:color w:val="auto"/>
        </w:rPr>
      </w:pPr>
      <w:r>
        <w:rPr>
          <w:rFonts w:ascii="Arial" w:cs="Arial" w:eastAsia="Arial" w:hAnsi="Arial"/>
          <w:sz w:val="22"/>
          <w:szCs w:val="22"/>
          <w:color w:val="212121"/>
        </w:rPr>
        <w:t>IN WITNESS WHEREOF, the parties hereto have caused this Amendment No. 2 to Global Collaboration and License Agreement to be duly executed by their respective authorized signatories effective as of the date first indicated above.</w:t>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212121"/>
        </w:rPr>
        <w:t>MACROGENICS, INC.</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22"/>
          <w:szCs w:val="22"/>
          <w:color w:val="212121"/>
        </w:rPr>
        <w:t>By: /s/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-17780</wp:posOffset>
            </wp:positionV>
            <wp:extent cx="2236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36470" cy="889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color w:val="212121"/>
        </w:rPr>
        <w:t>Name: Scott Koenig</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212121"/>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212121"/>
        </w:rPr>
        <w:t>INCYTE CORPORATION</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Vijay Iyengar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-17780</wp:posOffset>
            </wp:positionV>
            <wp:extent cx="12344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Name: Vijay Iyengar</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Title: EVP, Global Strategy &amp; Corporate Development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Hervé Hoppenot, certify that:</w:t>
      </w:r>
    </w:p>
    <w:p>
      <w:pPr>
        <w:spacing w:after="0" w:line="198" w:lineRule="exact"/>
        <w:rPr>
          <w:sz w:val="20"/>
          <w:szCs w:val="20"/>
          <w:color w:val="auto"/>
        </w:rPr>
      </w:pPr>
    </w:p>
    <w:p>
      <w:pPr>
        <w:ind w:left="560" w:hanging="510"/>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2, 2022</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8200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Hervé Hoppenot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1" w:name="page92"/>
    <w:bookmarkEnd w:id="9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Christiana Stamoulis, certify that:</w:t>
      </w:r>
    </w:p>
    <w:p>
      <w:pPr>
        <w:spacing w:after="0" w:line="198" w:lineRule="exact"/>
        <w:rPr>
          <w:sz w:val="20"/>
          <w:szCs w:val="20"/>
          <w:color w:val="auto"/>
        </w:rPr>
      </w:pPr>
    </w:p>
    <w:p>
      <w:pPr>
        <w:ind w:left="560" w:hanging="510"/>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2, 2022</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2" w:name="page93"/>
    <w:bookmarkEnd w:id="9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June 30, 2022,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4" w:lineRule="exact"/>
        <w:rPr>
          <w:sz w:val="20"/>
          <w:szCs w:val="20"/>
          <w:color w:val="auto"/>
        </w:rPr>
      </w:pPr>
    </w:p>
    <w:p>
      <w:pPr>
        <w:ind w:left="380" w:hanging="336"/>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Hervé Hoppenot</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ind w:left="4500"/>
        <w:spacing w:after="0"/>
        <w:rPr>
          <w:sz w:val="20"/>
          <w:szCs w:val="20"/>
          <w:color w:val="auto"/>
        </w:rPr>
      </w:pPr>
      <w:r>
        <w:rPr>
          <w:rFonts w:ascii="Arial" w:cs="Arial" w:eastAsia="Arial" w:hAnsi="Arial"/>
          <w:sz w:val="18"/>
          <w:szCs w:val="18"/>
          <w:color w:val="auto"/>
        </w:rPr>
        <w:t>August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3" w:name="page94"/>
    <w:bookmarkEnd w:id="9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June 30, 2022,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4" w:lineRule="exact"/>
        <w:rPr>
          <w:sz w:val="20"/>
          <w:szCs w:val="20"/>
          <w:color w:val="auto"/>
        </w:rPr>
      </w:pPr>
    </w:p>
    <w:p>
      <w:pPr>
        <w:ind w:left="380" w:hanging="336"/>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ind w:left="4500"/>
        <w:spacing w:after="0"/>
        <w:rPr>
          <w:sz w:val="20"/>
          <w:szCs w:val="20"/>
          <w:color w:val="auto"/>
        </w:rPr>
      </w:pPr>
      <w:r>
        <w:rPr>
          <w:rFonts w:ascii="Arial" w:cs="Arial" w:eastAsia="Arial" w:hAnsi="Arial"/>
          <w:sz w:val="18"/>
          <w:szCs w:val="18"/>
          <w:color w:val="auto"/>
        </w:rPr>
        <w:t>August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lvl w:ilvl="1">
      <w:lvlJc w:val="left"/>
      <w:lvlText w:val="%2"/>
      <w:numFmt w:val="decimal"/>
      <w:start w:val="104"/>
    </w:lvl>
  </w:abstractNum>
  <w:abstractNum w:abstractNumId="29">
    <w:nsid w:val="440BADFC"/>
    <w:multiLevelType w:val="hybridMultilevel"/>
    <w:lvl w:ilvl="0">
      <w:lvlJc w:val="left"/>
      <w:lvlText w:val="**"/>
      <w:numFmt w:val="bullet"/>
      <w:start w:val="1"/>
    </w:lvl>
    <w:lvl w:ilvl="1">
      <w:lvlJc w:val="left"/>
      <w:lvlText w:val="%2"/>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Roman"/>
    </w:lvl>
    <w:lvl w:ilvl="1">
      <w:lvlJc w:val="left"/>
      <w:lvlText w:val="[***]"/>
      <w:numFmt w:val="bullet"/>
      <w:start w:val="1"/>
    </w:lvl>
  </w:abstractNum>
  <w:abstractNum w:abstractNumId="33">
    <w:nsid w:val="7724C67E"/>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34">
    <w:nsid w:val="5C482A97"/>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35">
    <w:nsid w:val="2463B9EA"/>
    <w:multiLevelType w:val="hybridMultilevel"/>
    <w:lvl w:ilvl="0">
      <w:lvlJc w:val="left"/>
      <w:lvlText w:val="%1."/>
      <w:numFmt w:val="decimal"/>
      <w:start w:val="3"/>
    </w:lvl>
    <w:lvl w:ilvl="1">
      <w:lvlJc w:val="left"/>
      <w:lvlText w:val="%2"/>
      <w:numFmt w:val="decimal"/>
      <w:start w:val="1"/>
    </w:lvl>
    <w:lvl w:ilvl="2">
      <w:lvlJc w:val="left"/>
      <w:lvlText w:val="%3"/>
      <w:numFmt w:val="lowerRoman"/>
      <w:start w:val="1"/>
    </w:lvl>
  </w:abstractNum>
  <w:abstractNum w:abstractNumId="36">
    <w:nsid w:val="5E884ADC"/>
    <w:multiLevelType w:val="hybridMultilevel"/>
    <w:lvl w:ilvl="0">
      <w:lvlJc w:val="left"/>
      <w:lvlText w:val="%1."/>
      <w:numFmt w:val="decimal"/>
      <w:start w:val="6"/>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2022-08-02T15:19:32Z</dcterms:created>
  <dcterms:modified xsi:type="dcterms:W3CDTF">2022-08-02T15:19:32Z</dcterms:modified>
</cp:coreProperties>
</file>