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222885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4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29" w:lineRule="exact"/>
        <w:rPr>
          <w:sz w:val="24"/>
          <w:szCs w:val="24"/>
          <w:color w:val="auto"/>
        </w:rPr>
      </w:pPr>
    </w:p>
    <w:p>
      <w:pPr>
        <w:ind w:left="640" w:right="300" w:hanging="326"/>
        <w:spacing w:after="0" w:line="273" w:lineRule="auto"/>
        <w:tabs>
          <w:tab w:leader="none" w:pos="6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210820</wp:posOffset>
            </wp:positionH>
            <wp:positionV relativeFrom="paragraph">
              <wp:posOffset>-291465</wp:posOffset>
            </wp:positionV>
            <wp:extent cx="95250" cy="965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2020</w:t>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9" w:lineRule="exact"/>
        <w:rPr>
          <w:sz w:val="24"/>
          <w:szCs w:val="24"/>
          <w:color w:val="auto"/>
        </w:rPr>
      </w:pPr>
    </w:p>
    <w:p>
      <w:pPr>
        <w:ind w:left="640" w:right="280" w:hanging="326"/>
        <w:spacing w:after="0" w:line="273" w:lineRule="auto"/>
        <w:tabs>
          <w:tab w:leader="none" w:pos="64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210820</wp:posOffset>
            </wp:positionH>
            <wp:positionV relativeFrom="paragraph">
              <wp:posOffset>-291465</wp:posOffset>
            </wp:positionV>
            <wp:extent cx="95250" cy="96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48" w:lineRule="exact"/>
        <w:rPr>
          <w:sz w:val="24"/>
          <w:szCs w:val="24"/>
          <w:color w:val="auto"/>
        </w:rPr>
      </w:pPr>
    </w:p>
    <w:p>
      <w:pPr>
        <w:ind w:left="3480"/>
        <w:spacing w:after="0"/>
        <w:tabs>
          <w:tab w:leader="none" w:pos="60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001-12400</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INCYTE CORPORATION</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34" w:lineRule="exact"/>
        <w:rPr>
          <w:sz w:val="24"/>
          <w:szCs w:val="24"/>
          <w:color w:val="auto"/>
        </w:rPr>
      </w:pPr>
    </w:p>
    <w:tbl>
      <w:tblPr>
        <w:tblLayout w:type="fixed"/>
        <w:tblInd w:w="440" w:type="dxa"/>
        <w:tblCellMar>
          <w:top w:w="0" w:type="dxa"/>
          <w:left w:w="0" w:type="dxa"/>
          <w:bottom w:w="0" w:type="dxa"/>
          <w:right w:w="0" w:type="dxa"/>
        </w:tblCellMar>
      </w:tblPr>
      <w:tr>
        <w:trPr>
          <w:trHeight w:val="204"/>
        </w:trPr>
        <w:tc>
          <w:tcPr>
            <w:tcW w:w="680" w:type="dxa"/>
            <w:vAlign w:val="bottom"/>
          </w:tcPr>
          <w:p>
            <w:pPr>
              <w:spacing w:after="0"/>
              <w:rPr>
                <w:sz w:val="17"/>
                <w:szCs w:val="17"/>
                <w:color w:val="auto"/>
              </w:rPr>
            </w:pPr>
          </w:p>
        </w:tc>
        <w:tc>
          <w:tcPr>
            <w:tcW w:w="3080" w:type="dxa"/>
            <w:vAlign w:val="bottom"/>
            <w:gridSpan w:val="2"/>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80" w:type="dxa"/>
            <w:vAlign w:val="bottom"/>
            <w:gridSpan w:val="2"/>
          </w:tcPr>
          <w:p>
            <w:pPr>
              <w:jc w:val="right"/>
              <w:ind w:right="1548"/>
              <w:spacing w:after="0"/>
              <w:rPr>
                <w:sz w:val="20"/>
                <w:szCs w:val="20"/>
                <w:color w:val="auto"/>
              </w:rPr>
            </w:pPr>
            <w:r>
              <w:rPr>
                <w:rFonts w:ascii="Times New Roman" w:cs="Times New Roman" w:eastAsia="Times New Roman" w:hAnsi="Times New Roman"/>
                <w:sz w:val="16"/>
                <w:szCs w:val="16"/>
                <w:b w:val="1"/>
                <w:bCs w:val="1"/>
                <w:color w:val="auto"/>
              </w:rPr>
              <w:t>94-3136539</w:t>
            </w:r>
          </w:p>
        </w:tc>
      </w:tr>
      <w:tr>
        <w:trPr>
          <w:trHeight w:val="203"/>
        </w:trPr>
        <w:tc>
          <w:tcPr>
            <w:tcW w:w="680" w:type="dxa"/>
            <w:vAlign w:val="bottom"/>
          </w:tcPr>
          <w:p>
            <w:pPr>
              <w:spacing w:after="0"/>
              <w:rPr>
                <w:sz w:val="17"/>
                <w:szCs w:val="17"/>
                <w:color w:val="auto"/>
              </w:rPr>
            </w:pPr>
          </w:p>
        </w:tc>
        <w:tc>
          <w:tcPr>
            <w:tcW w:w="3080" w:type="dxa"/>
            <w:vAlign w:val="bottom"/>
            <w:gridSpan w:val="2"/>
          </w:tcPr>
          <w:p>
            <w:pPr>
              <w:jc w:val="center"/>
              <w:ind w:right="23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80" w:type="dxa"/>
            <w:vAlign w:val="bottom"/>
            <w:gridSpan w:val="2"/>
          </w:tcPr>
          <w:p>
            <w:pPr>
              <w:jc w:val="center"/>
              <w:ind w:right="1268"/>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680" w:type="dxa"/>
            <w:vAlign w:val="bottom"/>
          </w:tcPr>
          <w:p>
            <w:pPr>
              <w:spacing w:after="0"/>
              <w:rPr>
                <w:sz w:val="18"/>
                <w:szCs w:val="18"/>
                <w:color w:val="auto"/>
              </w:rPr>
            </w:pPr>
          </w:p>
        </w:tc>
        <w:tc>
          <w:tcPr>
            <w:tcW w:w="3080" w:type="dxa"/>
            <w:vAlign w:val="bottom"/>
            <w:gridSpan w:val="2"/>
          </w:tcPr>
          <w:p>
            <w:pPr>
              <w:jc w:val="center"/>
              <w:ind w:right="23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80" w:type="dxa"/>
            <w:vAlign w:val="bottom"/>
            <w:gridSpan w:val="2"/>
          </w:tcPr>
          <w:p>
            <w:pPr>
              <w:jc w:val="center"/>
              <w:ind w:right="1268"/>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395"/>
        </w:trPr>
        <w:tc>
          <w:tcPr>
            <w:tcW w:w="680" w:type="dxa"/>
            <w:vAlign w:val="bottom"/>
          </w:tcPr>
          <w:p>
            <w:pPr>
              <w:spacing w:after="0"/>
              <w:rPr>
                <w:sz w:val="24"/>
                <w:szCs w:val="24"/>
                <w:color w:val="auto"/>
              </w:rPr>
            </w:pPr>
          </w:p>
        </w:tc>
        <w:tc>
          <w:tcPr>
            <w:tcW w:w="3080" w:type="dxa"/>
            <w:vAlign w:val="bottom"/>
            <w:gridSpan w:val="2"/>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1801 Augustine Cut-Off</w:t>
            </w: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05"/>
        </w:trPr>
        <w:tc>
          <w:tcPr>
            <w:tcW w:w="680" w:type="dxa"/>
            <w:vAlign w:val="bottom"/>
          </w:tcPr>
          <w:p>
            <w:pPr>
              <w:spacing w:after="0"/>
              <w:rPr>
                <w:sz w:val="17"/>
                <w:szCs w:val="17"/>
                <w:color w:val="auto"/>
              </w:rPr>
            </w:pPr>
          </w:p>
        </w:tc>
        <w:tc>
          <w:tcPr>
            <w:tcW w:w="3080" w:type="dxa"/>
            <w:vAlign w:val="bottom"/>
            <w:gridSpan w:val="2"/>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Wilmington, DE 19803</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80" w:type="dxa"/>
            <w:vAlign w:val="bottom"/>
            <w:gridSpan w:val="2"/>
          </w:tcPr>
          <w:p>
            <w:pPr>
              <w:jc w:val="right"/>
              <w:ind w:right="1728"/>
              <w:spacing w:after="0"/>
              <w:rPr>
                <w:sz w:val="20"/>
                <w:szCs w:val="20"/>
                <w:color w:val="auto"/>
              </w:rPr>
            </w:pPr>
            <w:r>
              <w:rPr>
                <w:rFonts w:ascii="Times New Roman" w:cs="Times New Roman" w:eastAsia="Times New Roman" w:hAnsi="Times New Roman"/>
                <w:sz w:val="16"/>
                <w:szCs w:val="16"/>
                <w:b w:val="1"/>
                <w:bCs w:val="1"/>
                <w:color w:val="auto"/>
              </w:rPr>
              <w:t>19803</w:t>
            </w:r>
          </w:p>
        </w:tc>
      </w:tr>
      <w:tr>
        <w:trPr>
          <w:trHeight w:val="210"/>
        </w:trPr>
        <w:tc>
          <w:tcPr>
            <w:tcW w:w="680" w:type="dxa"/>
            <w:vAlign w:val="bottom"/>
          </w:tcPr>
          <w:p>
            <w:pPr>
              <w:spacing w:after="0"/>
              <w:rPr>
                <w:sz w:val="18"/>
                <w:szCs w:val="18"/>
                <w:color w:val="auto"/>
              </w:rPr>
            </w:pPr>
          </w:p>
        </w:tc>
        <w:tc>
          <w:tcPr>
            <w:tcW w:w="3080" w:type="dxa"/>
            <w:vAlign w:val="bottom"/>
            <w:gridSpan w:val="2"/>
          </w:tcPr>
          <w:p>
            <w:pPr>
              <w:jc w:val="center"/>
              <w:ind w:right="23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80" w:type="dxa"/>
            <w:vAlign w:val="bottom"/>
            <w:gridSpan w:val="2"/>
          </w:tcPr>
          <w:p>
            <w:pPr>
              <w:jc w:val="center"/>
              <w:ind w:right="1268"/>
              <w:spacing w:after="0"/>
              <w:rPr>
                <w:sz w:val="20"/>
                <w:szCs w:val="20"/>
                <w:color w:val="auto"/>
              </w:rPr>
            </w:pPr>
            <w:r>
              <w:rPr>
                <w:rFonts w:ascii="Times New Roman" w:cs="Times New Roman" w:eastAsia="Times New Roman" w:hAnsi="Times New Roman"/>
                <w:sz w:val="16"/>
                <w:szCs w:val="16"/>
                <w:color w:val="auto"/>
                <w:w w:val="98"/>
              </w:rPr>
              <w:t>(Zip Code)</w:t>
            </w:r>
          </w:p>
        </w:tc>
      </w:tr>
      <w:tr>
        <w:trPr>
          <w:trHeight w:val="316"/>
        </w:trPr>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40" w:type="dxa"/>
            <w:vAlign w:val="bottom"/>
            <w:gridSpan w:val="2"/>
          </w:tcPr>
          <w:p>
            <w:pPr>
              <w:jc w:val="center"/>
              <w:ind w:left="204"/>
              <w:spacing w:after="0"/>
              <w:rPr>
                <w:sz w:val="20"/>
                <w:szCs w:val="20"/>
                <w:color w:val="auto"/>
              </w:rPr>
            </w:pPr>
            <w:r>
              <w:rPr>
                <w:rFonts w:ascii="Times New Roman" w:cs="Times New Roman" w:eastAsia="Times New Roman" w:hAnsi="Times New Roman"/>
                <w:sz w:val="16"/>
                <w:szCs w:val="16"/>
                <w:b w:val="1"/>
                <w:bCs w:val="1"/>
                <w:color w:val="auto"/>
              </w:rPr>
              <w:t>(302) 498-6700</w:t>
            </w: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10"/>
        </w:trPr>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40" w:type="dxa"/>
            <w:vAlign w:val="bottom"/>
            <w:gridSpan w:val="4"/>
          </w:tcPr>
          <w:p>
            <w:pPr>
              <w:jc w:val="center"/>
              <w:ind w:left="87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32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97"/>
        </w:trPr>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40" w:type="dxa"/>
            <w:vAlign w:val="bottom"/>
            <w:gridSpan w:val="4"/>
          </w:tcPr>
          <w:p>
            <w:pPr>
              <w:jc w:val="center"/>
              <w:ind w:left="89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2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63"/>
        </w:trPr>
        <w:tc>
          <w:tcPr>
            <w:tcW w:w="68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00" w:type="dxa"/>
            <w:vAlign w:val="bottom"/>
          </w:tcPr>
          <w:p>
            <w:pPr>
              <w:spacing w:after="0"/>
              <w:rPr>
                <w:sz w:val="22"/>
                <w:szCs w:val="22"/>
                <w:color w:val="auto"/>
              </w:rPr>
            </w:pPr>
          </w:p>
        </w:tc>
        <w:tc>
          <w:tcPr>
            <w:tcW w:w="2840" w:type="dxa"/>
            <w:vAlign w:val="bottom"/>
            <w:gridSpan w:val="3"/>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20" w:type="dxa"/>
            <w:vAlign w:val="bottom"/>
          </w:tcPr>
          <w:p>
            <w:pPr>
              <w:spacing w:after="0"/>
              <w:rPr>
                <w:sz w:val="22"/>
                <w:szCs w:val="22"/>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0"/>
        </w:trPr>
        <w:tc>
          <w:tcPr>
            <w:tcW w:w="6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r>
      <w:tr>
        <w:trPr>
          <w:trHeight w:val="182"/>
        </w:trPr>
        <w:tc>
          <w:tcPr>
            <w:tcW w:w="3760" w:type="dxa"/>
            <w:vAlign w:val="bottom"/>
            <w:gridSpan w:val="3"/>
          </w:tcPr>
          <w:p>
            <w:pPr>
              <w:jc w:val="center"/>
              <w:ind w:right="1259"/>
              <w:spacing w:after="0"/>
              <w:rPr>
                <w:sz w:val="20"/>
                <w:szCs w:val="20"/>
                <w:color w:val="auto"/>
              </w:rPr>
            </w:pPr>
            <w:r>
              <w:rPr>
                <w:rFonts w:ascii="Times New Roman" w:cs="Times New Roman" w:eastAsia="Times New Roman" w:hAnsi="Times New Roman"/>
                <w:sz w:val="14"/>
                <w:szCs w:val="14"/>
                <w:color w:val="auto"/>
              </w:rPr>
              <w:t>Common Stock, $.001 par value per share</w:t>
            </w:r>
          </w:p>
        </w:tc>
        <w:tc>
          <w:tcPr>
            <w:tcW w:w="400" w:type="dxa"/>
            <w:vAlign w:val="bottom"/>
          </w:tcPr>
          <w:p>
            <w:pPr>
              <w:spacing w:after="0"/>
              <w:rPr>
                <w:sz w:val="15"/>
                <w:szCs w:val="15"/>
                <w:color w:val="auto"/>
              </w:rPr>
            </w:pPr>
          </w:p>
        </w:tc>
        <w:tc>
          <w:tcPr>
            <w:tcW w:w="244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color w:val="auto"/>
                <w:w w:val="99"/>
              </w:rPr>
              <w:t>INCY</w:t>
            </w:r>
          </w:p>
        </w:tc>
        <w:tc>
          <w:tcPr>
            <w:tcW w:w="32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81" w:lineRule="exact"/>
        <w:rPr>
          <w:sz w:val="24"/>
          <w:szCs w:val="24"/>
          <w:color w:val="auto"/>
        </w:rPr>
      </w:pPr>
    </w:p>
    <w:p>
      <w:pPr>
        <w:jc w:val="both"/>
        <w:ind w:firstLine="324"/>
        <w:spacing w:after="0" w:line="21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w:t>
      </w:r>
    </w:p>
    <w:p>
      <w:pPr>
        <w:spacing w:after="0" w:line="96" w:lineRule="exact"/>
        <w:rPr>
          <w:sz w:val="24"/>
          <w:szCs w:val="24"/>
          <w:color w:val="auto"/>
        </w:rPr>
      </w:pPr>
    </w:p>
    <w:p>
      <w:pPr>
        <w:jc w:val="both"/>
        <w:ind w:firstLine="324"/>
        <w:spacing w:after="0" w:line="21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w:t>
      </w:r>
    </w:p>
    <w:p>
      <w:pPr>
        <w:spacing w:after="0" w:line="96" w:lineRule="exact"/>
        <w:rPr>
          <w:sz w:val="24"/>
          <w:szCs w:val="24"/>
          <w:color w:val="auto"/>
        </w:rPr>
      </w:pPr>
    </w:p>
    <w:p>
      <w:pPr>
        <w:jc w:val="both"/>
        <w:ind w:firstLine="324"/>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661" w:right="839" w:bottom="1440" w:gutter="0" w:footer="0" w:header="0"/>
        </w:sectPr>
      </w:pPr>
    </w:p>
    <w:p>
      <w:pPr>
        <w:spacing w:after="0" w:line="70" w:lineRule="exact"/>
        <w:rPr>
          <w:sz w:val="24"/>
          <w:szCs w:val="24"/>
          <w:color w:val="auto"/>
        </w:rPr>
      </w:pPr>
    </w:p>
    <w:p>
      <w:pPr>
        <w:ind w:left="1680"/>
        <w:spacing w:after="0" w:line="215"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215"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Arial Unicode MS" w:cs="Arial Unicode MS" w:eastAsia="Arial Unicode MS" w:hAnsi="Arial Unicode MS"/>
          <w:sz w:val="16"/>
          <w:szCs w:val="16"/>
          <w:color w:val="auto"/>
        </w:rPr>
        <w:t>☐</w:t>
      </w:r>
    </w:p>
    <w:p>
      <w:pPr>
        <w:spacing w:after="0" w:line="200" w:lineRule="exact"/>
        <w:rPr>
          <w:sz w:val="24"/>
          <w:szCs w:val="24"/>
          <w:color w:val="auto"/>
        </w:rPr>
      </w:pPr>
    </w:p>
    <w:p>
      <w:pPr>
        <w:sectPr>
          <w:pgSz w:w="11900" w:h="16838" w:orient="portrait"/>
          <w:cols w:equalWidth="0" w:num="2">
            <w:col w:w="6360" w:space="720"/>
            <w:col w:w="3140"/>
          </w:cols>
          <w:pgMar w:left="840" w:top="661" w:right="839" w:bottom="1440" w:gutter="0" w:footer="0" w:header="0"/>
          <w:type w:val="continuous"/>
        </w:sectPr>
      </w:pPr>
    </w:p>
    <w:p>
      <w:pPr>
        <w:spacing w:after="0" w:line="17"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195" w:lineRule="exact"/>
        <w:rPr>
          <w:sz w:val="24"/>
          <w:szCs w:val="24"/>
          <w:color w:val="auto"/>
        </w:rPr>
      </w:pPr>
    </w:p>
    <w:p>
      <w:pPr>
        <w:sectPr>
          <w:pgSz w:w="11900" w:h="16838" w:orient="portrait"/>
          <w:cols w:equalWidth="0" w:num="2">
            <w:col w:w="6000" w:space="720"/>
            <w:col w:w="3500"/>
          </w:cols>
          <w:pgMar w:left="840" w:top="661" w:right="839" w:bottom="1440" w:gutter="0" w:footer="0" w:header="0"/>
          <w:type w:val="continuous"/>
        </w:sectPr>
      </w:pPr>
    </w:p>
    <w:p>
      <w:pPr>
        <w:ind w:left="6740"/>
        <w:spacing w:after="0" w:line="215"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Arial Unicode MS" w:cs="Arial Unicode MS" w:eastAsia="Arial Unicode MS" w:hAnsi="Arial Unicode MS"/>
          <w:sz w:val="16"/>
          <w:szCs w:val="16"/>
          <w:color w:val="auto"/>
        </w:rPr>
        <w:t>☐</w:t>
      </w:r>
    </w:p>
    <w:p>
      <w:pPr>
        <w:sectPr>
          <w:pgSz w:w="11900" w:h="16838" w:orient="portrait"/>
          <w:cols w:equalWidth="0" w:num="1">
            <w:col w:w="10220"/>
          </w:cols>
          <w:pgMar w:left="840" w:top="661" w:right="839" w:bottom="1440" w:gutter="0" w:footer="0" w:header="0"/>
          <w:type w:val="continuous"/>
        </w:sectPr>
      </w:pPr>
    </w:p>
    <w:p>
      <w:pPr>
        <w:spacing w:after="0" w:line="149" w:lineRule="exact"/>
        <w:rPr>
          <w:sz w:val="24"/>
          <w:szCs w:val="24"/>
          <w:color w:val="auto"/>
        </w:rPr>
      </w:pPr>
    </w:p>
    <w:p>
      <w:pPr>
        <w:ind w:right="260" w:firstLine="324"/>
        <w:spacing w:after="0" w:line="21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71" w:lineRule="exact"/>
        <w:rPr>
          <w:sz w:val="24"/>
          <w:szCs w:val="24"/>
          <w:color w:val="auto"/>
        </w:rPr>
      </w:pPr>
    </w:p>
    <w:p>
      <w:pPr>
        <w:ind w:left="320" w:right="1580"/>
        <w:spacing w:after="0" w:line="28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The number of outstanding shares of the registrant’s Common Stock, $.001 par value, was 218,996,090 as of October 29,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664210</wp:posOffset>
            </wp:positionV>
            <wp:extent cx="649795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132715</wp:posOffset>
            </wp:positionV>
            <wp:extent cx="6497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175895</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type w:val="continuous"/>
        </w:sectPr>
      </w:pPr>
    </w:p>
    <w:bookmarkStart w:id="1" w:name="page2"/>
    <w:bookmarkEnd w:id="1"/>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7260" w:type="dxa"/>
            <w:vAlign w:val="bottom"/>
          </w:tcPr>
          <w:p>
            <w:pPr>
              <w:ind w:left="2720"/>
              <w:spacing w:after="0"/>
              <w:rPr>
                <w:sz w:val="20"/>
                <w:szCs w:val="20"/>
                <w:color w:val="auto"/>
              </w:rPr>
            </w:pPr>
            <w:r>
              <w:rPr>
                <w:rFonts w:ascii="Times New Roman" w:cs="Times New Roman" w:eastAsia="Times New Roman" w:hAnsi="Times New Roman"/>
                <w:sz w:val="18"/>
                <w:szCs w:val="18"/>
                <w:b w:val="1"/>
                <w:bCs w:val="1"/>
                <w:color w:val="auto"/>
              </w:rPr>
              <w:t>INCYTE CORPORATION</w:t>
            </w:r>
          </w:p>
        </w:tc>
        <w:tc>
          <w:tcPr>
            <w:tcW w:w="960" w:type="dxa"/>
            <w:vAlign w:val="bottom"/>
          </w:tcPr>
          <w:p>
            <w:pPr>
              <w:spacing w:after="0"/>
              <w:rPr>
                <w:sz w:val="20"/>
                <w:szCs w:val="20"/>
                <w:color w:val="auto"/>
              </w:rPr>
            </w:pPr>
          </w:p>
        </w:tc>
      </w:tr>
      <w:tr>
        <w:trPr>
          <w:trHeight w:val="351"/>
        </w:trPr>
        <w:tc>
          <w:tcPr>
            <w:tcW w:w="700" w:type="dxa"/>
            <w:vAlign w:val="bottom"/>
          </w:tcPr>
          <w:p>
            <w:pPr>
              <w:spacing w:after="0"/>
              <w:rPr>
                <w:sz w:val="24"/>
                <w:szCs w:val="24"/>
                <w:color w:val="auto"/>
              </w:rPr>
            </w:pPr>
          </w:p>
        </w:tc>
        <w:tc>
          <w:tcPr>
            <w:tcW w:w="7260" w:type="dxa"/>
            <w:vAlign w:val="bottom"/>
          </w:tcPr>
          <w:p>
            <w:pPr>
              <w:ind w:left="348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960" w:type="dxa"/>
            <w:vAlign w:val="bottom"/>
          </w:tcPr>
          <w:p>
            <w:pPr>
              <w:spacing w:after="0"/>
              <w:rPr>
                <w:sz w:val="24"/>
                <w:szCs w:val="24"/>
                <w:color w:val="auto"/>
              </w:rPr>
            </w:pPr>
          </w:p>
        </w:tc>
      </w:tr>
      <w:tr>
        <w:trPr>
          <w:trHeight w:val="378"/>
        </w:trPr>
        <w:tc>
          <w:tcPr>
            <w:tcW w:w="7960" w:type="dxa"/>
            <w:vAlign w:val="bottom"/>
            <w:gridSpan w:val="2"/>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u w:val="single" w:color="auto"/>
                  <w:color w:val="0000EE"/>
                </w:rPr>
                <w:t>PART I</w:t>
              </w:r>
            </w:hyperlink>
            <w:r>
              <w:rPr>
                <w:rFonts w:ascii="Times New Roman" w:cs="Times New Roman" w:eastAsia="Times New Roman" w:hAnsi="Times New Roman"/>
                <w:sz w:val="18"/>
                <w:szCs w:val="18"/>
                <w:b w:val="1"/>
                <w:bCs w:val="1"/>
                <w:color w:val="000000"/>
              </w:rPr>
              <w:t>:</w:t>
            </w:r>
            <w:r>
              <w:rPr>
                <w:rFonts w:ascii="Times New Roman" w:cs="Times New Roman" w:eastAsia="Times New Roman" w:hAnsi="Times New Roman"/>
                <w:sz w:val="18"/>
                <w:szCs w:val="18"/>
                <w:b w:val="1"/>
                <w:bCs w:val="1"/>
                <w:color w:val="0000EE"/>
              </w:rPr>
              <w:t xml:space="preserve"> </w:t>
            </w:r>
            <w:hyperlink w:anchor="page3">
              <w:r>
                <w:rPr>
                  <w:rFonts w:ascii="Times New Roman" w:cs="Times New Roman" w:eastAsia="Times New Roman" w:hAnsi="Times New Roman"/>
                  <w:sz w:val="18"/>
                  <w:szCs w:val="18"/>
                  <w:b w:val="1"/>
                  <w:bCs w:val="1"/>
                  <w:u w:val="single" w:color="auto"/>
                  <w:color w:val="0000EE"/>
                </w:rPr>
                <w:t>FINANCIAL INFORMATION</w:t>
              </w:r>
            </w:hyperlink>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32"/>
        </w:trPr>
        <w:tc>
          <w:tcPr>
            <w:tcW w:w="70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Item 1.</w:t>
              </w:r>
            </w:hyperlink>
          </w:p>
        </w:tc>
        <w:tc>
          <w:tcPr>
            <w:tcW w:w="7260" w:type="dxa"/>
            <w:vAlign w:val="bottom"/>
          </w:tcPr>
          <w:p>
            <w:pPr>
              <w:ind w:left="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Financial Statements</w:t>
              </w:r>
            </w:hyperlink>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32"/>
        </w:trPr>
        <w:tc>
          <w:tcPr>
            <w:tcW w:w="700" w:type="dxa"/>
            <w:vAlign w:val="bottom"/>
          </w:tcPr>
          <w:p>
            <w:pPr>
              <w:spacing w:after="0"/>
              <w:rPr>
                <w:sz w:val="24"/>
                <w:szCs w:val="24"/>
                <w:color w:val="auto"/>
              </w:rPr>
            </w:pPr>
          </w:p>
        </w:tc>
        <w:tc>
          <w:tcPr>
            <w:tcW w:w="7260" w:type="dxa"/>
            <w:vAlign w:val="bottom"/>
          </w:tcPr>
          <w:p>
            <w:pPr>
              <w:ind w:left="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Condensed Consolidated Balance Sheets</w:t>
              </w:r>
            </w:hyperlink>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32"/>
        </w:trPr>
        <w:tc>
          <w:tcPr>
            <w:tcW w:w="700" w:type="dxa"/>
            <w:vAlign w:val="bottom"/>
          </w:tcPr>
          <w:p>
            <w:pPr>
              <w:spacing w:after="0"/>
              <w:rPr>
                <w:sz w:val="24"/>
                <w:szCs w:val="24"/>
                <w:color w:val="auto"/>
              </w:rPr>
            </w:pPr>
          </w:p>
        </w:tc>
        <w:tc>
          <w:tcPr>
            <w:tcW w:w="7260" w:type="dxa"/>
            <w:vAlign w:val="bottom"/>
          </w:tcPr>
          <w:p>
            <w:pPr>
              <w:ind w:left="4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Condensed Consolidated Statements of Operations</w:t>
              </w:r>
            </w:hyperlink>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32"/>
        </w:trPr>
        <w:tc>
          <w:tcPr>
            <w:tcW w:w="700" w:type="dxa"/>
            <w:vAlign w:val="bottom"/>
          </w:tcPr>
          <w:p>
            <w:pPr>
              <w:spacing w:after="0"/>
              <w:rPr>
                <w:sz w:val="24"/>
                <w:szCs w:val="24"/>
                <w:color w:val="auto"/>
              </w:rPr>
            </w:pPr>
          </w:p>
        </w:tc>
        <w:tc>
          <w:tcPr>
            <w:tcW w:w="7260" w:type="dxa"/>
            <w:vAlign w:val="bottom"/>
          </w:tcPr>
          <w:p>
            <w:pPr>
              <w:ind w:left="4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Condensed Consolidated Statements of Comprehensive Income (Loss)</w:t>
              </w:r>
            </w:hyperlink>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32"/>
        </w:trPr>
        <w:tc>
          <w:tcPr>
            <w:tcW w:w="700" w:type="dxa"/>
            <w:vAlign w:val="bottom"/>
          </w:tcPr>
          <w:p>
            <w:pPr>
              <w:spacing w:after="0"/>
              <w:rPr>
                <w:sz w:val="24"/>
                <w:szCs w:val="24"/>
                <w:color w:val="auto"/>
              </w:rPr>
            </w:pPr>
          </w:p>
        </w:tc>
        <w:tc>
          <w:tcPr>
            <w:tcW w:w="7260" w:type="dxa"/>
            <w:vAlign w:val="bottom"/>
          </w:tcPr>
          <w:p>
            <w:pPr>
              <w:ind w:left="40"/>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Condensed Consolidated Statements of Stockholders’ Equity</w:t>
              </w:r>
            </w:hyperlink>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700" w:type="dxa"/>
            <w:vAlign w:val="bottom"/>
          </w:tcPr>
          <w:p>
            <w:pPr>
              <w:spacing w:after="0"/>
              <w:rPr>
                <w:sz w:val="24"/>
                <w:szCs w:val="24"/>
                <w:color w:val="auto"/>
              </w:rPr>
            </w:pPr>
          </w:p>
        </w:tc>
        <w:tc>
          <w:tcPr>
            <w:tcW w:w="7260" w:type="dxa"/>
            <w:vAlign w:val="bottom"/>
          </w:tcPr>
          <w:p>
            <w:pPr>
              <w:ind w:left="4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Condensed Consolidated Statements of Cash Flows</w:t>
              </w:r>
            </w:hyperlink>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32"/>
        </w:trPr>
        <w:tc>
          <w:tcPr>
            <w:tcW w:w="700" w:type="dxa"/>
            <w:vAlign w:val="bottom"/>
          </w:tcPr>
          <w:p>
            <w:pPr>
              <w:spacing w:after="0"/>
              <w:rPr>
                <w:sz w:val="24"/>
                <w:szCs w:val="24"/>
                <w:color w:val="auto"/>
              </w:rPr>
            </w:pPr>
          </w:p>
        </w:tc>
        <w:tc>
          <w:tcPr>
            <w:tcW w:w="7260" w:type="dxa"/>
            <w:vAlign w:val="bottom"/>
          </w:tcPr>
          <w:p>
            <w:pPr>
              <w:ind w:left="40"/>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Notes to Condensed Consolidated Financial Statements</w:t>
              </w:r>
            </w:hyperlink>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32"/>
        </w:trPr>
        <w:tc>
          <w:tcPr>
            <w:tcW w:w="70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41">
              <w:r>
                <w:rPr>
                  <w:rFonts w:ascii="Times New Roman" w:cs="Times New Roman" w:eastAsia="Times New Roman" w:hAnsi="Times New Roman"/>
                  <w:sz w:val="18"/>
                  <w:szCs w:val="18"/>
                  <w:b w:val="1"/>
                  <w:bCs w:val="1"/>
                  <w:u w:val="single" w:color="auto"/>
                  <w:color w:val="0000EE"/>
                </w:rPr>
                <w:t>Item 2.</w:t>
              </w:r>
            </w:hyperlink>
          </w:p>
        </w:tc>
        <w:tc>
          <w:tcPr>
            <w:tcW w:w="7260" w:type="dxa"/>
            <w:vAlign w:val="bottom"/>
          </w:tcPr>
          <w:p>
            <w:pPr>
              <w:ind w:left="40"/>
              <w:spacing w:after="0"/>
              <w:rPr>
                <w:rFonts w:ascii="Times New Roman" w:cs="Times New Roman" w:eastAsia="Times New Roman" w:hAnsi="Times New Roman"/>
                <w:sz w:val="18"/>
                <w:szCs w:val="18"/>
                <w:u w:val="single" w:color="auto"/>
                <w:color w:val="0000EE"/>
              </w:rPr>
            </w:pPr>
            <w:hyperlink w:anchor="page41">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432"/>
        </w:trPr>
        <w:tc>
          <w:tcPr>
            <w:tcW w:w="70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71">
              <w:r>
                <w:rPr>
                  <w:rFonts w:ascii="Times New Roman" w:cs="Times New Roman" w:eastAsia="Times New Roman" w:hAnsi="Times New Roman"/>
                  <w:sz w:val="18"/>
                  <w:szCs w:val="18"/>
                  <w:b w:val="1"/>
                  <w:bCs w:val="1"/>
                  <w:u w:val="single" w:color="auto"/>
                  <w:color w:val="0000EE"/>
                </w:rPr>
                <w:t>Item 3.</w:t>
              </w:r>
            </w:hyperlink>
          </w:p>
        </w:tc>
        <w:tc>
          <w:tcPr>
            <w:tcW w:w="7260" w:type="dxa"/>
            <w:vAlign w:val="bottom"/>
          </w:tcPr>
          <w:p>
            <w:pPr>
              <w:ind w:left="40"/>
              <w:spacing w:after="0"/>
              <w:rPr>
                <w:rFonts w:ascii="Times New Roman" w:cs="Times New Roman" w:eastAsia="Times New Roman" w:hAnsi="Times New Roman"/>
                <w:sz w:val="18"/>
                <w:szCs w:val="18"/>
                <w:u w:val="single" w:color="auto"/>
                <w:color w:val="0000EE"/>
              </w:rPr>
            </w:pPr>
            <w:hyperlink w:anchor="page71">
              <w:r>
                <w:rPr>
                  <w:rFonts w:ascii="Times New Roman" w:cs="Times New Roman" w:eastAsia="Times New Roman" w:hAnsi="Times New Roman"/>
                  <w:sz w:val="18"/>
                  <w:szCs w:val="18"/>
                  <w:u w:val="single" w:color="auto"/>
                  <w:color w:val="0000EE"/>
                </w:rPr>
                <w:t>Quantitative and Qualitative Disclosures about Market Risk</w:t>
              </w:r>
            </w:hyperlink>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432"/>
        </w:trPr>
        <w:tc>
          <w:tcPr>
            <w:tcW w:w="70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72">
              <w:r>
                <w:rPr>
                  <w:rFonts w:ascii="Times New Roman" w:cs="Times New Roman" w:eastAsia="Times New Roman" w:hAnsi="Times New Roman"/>
                  <w:sz w:val="18"/>
                  <w:szCs w:val="18"/>
                  <w:b w:val="1"/>
                  <w:bCs w:val="1"/>
                  <w:u w:val="single" w:color="auto"/>
                  <w:color w:val="0000EE"/>
                </w:rPr>
                <w:t>Item 4.</w:t>
              </w:r>
            </w:hyperlink>
          </w:p>
        </w:tc>
        <w:tc>
          <w:tcPr>
            <w:tcW w:w="7260" w:type="dxa"/>
            <w:vAlign w:val="bottom"/>
          </w:tcPr>
          <w:p>
            <w:pPr>
              <w:ind w:left="40"/>
              <w:spacing w:after="0"/>
              <w:rPr>
                <w:rFonts w:ascii="Times New Roman" w:cs="Times New Roman" w:eastAsia="Times New Roman" w:hAnsi="Times New Roman"/>
                <w:sz w:val="18"/>
                <w:szCs w:val="18"/>
                <w:u w:val="single" w:color="auto"/>
                <w:color w:val="0000EE"/>
              </w:rPr>
            </w:pPr>
            <w:hyperlink w:anchor="page72">
              <w:r>
                <w:rPr>
                  <w:rFonts w:ascii="Times New Roman" w:cs="Times New Roman" w:eastAsia="Times New Roman" w:hAnsi="Times New Roman"/>
                  <w:sz w:val="18"/>
                  <w:szCs w:val="18"/>
                  <w:u w:val="single" w:color="auto"/>
                  <w:color w:val="0000EE"/>
                </w:rPr>
                <w:t>Controls and Procedures</w:t>
              </w:r>
            </w:hyperlink>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432"/>
        </w:trPr>
        <w:tc>
          <w:tcPr>
            <w:tcW w:w="7960" w:type="dxa"/>
            <w:vAlign w:val="bottom"/>
            <w:gridSpan w:val="2"/>
          </w:tcPr>
          <w:p>
            <w:pPr>
              <w:spacing w:after="0"/>
              <w:rPr>
                <w:rFonts w:ascii="Times New Roman" w:cs="Times New Roman" w:eastAsia="Times New Roman" w:hAnsi="Times New Roman"/>
                <w:sz w:val="18"/>
                <w:szCs w:val="18"/>
                <w:b w:val="1"/>
                <w:bCs w:val="1"/>
                <w:color w:val="0000EE"/>
              </w:rPr>
            </w:pPr>
            <w:hyperlink w:anchor="page72">
              <w:r>
                <w:rPr>
                  <w:rFonts w:ascii="Times New Roman" w:cs="Times New Roman" w:eastAsia="Times New Roman" w:hAnsi="Times New Roman"/>
                  <w:sz w:val="18"/>
                  <w:szCs w:val="18"/>
                  <w:b w:val="1"/>
                  <w:bCs w:val="1"/>
                  <w:u w:val="single" w:color="auto"/>
                  <w:color w:val="0000EE"/>
                </w:rPr>
                <w:t>PART II</w:t>
              </w:r>
            </w:hyperlink>
            <w:r>
              <w:rPr>
                <w:rFonts w:ascii="Times New Roman" w:cs="Times New Roman" w:eastAsia="Times New Roman" w:hAnsi="Times New Roman"/>
                <w:sz w:val="18"/>
                <w:szCs w:val="18"/>
                <w:b w:val="1"/>
                <w:bCs w:val="1"/>
                <w:color w:val="000000"/>
              </w:rPr>
              <w:t>:</w:t>
            </w:r>
            <w:r>
              <w:rPr>
                <w:rFonts w:ascii="Times New Roman" w:cs="Times New Roman" w:eastAsia="Times New Roman" w:hAnsi="Times New Roman"/>
                <w:sz w:val="18"/>
                <w:szCs w:val="18"/>
                <w:b w:val="1"/>
                <w:bCs w:val="1"/>
                <w:color w:val="0000EE"/>
              </w:rPr>
              <w:t xml:space="preserve"> </w:t>
            </w:r>
            <w:hyperlink w:anchor="page72">
              <w:r>
                <w:rPr>
                  <w:rFonts w:ascii="Times New Roman" w:cs="Times New Roman" w:eastAsia="Times New Roman" w:hAnsi="Times New Roman"/>
                  <w:sz w:val="18"/>
                  <w:szCs w:val="18"/>
                  <w:b w:val="1"/>
                  <w:bCs w:val="1"/>
                  <w:u w:val="single" w:color="auto"/>
                  <w:color w:val="0000EE"/>
                </w:rPr>
                <w:t>OTHER INFORMATION</w:t>
              </w:r>
            </w:hyperlink>
          </w:p>
        </w:tc>
        <w:tc>
          <w:tcPr>
            <w:tcW w:w="960" w:type="dxa"/>
            <w:vAlign w:val="bottom"/>
          </w:tcPr>
          <w:p>
            <w:pPr>
              <w:spacing w:after="0"/>
              <w:rPr>
                <w:sz w:val="24"/>
                <w:szCs w:val="24"/>
                <w:color w:val="auto"/>
              </w:rPr>
            </w:pPr>
          </w:p>
        </w:tc>
      </w:tr>
      <w:tr>
        <w:trPr>
          <w:trHeight w:val="432"/>
        </w:trPr>
        <w:tc>
          <w:tcPr>
            <w:tcW w:w="70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72">
              <w:r>
                <w:rPr>
                  <w:rFonts w:ascii="Times New Roman" w:cs="Times New Roman" w:eastAsia="Times New Roman" w:hAnsi="Times New Roman"/>
                  <w:sz w:val="18"/>
                  <w:szCs w:val="18"/>
                  <w:b w:val="1"/>
                  <w:bCs w:val="1"/>
                  <w:u w:val="single" w:color="auto"/>
                  <w:color w:val="0000EE"/>
                </w:rPr>
                <w:t>Item 1A.</w:t>
              </w:r>
            </w:hyperlink>
          </w:p>
        </w:tc>
        <w:tc>
          <w:tcPr>
            <w:tcW w:w="7260" w:type="dxa"/>
            <w:vAlign w:val="bottom"/>
          </w:tcPr>
          <w:p>
            <w:pPr>
              <w:ind w:left="40"/>
              <w:spacing w:after="0"/>
              <w:rPr>
                <w:rFonts w:ascii="Times New Roman" w:cs="Times New Roman" w:eastAsia="Times New Roman" w:hAnsi="Times New Roman"/>
                <w:sz w:val="18"/>
                <w:szCs w:val="18"/>
                <w:u w:val="single" w:color="auto"/>
                <w:color w:val="0000EE"/>
              </w:rPr>
            </w:pPr>
            <w:hyperlink w:anchor="page72">
              <w:r>
                <w:rPr>
                  <w:rFonts w:ascii="Times New Roman" w:cs="Times New Roman" w:eastAsia="Times New Roman" w:hAnsi="Times New Roman"/>
                  <w:sz w:val="18"/>
                  <w:szCs w:val="18"/>
                  <w:u w:val="single" w:color="auto"/>
                  <w:color w:val="0000EE"/>
                </w:rPr>
                <w:t>Risk Factors</w:t>
              </w:r>
            </w:hyperlink>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432"/>
        </w:trPr>
        <w:tc>
          <w:tcPr>
            <w:tcW w:w="70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98">
              <w:r>
                <w:rPr>
                  <w:rFonts w:ascii="Times New Roman" w:cs="Times New Roman" w:eastAsia="Times New Roman" w:hAnsi="Times New Roman"/>
                  <w:sz w:val="18"/>
                  <w:szCs w:val="18"/>
                  <w:b w:val="1"/>
                  <w:bCs w:val="1"/>
                  <w:u w:val="single" w:color="auto"/>
                  <w:color w:val="0000EE"/>
                </w:rPr>
                <w:t>Item 6.</w:t>
              </w:r>
            </w:hyperlink>
          </w:p>
        </w:tc>
        <w:tc>
          <w:tcPr>
            <w:tcW w:w="7260" w:type="dxa"/>
            <w:vAlign w:val="bottom"/>
          </w:tcPr>
          <w:p>
            <w:pPr>
              <w:ind w:left="40"/>
              <w:spacing w:after="0"/>
              <w:rPr>
                <w:rFonts w:ascii="Times New Roman" w:cs="Times New Roman" w:eastAsia="Times New Roman" w:hAnsi="Times New Roman"/>
                <w:sz w:val="18"/>
                <w:szCs w:val="18"/>
                <w:u w:val="single" w:color="auto"/>
                <w:color w:val="0000EE"/>
              </w:rPr>
            </w:pPr>
            <w:hyperlink w:anchor="page98">
              <w:r>
                <w:rPr>
                  <w:rFonts w:ascii="Times New Roman" w:cs="Times New Roman" w:eastAsia="Times New Roman" w:hAnsi="Times New Roman"/>
                  <w:sz w:val="18"/>
                  <w:szCs w:val="18"/>
                  <w:u w:val="single" w:color="auto"/>
                  <w:color w:val="0000EE"/>
                </w:rPr>
                <w:t>Exhibits</w:t>
              </w:r>
            </w:hyperlink>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432"/>
        </w:trPr>
        <w:tc>
          <w:tcPr>
            <w:tcW w:w="700" w:type="dxa"/>
            <w:vAlign w:val="bottom"/>
          </w:tcPr>
          <w:p>
            <w:pPr>
              <w:spacing w:after="0"/>
              <w:rPr>
                <w:sz w:val="24"/>
                <w:szCs w:val="24"/>
                <w:color w:val="auto"/>
              </w:rPr>
            </w:pPr>
          </w:p>
        </w:tc>
        <w:tc>
          <w:tcPr>
            <w:tcW w:w="7260" w:type="dxa"/>
            <w:vAlign w:val="bottom"/>
          </w:tcPr>
          <w:p>
            <w:pPr>
              <w:ind w:left="40"/>
              <w:spacing w:after="0"/>
              <w:rPr>
                <w:rFonts w:ascii="Times New Roman" w:cs="Times New Roman" w:eastAsia="Times New Roman" w:hAnsi="Times New Roman"/>
                <w:sz w:val="18"/>
                <w:szCs w:val="18"/>
                <w:u w:val="single" w:color="auto"/>
                <w:color w:val="0000EE"/>
              </w:rPr>
            </w:pPr>
            <w:hyperlink w:anchor="page99">
              <w:r>
                <w:rPr>
                  <w:rFonts w:ascii="Times New Roman" w:cs="Times New Roman" w:eastAsia="Times New Roman" w:hAnsi="Times New Roman"/>
                  <w:sz w:val="18"/>
                  <w:szCs w:val="18"/>
                  <w:u w:val="single" w:color="auto"/>
                  <w:color w:val="0000EE"/>
                </w:rPr>
                <w:t>Signatures</w:t>
              </w:r>
            </w:hyperlink>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20" w:type="dxa"/>
            <w:vAlign w:val="bottom"/>
          </w:tcPr>
          <w:p>
            <w:pPr>
              <w:jc w:val="center"/>
              <w:ind w:left="17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INCYTE CORPORATION</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20" w:type="dxa"/>
            <w:vAlign w:val="bottom"/>
            <w:gridSpan w:val="4"/>
          </w:tcPr>
          <w:p>
            <w:pPr>
              <w:jc w:val="center"/>
              <w:ind w:left="570"/>
              <w:spacing w:after="0" w:line="180" w:lineRule="exact"/>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6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(in thousands, except number of shares and par value)</w:t>
            </w: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56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5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1,497,775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1,832,684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00" w:type="dxa"/>
            <w:vAlign w:val="bottom"/>
            <w:gridSpan w:val="2"/>
          </w:tcPr>
          <w:p>
            <w:pPr>
              <w:ind w:left="200"/>
              <w:spacing w:after="0" w:line="198" w:lineRule="exact"/>
              <w:rPr>
                <w:sz w:val="20"/>
                <w:szCs w:val="20"/>
                <w:color w:val="auto"/>
              </w:rPr>
            </w:pPr>
            <w:r>
              <w:rPr>
                <w:rFonts w:ascii="Times New Roman" w:cs="Times New Roman" w:eastAsia="Times New Roman" w:hAnsi="Times New Roman"/>
                <w:sz w:val="18"/>
                <w:szCs w:val="18"/>
                <w:color w:val="auto"/>
              </w:rPr>
              <w:t>Marketable securities—available-for-sale (amortized cost $236,902; allowance for</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credit losses $0)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237,025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284,870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356,182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51,431</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2,159,425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2,481,488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 and investments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investments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w w:val="94"/>
              </w:rPr>
              <w:t>Inventory</w:t>
            </w:r>
          </w:p>
        </w:tc>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498,335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 right-of-use assets,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177,675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w w:val="96"/>
              </w:rPr>
              <w:t>Goodwill</w:t>
            </w:r>
          </w:p>
        </w:tc>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155,593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53,109</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0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3,307,430</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3,426,750</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122,512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compensation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96,391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payable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334,315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39,050</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34,044</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606,202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44,597</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0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916,597</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828,344</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00" w:type="dxa"/>
            <w:vAlign w:val="bottom"/>
            <w:gridSpan w:val="2"/>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5,000,000 shares authorized; none issued or</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outstanding as of September 30, 2020 and December 31, 2019</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00" w:type="dxa"/>
            <w:vAlign w:val="bottom"/>
            <w:gridSpan w:val="2"/>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$0.001 par value; 400,000,000 shares authorized; 218,903,097 and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216,177,830 shares issued and outstanding as of September 30, 2020 and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December 31, 2019, respectively</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4,276,667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4,044,490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(1,876,305)</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(1,430,758)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0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2,390,833</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2,598,406</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3,307,430</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3,426,750</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left="260" w:hanging="210"/>
        <w:spacing w:after="0"/>
        <w:tabs>
          <w:tab w:leader="none" w:pos="2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condensed consolidated balance sheet at December 31, 2019 has been derived from the audited financial statements at that date.</w:t>
      </w:r>
    </w:p>
    <w:p>
      <w:pPr>
        <w:spacing w:after="0" w:line="23" w:lineRule="exact"/>
        <w:rPr>
          <w:rFonts w:ascii="Times New Roman" w:cs="Times New Roman" w:eastAsia="Times New Roman" w:hAnsi="Times New Roman"/>
          <w:sz w:val="16"/>
          <w:szCs w:val="16"/>
          <w:color w:val="auto"/>
        </w:rPr>
      </w:pPr>
    </w:p>
    <w:p>
      <w:pPr>
        <w:ind w:left="36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accompanying notes</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jc w:val="center"/>
        <w:ind w:right="19"/>
        <w:spacing w:after="0" w:line="203" w:lineRule="auto"/>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amounts)</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47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1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revenues, net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522,252</w:t>
            </w:r>
          </w:p>
        </w:tc>
        <w:tc>
          <w:tcPr>
            <w:tcW w:w="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453,998</w:t>
            </w:r>
          </w:p>
        </w:tc>
        <w:tc>
          <w:tcPr>
            <w:tcW w:w="8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1,509,269</w:t>
            </w:r>
          </w:p>
        </w:tc>
        <w:tc>
          <w:tcPr>
            <w:tcW w:w="8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1,284,144</w:t>
            </w: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Product royalty revenues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98,391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80,083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272,924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217,726</w:t>
            </w: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Milestone and contract revenues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77,500</w:t>
            </w:r>
          </w:p>
        </w:tc>
        <w:tc>
          <w:tcPr>
            <w:tcW w:w="60" w:type="dxa"/>
            <w:vAlign w:val="bottom"/>
          </w:tcPr>
          <w:p>
            <w:pPr>
              <w:spacing w:after="0"/>
              <w:rPr>
                <w:sz w:val="18"/>
                <w:szCs w:val="18"/>
                <w:color w:val="auto"/>
              </w:rPr>
            </w:pPr>
          </w:p>
        </w:tc>
      </w:tr>
      <w:tr>
        <w:trPr>
          <w:trHeight w:val="210"/>
        </w:trPr>
        <w:tc>
          <w:tcPr>
            <w:tcW w:w="47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7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620,643</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551,581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1,877,193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1,579,370</w:t>
            </w:r>
          </w:p>
        </w:tc>
        <w:tc>
          <w:tcPr>
            <w:tcW w:w="60" w:type="dxa"/>
            <w:vAlign w:val="bottom"/>
            <w:tcBorders>
              <w:bottom w:val="single" w:sz="8" w:color="CCEEFF"/>
            </w:tcBorders>
          </w:tcPr>
          <w:p>
            <w:pPr>
              <w:spacing w:after="0"/>
              <w:rPr>
                <w:sz w:val="18"/>
                <w:szCs w:val="18"/>
                <w:color w:val="auto"/>
              </w:rPr>
            </w:pPr>
          </w:p>
        </w:tc>
      </w:tr>
      <w:tr>
        <w:trPr>
          <w:trHeight w:val="209"/>
        </w:trPr>
        <w:tc>
          <w:tcPr>
            <w:tcW w:w="4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47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Cost of product revenues (including definite-lived intangible</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34,322</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30,040</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95,005</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82,034</w:t>
            </w:r>
          </w:p>
        </w:tc>
        <w:tc>
          <w:tcPr>
            <w:tcW w:w="60" w:type="dxa"/>
            <w:vAlign w:val="bottom"/>
            <w:shd w:val="clear" w:color="auto" w:fill="CCEEFF"/>
          </w:tcPr>
          <w:p>
            <w:pPr>
              <w:spacing w:after="0"/>
              <w:rPr>
                <w:sz w:val="20"/>
                <w:szCs w:val="20"/>
                <w:color w:val="auto"/>
              </w:rPr>
            </w:pPr>
          </w:p>
        </w:tc>
      </w:tr>
      <w:tr>
        <w:trPr>
          <w:trHeight w:val="216"/>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438,109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281,336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1,809,997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841,244</w:t>
            </w: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120,788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102,608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349,934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332,534</w:t>
            </w:r>
          </w:p>
        </w:tc>
        <w:tc>
          <w:tcPr>
            <w:tcW w:w="60" w:type="dxa"/>
            <w:vAlign w:val="bottom"/>
            <w:shd w:val="clear" w:color="auto" w:fill="CCEEFF"/>
          </w:tcPr>
          <w:p>
            <w:pPr>
              <w:spacing w:after="0"/>
              <w:rPr>
                <w:sz w:val="18"/>
                <w:szCs w:val="18"/>
                <w:color w:val="auto"/>
              </w:rPr>
            </w:pPr>
          </w:p>
        </w:tc>
      </w:tr>
      <w:tr>
        <w:trPr>
          <w:trHeight w:val="198"/>
        </w:trPr>
        <w:tc>
          <w:tcPr>
            <w:tcW w:w="47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Change in fair value of acquisition-related contingent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consideration</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7,109</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16,560</w:t>
            </w:r>
          </w:p>
        </w:tc>
        <w:tc>
          <w:tcPr>
            <w:tcW w:w="60" w:type="dxa"/>
            <w:vAlign w:val="bottom"/>
          </w:tcPr>
          <w:p>
            <w:pPr>
              <w:spacing w:after="0"/>
              <w:rPr>
                <w:sz w:val="20"/>
                <w:szCs w:val="20"/>
                <w:color w:val="auto"/>
              </w:rPr>
            </w:pPr>
          </w:p>
        </w:tc>
      </w:tr>
      <w:tr>
        <w:trPr>
          <w:trHeight w:val="21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Collaboration loss sharing</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615,317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417,265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2,305,098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1,272,372</w:t>
            </w:r>
          </w:p>
        </w:tc>
        <w:tc>
          <w:tcPr>
            <w:tcW w:w="60" w:type="dxa"/>
            <w:vAlign w:val="bottom"/>
            <w:shd w:val="clear" w:color="auto" w:fill="CCEEFF"/>
          </w:tcPr>
          <w:p>
            <w:pPr>
              <w:spacing w:after="0"/>
              <w:rPr>
                <w:sz w:val="18"/>
                <w:szCs w:val="18"/>
                <w:color w:val="auto"/>
              </w:rPr>
            </w:pPr>
          </w:p>
        </w:tc>
      </w:tr>
      <w:tr>
        <w:trPr>
          <w:trHeight w:val="210"/>
        </w:trPr>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134,316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(427,905)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306,998</w:t>
            </w: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36,334</w:t>
            </w: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(1,248)</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(loss) on long term investments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(13,207)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18,703</w:t>
            </w:r>
          </w:p>
        </w:tc>
        <w:tc>
          <w:tcPr>
            <w:tcW w:w="60" w:type="dxa"/>
            <w:vAlign w:val="bottom"/>
          </w:tcPr>
          <w:p>
            <w:pPr>
              <w:spacing w:after="0"/>
              <w:rPr>
                <w:sz w:val="18"/>
                <w:szCs w:val="18"/>
                <w:color w:val="auto"/>
              </w:rPr>
            </w:pPr>
          </w:p>
        </w:tc>
      </w:tr>
      <w:tr>
        <w:trPr>
          <w:trHeight w:val="209"/>
        </w:trPr>
        <w:tc>
          <w:tcPr>
            <w:tcW w:w="47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(3,508)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(400,320)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360,787</w:t>
            </w: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11,695</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19,748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45,227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24,886</w:t>
            </w:r>
          </w:p>
        </w:tc>
        <w:tc>
          <w:tcPr>
            <w:tcW w:w="60" w:type="dxa"/>
            <w:vAlign w:val="bottom"/>
            <w:tcBorders>
              <w:bottom w:val="single" w:sz="8" w:color="CCEEFF"/>
            </w:tcBorders>
          </w:tcPr>
          <w:p>
            <w:pPr>
              <w:spacing w:after="0"/>
              <w:rPr>
                <w:sz w:val="18"/>
                <w:szCs w:val="18"/>
                <w:color w:val="auto"/>
              </w:rPr>
            </w:pPr>
          </w:p>
        </w:tc>
      </w:tr>
      <w:tr>
        <w:trPr>
          <w:trHeight w:val="210"/>
        </w:trPr>
        <w:tc>
          <w:tcPr>
            <w:tcW w:w="4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56"/>
        </w:trPr>
        <w:tc>
          <w:tcPr>
            <w:tcW w:w="4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(15,203)</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128,271</w:t>
            </w:r>
          </w:p>
        </w:tc>
        <w:tc>
          <w:tcPr>
            <w:tcW w:w="80" w:type="dxa"/>
            <w:vAlign w:val="bottom"/>
          </w:tcPr>
          <w:p>
            <w:pPr>
              <w:spacing w:after="0"/>
              <w:rPr>
                <w:sz w:val="22"/>
                <w:szCs w:val="22"/>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(445,547)</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335,901</w:t>
            </w:r>
          </w:p>
        </w:tc>
        <w:tc>
          <w:tcPr>
            <w:tcW w:w="60" w:type="dxa"/>
            <w:vAlign w:val="bottom"/>
          </w:tcPr>
          <w:p>
            <w:pPr>
              <w:spacing w:after="0"/>
              <w:rPr>
                <w:sz w:val="22"/>
                <w:szCs w:val="22"/>
                <w:color w:val="auto"/>
              </w:rPr>
            </w:pPr>
          </w:p>
        </w:tc>
      </w:tr>
      <w:tr>
        <w:trPr>
          <w:trHeight w:val="196"/>
        </w:trPr>
        <w:tc>
          <w:tcPr>
            <w:tcW w:w="47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(0.07)</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(2.05)</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(0.07)</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8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(2.05)</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Shares used in computing net income (loss) per share: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218,784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215,199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217,684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214,628</w:t>
            </w:r>
          </w:p>
        </w:tc>
        <w:tc>
          <w:tcPr>
            <w:tcW w:w="60" w:type="dxa"/>
            <w:vAlign w:val="bottom"/>
            <w:shd w:val="clear" w:color="auto" w:fill="CCEEFF"/>
          </w:tcPr>
          <w:p>
            <w:pPr>
              <w:spacing w:after="0"/>
              <w:rPr>
                <w:sz w:val="18"/>
                <w:szCs w:val="18"/>
                <w:color w:val="auto"/>
              </w:rPr>
            </w:pPr>
          </w:p>
        </w:tc>
      </w:t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218,784</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217,684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217,393</w:t>
            </w:r>
          </w:p>
        </w:tc>
        <w:tc>
          <w:tcPr>
            <w:tcW w:w="60" w:type="dxa"/>
            <w:vAlign w:val="bottom"/>
          </w:tcPr>
          <w:p>
            <w:pPr>
              <w:spacing w:after="0"/>
              <w:rPr>
                <w:sz w:val="20"/>
                <w:szCs w:val="20"/>
                <w:color w:val="auto"/>
              </w:rPr>
            </w:pPr>
          </w:p>
        </w:tc>
      </w:tr>
    </w:tbl>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jc w:val="center"/>
        <w:ind w:right="19"/>
        <w:spacing w:after="0" w:line="203" w:lineRule="auto"/>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700" w:type="dxa"/>
            <w:vAlign w:val="bottom"/>
            <w:gridSpan w:val="4"/>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8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00" w:type="dxa"/>
            <w:vAlign w:val="bottom"/>
            <w:gridSpan w:val="4"/>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18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4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top w:val="single" w:sz="8" w:color="auto"/>
            </w:tcBorders>
          </w:tcPr>
          <w:p>
            <w:pPr>
              <w:jc w:val="right"/>
              <w:ind w:right="16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2"/>
                <w:szCs w:val="12"/>
                <w:color w:val="auto"/>
              </w:rPr>
            </w:pPr>
          </w:p>
        </w:tc>
        <w:tc>
          <w:tcPr>
            <w:tcW w:w="860" w:type="dxa"/>
            <w:vAlign w:val="bottom"/>
            <w:tcBorders>
              <w:top w:val="single" w:sz="8" w:color="auto"/>
            </w:tcBorders>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2"/>
                <w:szCs w:val="12"/>
                <w:color w:val="auto"/>
              </w:rPr>
            </w:pP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(15,203)</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$ 128,271</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(445,547)</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$ 335,901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18"/>
                <w:szCs w:val="18"/>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(loss) gain on marketable securities, net of tax</w:t>
            </w:r>
          </w:p>
        </w:tc>
        <w:tc>
          <w:tcPr>
            <w:tcW w:w="1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60" w:type="dxa"/>
            <w:vAlign w:val="bottom"/>
            <w:shd w:val="clear" w:color="auto" w:fill="CCEEFF"/>
          </w:tcPr>
          <w:p>
            <w:pPr>
              <w:spacing w:after="0"/>
              <w:rPr>
                <w:sz w:val="18"/>
                <w:szCs w:val="18"/>
                <w:color w:val="auto"/>
              </w:rPr>
            </w:pPr>
          </w:p>
        </w:tc>
      </w:tr>
      <w:tr>
        <w:trPr>
          <w:trHeight w:val="216"/>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Defined benefit pension obligations, net of tax</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60" w:type="dxa"/>
            <w:vAlign w:val="bottom"/>
          </w:tcPr>
          <w:p>
            <w:pPr>
              <w:spacing w:after="0"/>
              <w:rPr>
                <w:sz w:val="18"/>
                <w:szCs w:val="18"/>
                <w:color w:val="auto"/>
              </w:rPr>
            </w:pPr>
          </w:p>
        </w:tc>
      </w:tr>
      <w:tr>
        <w:trPr>
          <w:trHeight w:val="209"/>
        </w:trPr>
        <w:tc>
          <w:tcPr>
            <w:tcW w:w="44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(12,528)</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$ 128,622</w:t>
            </w: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(439,753)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$ 337,452</w:t>
            </w:r>
          </w:p>
        </w:tc>
        <w:tc>
          <w:tcPr>
            <w:tcW w:w="60" w:type="dxa"/>
            <w:vAlign w:val="bottom"/>
            <w:shd w:val="clear" w:color="auto" w:fill="CCEEFF"/>
          </w:tcPr>
          <w:p>
            <w:pPr>
              <w:spacing w:after="0"/>
              <w:rPr>
                <w:sz w:val="18"/>
                <w:szCs w:val="18"/>
                <w:color w:val="auto"/>
              </w:rPr>
            </w:pPr>
          </w:p>
        </w:tc>
      </w:tr>
      <w:tr>
        <w:trPr>
          <w:trHeight w:val="20"/>
        </w:trPr>
        <w:tc>
          <w:tcPr>
            <w:tcW w:w="5220" w:type="dxa"/>
            <w:vAlign w:val="bottom"/>
            <w:tcBorders>
              <w:top w:val="single" w:sz="8" w:color="CCEEFF"/>
            </w:tcBorders>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r>
        <w:trPr>
          <w:trHeight w:val="359"/>
        </w:trPr>
        <w:tc>
          <w:tcPr>
            <w:tcW w:w="6060" w:type="dxa"/>
            <w:vAlign w:val="bottom"/>
            <w:gridSpan w:val="4"/>
          </w:tcPr>
          <w:p>
            <w:pPr>
              <w:jc w:val="center"/>
              <w:ind w:left="2790"/>
              <w:spacing w:after="0"/>
              <w:rPr>
                <w:sz w:val="20"/>
                <w:szCs w:val="20"/>
                <w:color w:val="auto"/>
              </w:rPr>
            </w:pPr>
            <w:r>
              <w:rPr>
                <w:rFonts w:ascii="Times New Roman" w:cs="Times New Roman" w:eastAsia="Times New Roman" w:hAnsi="Times New Roman"/>
                <w:sz w:val="18"/>
                <w:szCs w:val="18"/>
                <w:color w:val="auto"/>
                <w:w w:val="99"/>
              </w:rPr>
              <w:t>See accompanying notes.</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96"/>
        </w:trPr>
        <w:tc>
          <w:tcPr>
            <w:tcW w:w="4400" w:type="dxa"/>
            <w:vAlign w:val="bottom"/>
          </w:tcPr>
          <w:p>
            <w:pPr>
              <w:spacing w:after="0"/>
              <w:rPr>
                <w:sz w:val="24"/>
                <w:szCs w:val="24"/>
                <w:color w:val="auto"/>
              </w:rPr>
            </w:pP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5</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61"/>
        </w:trPr>
        <w:tc>
          <w:tcPr>
            <w:tcW w:w="4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5" w:name="page6"/>
    <w:bookmarkEnd w:id="5"/>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jc w:val="center"/>
        <w:ind w:right="19"/>
        <w:spacing w:after="0" w:line="203" w:lineRule="auto"/>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 except number of shares)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7"/>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2020</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0"/>
                <w:szCs w:val="10"/>
                <w:color w:val="auto"/>
              </w:rPr>
            </w:pP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0"/>
                <w:szCs w:val="10"/>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20" w:type="dxa"/>
            <w:vAlign w:val="bottom"/>
          </w:tcPr>
          <w:p>
            <w:pPr>
              <w:spacing w:after="0"/>
              <w:rPr>
                <w:sz w:val="15"/>
                <w:szCs w:val="15"/>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at January 1, 2020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4,044,490</w:t>
            </w: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(1,430,758)</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2,598,406</w:t>
            </w:r>
          </w:p>
        </w:tc>
        <w:tc>
          <w:tcPr>
            <w:tcW w:w="0" w:type="dxa"/>
            <w:vAlign w:val="bottom"/>
          </w:tcPr>
          <w:p>
            <w:pPr>
              <w:spacing w:after="0"/>
              <w:rPr>
                <w:sz w:val="1"/>
                <w:szCs w:val="1"/>
                <w:color w:val="auto"/>
              </w:rPr>
            </w:pP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772,538 shares of Common Stock upon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 and settlement of employee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units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14,618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14,619</w:t>
            </w:r>
          </w:p>
        </w:tc>
        <w:tc>
          <w:tcPr>
            <w:tcW w:w="0" w:type="dxa"/>
            <w:vAlign w:val="bottom"/>
          </w:tcPr>
          <w:p>
            <w:pPr>
              <w:spacing w:after="0"/>
              <w:rPr>
                <w:sz w:val="1"/>
                <w:szCs w:val="1"/>
                <w:color w:val="auto"/>
              </w:rPr>
            </w:pPr>
          </w:p>
        </w:tc>
      </w:tr>
      <w:tr>
        <w:trPr>
          <w:trHeight w:val="195"/>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1,957 shares of Common Stock for services</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rendered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Stock compensation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42,758</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42,758</w:t>
            </w: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w:t>
            </w:r>
          </w:p>
        </w:tc>
        <w:tc>
          <w:tcPr>
            <w:tcW w:w="0" w:type="dxa"/>
            <w:vAlign w:val="bottom"/>
          </w:tcPr>
          <w:p>
            <w:pPr>
              <w:spacing w:after="0"/>
              <w:rPr>
                <w:sz w:val="1"/>
                <w:szCs w:val="1"/>
                <w:color w:val="auto"/>
              </w:rPr>
            </w:pPr>
          </w:p>
        </w:tc>
      </w:tr>
      <w:tr>
        <w:trPr>
          <w:trHeight w:val="203"/>
        </w:trPr>
        <w:tc>
          <w:tcPr>
            <w:tcW w:w="3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(720,642)</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(720,642)</w:t>
            </w:r>
          </w:p>
        </w:tc>
        <w:tc>
          <w:tcPr>
            <w:tcW w:w="0" w:type="dxa"/>
            <w:vAlign w:val="bottom"/>
          </w:tcPr>
          <w:p>
            <w:pPr>
              <w:spacing w:after="0"/>
              <w:rPr>
                <w:sz w:val="1"/>
                <w:szCs w:val="1"/>
                <w:color w:val="auto"/>
              </w:rPr>
            </w:pPr>
          </w:p>
        </w:tc>
      </w:tr>
      <w:tr>
        <w:trPr>
          <w:trHeight w:val="196"/>
        </w:trPr>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at March 31, 2020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4,102,011</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(2,151,400)</w:t>
            </w: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1,937,721</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line="182" w:lineRule="exact"/>
              <w:rPr>
                <w:sz w:val="20"/>
                <w:szCs w:val="20"/>
                <w:color w:val="auto"/>
              </w:rPr>
            </w:pPr>
            <w:r>
              <w:rPr>
                <w:rFonts w:ascii="Times New Roman" w:cs="Times New Roman" w:eastAsia="Times New Roman" w:hAnsi="Times New Roman"/>
                <w:sz w:val="16"/>
                <w:szCs w:val="16"/>
                <w:color w:val="auto"/>
              </w:rPr>
              <w:t>Issuance of 936,688 shares of Common Stock upon</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 and settlement of employee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units and 175,615 shares of Common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Stock under the ESPP</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69,193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69,194</w:t>
            </w:r>
          </w:p>
        </w:tc>
        <w:tc>
          <w:tcPr>
            <w:tcW w:w="0" w:type="dxa"/>
            <w:vAlign w:val="bottom"/>
          </w:tcPr>
          <w:p>
            <w:pPr>
              <w:spacing w:after="0"/>
              <w:rPr>
                <w:sz w:val="1"/>
                <w:szCs w:val="1"/>
                <w:color w:val="auto"/>
              </w:rPr>
            </w:pPr>
          </w:p>
        </w:tc>
      </w:tr>
      <w:tr>
        <w:trPr>
          <w:trHeight w:val="195"/>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1,403 shares of Common Stock for services</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rendered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3,187 shares of Common Stock upon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conversion of Convertible Senior Notes due 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09"/>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compensation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46,406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46,406</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290,298</w:t>
            </w:r>
          </w:p>
        </w:tc>
        <w:tc>
          <w:tcPr>
            <w:tcW w:w="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290,298</w:t>
            </w:r>
          </w:p>
        </w:tc>
        <w:tc>
          <w:tcPr>
            <w:tcW w:w="0" w:type="dxa"/>
            <w:vAlign w:val="bottom"/>
          </w:tcPr>
          <w:p>
            <w:pPr>
              <w:spacing w:after="0"/>
              <w:rPr>
                <w:sz w:val="1"/>
                <w:szCs w:val="1"/>
                <w:color w:val="auto"/>
              </w:rPr>
            </w:pPr>
          </w:p>
        </w:tc>
      </w:tr>
      <w:tr>
        <w:trPr>
          <w:trHeight w:val="236"/>
        </w:trPr>
        <w:tc>
          <w:tcPr>
            <w:tcW w:w="3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Balances at June 30, 2020</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4,217,911</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(12,423)</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(1,861,102)</w:t>
            </w: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2,344,604</w:t>
            </w:r>
          </w:p>
        </w:tc>
        <w:tc>
          <w:tcPr>
            <w:tcW w:w="0" w:type="dxa"/>
            <w:vAlign w:val="bottom"/>
          </w:tcPr>
          <w:p>
            <w:pPr>
              <w:spacing w:after="0"/>
              <w:rPr>
                <w:sz w:val="1"/>
                <w:szCs w:val="1"/>
                <w:color w:val="auto"/>
              </w:rPr>
            </w:pPr>
          </w:p>
        </w:tc>
      </w:tr>
      <w:tr>
        <w:trPr>
          <w:trHeight w:val="142"/>
        </w:trPr>
        <w:tc>
          <w:tcPr>
            <w:tcW w:w="37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Issuance of 698,032 shares of Common Stock upon</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stock options and settlement of employee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units and performance shares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7,783</w:t>
            </w:r>
          </w:p>
        </w:tc>
        <w:tc>
          <w:tcPr>
            <w:tcW w:w="0" w:type="dxa"/>
            <w:vAlign w:val="bottom"/>
          </w:tcPr>
          <w:p>
            <w:pPr>
              <w:spacing w:after="0"/>
              <w:rPr>
                <w:sz w:val="1"/>
                <w:szCs w:val="1"/>
                <w:color w:val="auto"/>
              </w:rPr>
            </w:pP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1,434 shares of Common Stock for services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rendered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195"/>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134,413 shares of Common Stock upon</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conversion of Convertible Senior Notes due 2020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6,873</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Stock compensation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43,970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43,970</w:t>
            </w: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2,675</w:t>
            </w:r>
          </w:p>
        </w:tc>
        <w:tc>
          <w:tcPr>
            <w:tcW w:w="0" w:type="dxa"/>
            <w:vAlign w:val="bottom"/>
          </w:tcPr>
          <w:p>
            <w:pPr>
              <w:spacing w:after="0"/>
              <w:rPr>
                <w:sz w:val="1"/>
                <w:szCs w:val="1"/>
                <w:color w:val="auto"/>
              </w:rPr>
            </w:pPr>
          </w:p>
        </w:tc>
      </w:tr>
      <w:tr>
        <w:trPr>
          <w:trHeight w:val="203"/>
        </w:trPr>
        <w:tc>
          <w:tcPr>
            <w:tcW w:w="3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(15,203)</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(15,203)</w:t>
            </w:r>
          </w:p>
        </w:tc>
        <w:tc>
          <w:tcPr>
            <w:tcW w:w="0" w:type="dxa"/>
            <w:vAlign w:val="bottom"/>
          </w:tcPr>
          <w:p>
            <w:pPr>
              <w:spacing w:after="0"/>
              <w:rPr>
                <w:sz w:val="1"/>
                <w:szCs w:val="1"/>
                <w:color w:val="auto"/>
              </w:rPr>
            </w:pPr>
          </w:p>
        </w:tc>
      </w:tr>
      <w:tr>
        <w:trPr>
          <w:trHeight w:val="196"/>
        </w:trPr>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at September 30, 2020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4,276,667</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(9,748)</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(1,876,305)</w:t>
            </w: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2,390,833</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jc w:val="center"/>
        <w:ind w:right="19"/>
        <w:spacing w:after="0" w:line="203" w:lineRule="auto"/>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(CONTINUED)</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 except number of shares)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7"/>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2019</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0"/>
                <w:szCs w:val="10"/>
                <w:color w:val="auto"/>
              </w:rPr>
            </w:pP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0"/>
                <w:szCs w:val="10"/>
                <w:color w:val="auto"/>
              </w:rPr>
            </w:pPr>
          </w:p>
        </w:tc>
        <w:tc>
          <w:tcPr>
            <w:tcW w:w="9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20" w:type="dxa"/>
            <w:vAlign w:val="bottom"/>
          </w:tcPr>
          <w:p>
            <w:pPr>
              <w:spacing w:after="0"/>
              <w:rPr>
                <w:sz w:val="15"/>
                <w:szCs w:val="15"/>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20" w:type="dxa"/>
            <w:vAlign w:val="bottom"/>
          </w:tcPr>
          <w:p>
            <w:pPr>
              <w:spacing w:after="0"/>
              <w:rPr>
                <w:sz w:val="15"/>
                <w:szCs w:val="15"/>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at January 1, 2019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3,813,678</w:t>
            </w: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(10,165)</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(1,877,759)</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1,925,967</w:t>
            </w:r>
          </w:p>
        </w:tc>
        <w:tc>
          <w:tcPr>
            <w:tcW w:w="0" w:type="dxa"/>
            <w:vAlign w:val="bottom"/>
          </w:tcPr>
          <w:p>
            <w:pPr>
              <w:spacing w:after="0"/>
              <w:rPr>
                <w:sz w:val="1"/>
                <w:szCs w:val="1"/>
                <w:color w:val="auto"/>
              </w:rPr>
            </w:pP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1,044,745 shares of Common Stock upon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 and settlement of employee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units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15,480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15,481</w:t>
            </w:r>
          </w:p>
        </w:tc>
        <w:tc>
          <w:tcPr>
            <w:tcW w:w="0" w:type="dxa"/>
            <w:vAlign w:val="bottom"/>
          </w:tcPr>
          <w:p>
            <w:pPr>
              <w:spacing w:after="0"/>
              <w:rPr>
                <w:sz w:val="1"/>
                <w:szCs w:val="1"/>
                <w:color w:val="auto"/>
              </w:rPr>
            </w:pPr>
          </w:p>
        </w:tc>
      </w:tr>
      <w:tr>
        <w:trPr>
          <w:trHeight w:val="195"/>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1,200 shares of Common Stock for services</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rendered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Stock compensation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40,690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40,690</w:t>
            </w: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Adoption of ASU No. 2016-02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12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102,312</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102,312</w:t>
            </w:r>
          </w:p>
        </w:tc>
        <w:tc>
          <w:tcPr>
            <w:tcW w:w="0" w:type="dxa"/>
            <w:vAlign w:val="bottom"/>
          </w:tcPr>
          <w:p>
            <w:pPr>
              <w:spacing w:after="0"/>
              <w:rPr>
                <w:sz w:val="1"/>
                <w:szCs w:val="1"/>
                <w:color w:val="auto"/>
              </w:rPr>
            </w:pPr>
          </w:p>
        </w:tc>
      </w:tr>
      <w:tr>
        <w:trPr>
          <w:trHeight w:val="236"/>
        </w:trPr>
        <w:tc>
          <w:tcPr>
            <w:tcW w:w="3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Balances at March 31, 2019</w:t>
            </w:r>
          </w:p>
        </w:tc>
        <w:tc>
          <w:tcPr>
            <w:tcW w:w="10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3,869,952</w:t>
            </w:r>
          </w:p>
        </w:tc>
        <w:tc>
          <w:tcPr>
            <w:tcW w:w="120" w:type="dxa"/>
            <w:vAlign w:val="bottom"/>
            <w:tcBorders>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(9,247)</w:t>
            </w:r>
          </w:p>
        </w:tc>
        <w:tc>
          <w:tcPr>
            <w:tcW w:w="120" w:type="dxa"/>
            <w:vAlign w:val="bottom"/>
            <w:tcBorders>
              <w:bottom w:val="single" w:sz="8" w:color="CCEEFF"/>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(1,775,352)</w:t>
            </w: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2,085,567</w:t>
            </w:r>
          </w:p>
        </w:tc>
        <w:tc>
          <w:tcPr>
            <w:tcW w:w="0" w:type="dxa"/>
            <w:vAlign w:val="bottom"/>
          </w:tcPr>
          <w:p>
            <w:pPr>
              <w:spacing w:after="0"/>
              <w:rPr>
                <w:sz w:val="1"/>
                <w:szCs w:val="1"/>
                <w:color w:val="auto"/>
              </w:rPr>
            </w:pPr>
          </w:p>
        </w:tc>
      </w:tr>
      <w:tr>
        <w:trPr>
          <w:trHeight w:val="142"/>
        </w:trPr>
        <w:tc>
          <w:tcPr>
            <w:tcW w:w="37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Issuance of 400,292 shares of Common Stock upon</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stock options and settlement of employee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units and 143,379 shares of Common</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under the ESPP</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15,191</w:t>
            </w:r>
          </w:p>
        </w:tc>
        <w:tc>
          <w:tcPr>
            <w:tcW w:w="0" w:type="dxa"/>
            <w:vAlign w:val="bottom"/>
          </w:tcPr>
          <w:p>
            <w:pPr>
              <w:spacing w:after="0"/>
              <w:rPr>
                <w:sz w:val="1"/>
                <w:szCs w:val="1"/>
                <w:color w:val="auto"/>
              </w:rPr>
            </w:pP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1,444 shares of Common Stock for services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rendered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09"/>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compensation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40,710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40,710</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2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105,318</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105,318</w:t>
            </w:r>
          </w:p>
        </w:tc>
        <w:tc>
          <w:tcPr>
            <w:tcW w:w="0" w:type="dxa"/>
            <w:vAlign w:val="bottom"/>
          </w:tcPr>
          <w:p>
            <w:pPr>
              <w:spacing w:after="0"/>
              <w:rPr>
                <w:sz w:val="1"/>
                <w:szCs w:val="1"/>
                <w:color w:val="auto"/>
              </w:rPr>
            </w:pPr>
          </w:p>
        </w:tc>
      </w:tr>
      <w:tr>
        <w:trPr>
          <w:trHeight w:val="236"/>
        </w:trPr>
        <w:tc>
          <w:tcPr>
            <w:tcW w:w="3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Balances at June 30, 2019</w:t>
            </w:r>
          </w:p>
        </w:tc>
        <w:tc>
          <w:tcPr>
            <w:tcW w:w="10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3,925,975</w:t>
            </w:r>
          </w:p>
        </w:tc>
        <w:tc>
          <w:tcPr>
            <w:tcW w:w="120" w:type="dxa"/>
            <w:vAlign w:val="bottom"/>
            <w:tcBorders>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(8,965)</w:t>
            </w:r>
          </w:p>
        </w:tc>
        <w:tc>
          <w:tcPr>
            <w:tcW w:w="120" w:type="dxa"/>
            <w:vAlign w:val="bottom"/>
            <w:tcBorders>
              <w:bottom w:val="single" w:sz="8" w:color="CCEEFF"/>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(1,670,034)</w:t>
            </w: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2,247,191</w:t>
            </w:r>
          </w:p>
        </w:tc>
        <w:tc>
          <w:tcPr>
            <w:tcW w:w="0" w:type="dxa"/>
            <w:vAlign w:val="bottom"/>
          </w:tcPr>
          <w:p>
            <w:pPr>
              <w:spacing w:after="0"/>
              <w:rPr>
                <w:sz w:val="1"/>
                <w:szCs w:val="1"/>
                <w:color w:val="auto"/>
              </w:rPr>
            </w:pPr>
          </w:p>
        </w:tc>
      </w:tr>
      <w:tr>
        <w:trPr>
          <w:trHeight w:val="142"/>
        </w:trPr>
        <w:tc>
          <w:tcPr>
            <w:tcW w:w="37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Issuance of 506,199 shares of Common Stock upon</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stock options and settlement of employee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units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3,111</w:t>
            </w:r>
          </w:p>
        </w:tc>
        <w:tc>
          <w:tcPr>
            <w:tcW w:w="0" w:type="dxa"/>
            <w:vAlign w:val="bottom"/>
          </w:tcPr>
          <w:p>
            <w:pPr>
              <w:spacing w:after="0"/>
              <w:rPr>
                <w:sz w:val="1"/>
                <w:szCs w:val="1"/>
                <w:color w:val="auto"/>
              </w:rPr>
            </w:pP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1,629 shares of Common Stock for services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rendered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08"/>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compensation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43,474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43,474</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2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128,271</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128,271</w:t>
            </w:r>
          </w:p>
        </w:tc>
        <w:tc>
          <w:tcPr>
            <w:tcW w:w="0" w:type="dxa"/>
            <w:vAlign w:val="bottom"/>
          </w:tcPr>
          <w:p>
            <w:pPr>
              <w:spacing w:after="0"/>
              <w:rPr>
                <w:sz w:val="1"/>
                <w:szCs w:val="1"/>
                <w:color w:val="auto"/>
              </w:rPr>
            </w:pPr>
          </w:p>
        </w:tc>
      </w:tr>
      <w:tr>
        <w:trPr>
          <w:trHeight w:val="196"/>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Balances at September 30, 2019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3,972,689</w:t>
            </w:r>
          </w:p>
        </w:tc>
        <w:tc>
          <w:tcPr>
            <w:tcW w:w="12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(8,614)</w:t>
            </w:r>
          </w:p>
        </w:tc>
        <w:tc>
          <w:tcPr>
            <w:tcW w:w="12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(1,541,763)</w:t>
            </w: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2,422,527</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jc w:val="center"/>
        <w:ind w:right="19"/>
        <w:spacing w:after="0" w:line="203" w:lineRule="auto"/>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ind w:right="19"/>
        <w:spacing w:after="0" w:line="225" w:lineRule="auto"/>
        <w:rPr>
          <w:sz w:val="20"/>
          <w:szCs w:val="20"/>
          <w:color w:val="auto"/>
        </w:rPr>
      </w:pPr>
      <w:r>
        <w:rPr>
          <w:rFonts w:ascii="Times New Roman" w:cs="Times New Roman" w:eastAsia="Times New Roman" w:hAnsi="Times New Roman"/>
          <w:sz w:val="18"/>
          <w:szCs w:val="18"/>
          <w:b w:val="1"/>
          <w:bCs w:val="1"/>
          <w:color w:val="auto"/>
        </w:rPr>
        <w:t>(unaudited, in thousands)</w:t>
      </w:r>
    </w:p>
    <w:p>
      <w:pPr>
        <w:jc w:val="center"/>
        <w:ind w:left="6780"/>
        <w:spacing w:after="0" w:line="222" w:lineRule="auto"/>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6780"/>
        <w:spacing w:after="0" w:line="231" w:lineRule="auto"/>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640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(445,547)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132,616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 on long term investments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(18,703)</w:t>
            </w:r>
          </w:p>
        </w:tc>
        <w:tc>
          <w:tcPr>
            <w:tcW w:w="0" w:type="dxa"/>
            <w:vAlign w:val="bottom"/>
          </w:tcPr>
          <w:p>
            <w:pPr>
              <w:spacing w:after="0"/>
              <w:rPr>
                <w:sz w:val="1"/>
                <w:szCs w:val="1"/>
                <w:color w:val="auto"/>
              </w:rPr>
            </w:pPr>
          </w:p>
        </w:tc>
      </w:tr>
      <w:tr>
        <w:trPr>
          <w:trHeight w:val="216"/>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fair value of acquisition-related contingent consideration</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(55,656)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(2,913)</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(8,451)</w:t>
            </w: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4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62,196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49,053</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(231,920)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long term investments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(95,468)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Sale of long term investment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(135,946)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(48,749)</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(418,698)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(222,157)</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and maturities of marketable securities</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466,591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(166,271)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(57,426)</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under stock plans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91,596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finance lease liabilities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(31,140)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(16,766)</w:t>
            </w:r>
          </w:p>
        </w:tc>
        <w:tc>
          <w:tcPr>
            <w:tcW w:w="0" w:type="dxa"/>
            <w:vAlign w:val="bottom"/>
          </w:tcPr>
          <w:p>
            <w:pPr>
              <w:spacing w:after="0"/>
              <w:rPr>
                <w:sz w:val="1"/>
                <w:szCs w:val="1"/>
                <w:color w:val="auto"/>
              </w:rPr>
            </w:pPr>
          </w:p>
        </w:tc>
      </w:tr>
      <w:tr>
        <w:trPr>
          <w:trHeight w:val="210"/>
        </w:trPr>
        <w:tc>
          <w:tcPr>
            <w:tcW w:w="640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rates on cash, cash equivalents, restricted cash and investments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restricted cash and investments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(333,269)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restricted cash and investments at beginning of period</w:t>
            </w:r>
          </w:p>
        </w:tc>
        <w:tc>
          <w:tcPr>
            <w:tcW w:w="4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1,833,707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1,164,986</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restricted cash and investments at end of period</w:t>
            </w:r>
          </w:p>
        </w:tc>
        <w:tc>
          <w:tcPr>
            <w:tcW w:w="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1,500,438</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1,703,018</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Schedule of Cash Flow Information</w:t>
            </w: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56,757</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Reclassification to common stock and additional paid in capital in connection with</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conversions of 1.25% convertible senior notes due 2020</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6,992</w:t>
            </w: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Unpaid purchases of property and equipment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12,836</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assets obtained in exchange for new operating lease liabilities</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13,020</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Leased assets obtained in exchange for new finance lease liabilities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jc w:val="center"/>
        <w:ind w:right="19"/>
        <w:spacing w:after="0" w:line="203"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ind w:right="19"/>
        <w:spacing w:after="0" w:line="203" w:lineRule="auto"/>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34" w:lineRule="exact"/>
        <w:rPr>
          <w:sz w:val="20"/>
          <w:szCs w:val="20"/>
          <w:color w:val="auto"/>
        </w:rPr>
      </w:pPr>
    </w:p>
    <w:p>
      <w:pPr>
        <w:ind w:left="400" w:hanging="356"/>
        <w:spacing w:after="0"/>
        <w:tabs>
          <w:tab w:leader="none" w:pos="4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business</w:t>
      </w:r>
    </w:p>
    <w:p>
      <w:pPr>
        <w:spacing w:after="0" w:line="229"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Incyte Corporation (including its subsidiaries, “Incyte,” “we,” “us,” or “our”) is a biopharmaceutical company focused on developing and commercializing proprietary therapeutics. Our portfolio includes compounds in various stages, ranging from preclinical to late stage development, and commercialized products JAKAFI® (ruxolitinib), ICLUSIG® (ponatinib) and PEMAZYRE® (pemigatinib). Our operations are treated as one operating segment.</w:t>
      </w:r>
    </w:p>
    <w:p>
      <w:pPr>
        <w:spacing w:after="0" w:line="176" w:lineRule="exact"/>
        <w:rPr>
          <w:sz w:val="20"/>
          <w:szCs w:val="20"/>
          <w:color w:val="auto"/>
        </w:rPr>
      </w:pPr>
    </w:p>
    <w:p>
      <w:pPr>
        <w:ind w:left="700" w:right="5319" w:hanging="656"/>
        <w:spacing w:after="0" w:line="503" w:lineRule="auto"/>
        <w:tabs>
          <w:tab w:leader="none" w:pos="412"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jc w:val="both"/>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for interim financial information and with the instructions to Form 10-Q and Article 10 of Regulation S-X. The condensed consolidated balance sheet as of September 30, 2020, the condensed consolidated statements of operations, comprehensive income (loss), and stockholders’ equity for the three and nine months ended September 30, 2020 and 2019, and the condensed consolidated statements of cash flows for the nine months ended September 30, 2020 and 2019 are unaudited, but include all adjustments, consisting only of normal recurring adjustments, which we consider necessary for a fair presentation of the financial position, operating results and cash flows for the periods presented. The condensed consolidated balance sheet at December 31, 2019 has been derived from our audited consolidated financial statements.</w:t>
      </w:r>
    </w:p>
    <w:p>
      <w:pPr>
        <w:spacing w:after="0" w:line="188"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Although we believe that the disclosures in these financial statements are adequate to make the information presented not misleading, certain information and footnote information normally included in financial statements prepared in accordance with accounting principles generally accepted in the United States (“U.S. GAAP”) have been condensed or omitted pursuant to the rules and regulations of the Securities and Exchange Commission.</w:t>
      </w:r>
    </w:p>
    <w:p>
      <w:pPr>
        <w:spacing w:after="0" w:line="180" w:lineRule="exact"/>
        <w:rPr>
          <w:sz w:val="20"/>
          <w:szCs w:val="20"/>
          <w:color w:val="auto"/>
        </w:rPr>
      </w:pPr>
    </w:p>
    <w:p>
      <w:pPr>
        <w:jc w:val="both"/>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Results for any interim period are not necessarily indicative of results for any future interim period or for the entire year. The accompanying financial statements should be read in conjunction with the financial statements and notes thereto included in our Annual Report on Form 10-K for the year ended December 31, 2019.</w:t>
      </w:r>
    </w:p>
    <w:p>
      <w:pPr>
        <w:spacing w:after="0" w:line="174" w:lineRule="exact"/>
        <w:rPr>
          <w:sz w:val="20"/>
          <w:szCs w:val="20"/>
          <w:color w:val="auto"/>
        </w:rPr>
      </w:pPr>
    </w:p>
    <w:p>
      <w:pPr>
        <w:jc w:val="both"/>
        <w:ind w:left="40" w:right="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The condensed consolidated financial statements include the accounts of Incyte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and our wholly owned subsidiaries. All inter-company accounts, transactions, and profits have been eliminated in consolidation.</w:t>
      </w:r>
    </w:p>
    <w:p>
      <w:pPr>
        <w:spacing w:after="0" w:line="173" w:lineRule="exact"/>
        <w:rPr>
          <w:sz w:val="20"/>
          <w:szCs w:val="20"/>
          <w:color w:val="auto"/>
        </w:rPr>
      </w:pPr>
    </w:p>
    <w:p>
      <w:pPr>
        <w:jc w:val="both"/>
        <w:ind w:left="40" w:right="5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Foreign Currency Translation</w:t>
      </w:r>
      <w:r>
        <w:rPr>
          <w:rFonts w:ascii="Times New Roman" w:cs="Times New Roman" w:eastAsia="Times New Roman" w:hAnsi="Times New Roman"/>
          <w:sz w:val="18"/>
          <w:szCs w:val="18"/>
          <w:color w:val="auto"/>
        </w:rPr>
        <w:t>. Operations in non-U.S. entities are recorded in the functional currency of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entity. For financial reporting purposes, the functional currency of an entity is determined by a review of the source of an entity's most predominant cash flows. The results of operations for any non-U.S. dollar functional currency entities are translated from functional currencies into U.S. dollars using the average currency rate during each month. Assets and liabilities are translated using currency rates at the end of the period. Adjustments resulting from translating the financial statements of our foreign entities that use their local currency as the functional currency into U.S. dollars are reflected as a component of other comprehensive income (loss). Transaction gains and losses are recorded in other income (expense), net, in the condensed consolidated statements of operations.</w:t>
      </w:r>
    </w:p>
    <w:p>
      <w:pPr>
        <w:spacing w:after="0" w:line="185" w:lineRule="exact"/>
        <w:rPr>
          <w:sz w:val="20"/>
          <w:szCs w:val="20"/>
          <w:color w:val="auto"/>
        </w:rPr>
      </w:pPr>
    </w:p>
    <w:p>
      <w:pPr>
        <w:jc w:val="both"/>
        <w:ind w:left="40" w:right="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accounting principles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accepted in the United States requires management to make estimates and assumptions that affect the amounts reported in the financial statements and accompanying notes. Actual results could differ from those estimates.</w:t>
      </w:r>
    </w:p>
    <w:p>
      <w:pPr>
        <w:spacing w:after="0" w:line="173" w:lineRule="exact"/>
        <w:rPr>
          <w:sz w:val="20"/>
          <w:szCs w:val="20"/>
          <w:color w:val="auto"/>
        </w:rPr>
      </w:pPr>
    </w:p>
    <w:p>
      <w:pPr>
        <w:jc w:val="both"/>
        <w:ind w:left="40" w:right="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Concentrations of Credit Risk. </w:t>
      </w:r>
      <w:r>
        <w:rPr>
          <w:rFonts w:ascii="Times New Roman" w:cs="Times New Roman" w:eastAsia="Times New Roman" w:hAnsi="Times New Roman"/>
          <w:sz w:val="18"/>
          <w:szCs w:val="18"/>
          <w:color w:val="auto"/>
        </w:rPr>
        <w:t>Cash, cash equivalents, marketable securities, and trade receivables are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which potentially subject us to concentrations of credit risk. The estimated fair value of financial instruments approximates the carrying value based on available market information. We primarily invest our excess available funds in</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debt securities and, by policy, limit the amount of credit exposure to any one issuer and to any one type of investment, other than securities issued or guaranteed by the U.S. government and money market funds that meet certain guidelines. Our receivables mainly relate to our product sales and collaborative agreements with pharmaceutical companies. We have not experienced any significant credit losses on cash, cash equivalents, marketable securities, or trade receivables to date and do not require collateral on receivables.</w:t>
      </w:r>
    </w:p>
    <w:p>
      <w:pPr>
        <w:spacing w:after="0" w:line="181" w:lineRule="exact"/>
        <w:rPr>
          <w:sz w:val="20"/>
          <w:szCs w:val="20"/>
          <w:color w:val="auto"/>
        </w:rPr>
      </w:pPr>
    </w:p>
    <w:p>
      <w:pPr>
        <w:jc w:val="both"/>
        <w:ind w:left="40" w:right="59"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Current Expected Credit Losses. </w:t>
      </w:r>
      <w:r>
        <w:rPr>
          <w:rFonts w:ascii="Times New Roman" w:cs="Times New Roman" w:eastAsia="Times New Roman" w:hAnsi="Times New Roman"/>
          <w:sz w:val="18"/>
          <w:szCs w:val="18"/>
          <w:color w:val="auto"/>
        </w:rPr>
        <w:t>Effective January 1, 2020, financial assets measured at amortized cost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assessed for future expected credit losses under guidance within ASC 326, Financial Instruments – Credit Losses, to determine if application of an expected credit losses reserve is necessary. On a quarterly basis, receivables that resulted from revenue transactions within the scope of ASC 606 and recognized on an amortized cost basis are reviewed on a customer-level basis to analyze expectations of future collections based upon past history of collections, payment, aging of receivables and viability of the customer to continue payment, as well as estimates of future economic conditions. Receivables generally consist of two types: receivables from collaborative agreements, including milestones, reimbursements for agreed-upon activities and sales royalties; and receivables from customer product sales. Collaborative agreement receivables are closely monitored relationships with select, reputable industry peers. Collection of receivables is assessed within each collaborative partnership on a quarterly basis, including evaluation of each entity’s credit quality, financial health and past history of payment. Customer product sales receivables are independently evaluated on a monthly basis, on which unusual items or aged receivables are closely monitored for signs of credit deterioration, or indications of payment refusal. Customer product sales are with specialty pharmaceutical distributors, wholesalers, and certain public and private institutions, some of which whose financial obligations are funded by various government agencies. These receivables are assessed for signs of credit deterioration and in the Company’s sales history and future expectations of economic conditions, there are minimal instances of bad debts or uncollected receivables.</w:t>
      </w:r>
    </w:p>
    <w:p>
      <w:pPr>
        <w:spacing w:after="0" w:line="195" w:lineRule="exact"/>
        <w:rPr>
          <w:sz w:val="20"/>
          <w:szCs w:val="20"/>
          <w:color w:val="auto"/>
        </w:rPr>
      </w:pPr>
    </w:p>
    <w:p>
      <w:pPr>
        <w:jc w:val="both"/>
        <w:ind w:left="40" w:right="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Cash and cash equivalents are held in banks or in custodial accounts with banks.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equivalents are defined as all liquid investments and money market funds with maturity from date of purchase of 90 days or less that are readily convertible into cash.</w:t>
      </w:r>
    </w:p>
    <w:p>
      <w:pPr>
        <w:spacing w:after="0" w:line="173"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Marketable Securities—Available-for-Sale. </w:t>
      </w:r>
      <w:r>
        <w:rPr>
          <w:rFonts w:ascii="Times New Roman" w:cs="Times New Roman" w:eastAsia="Times New Roman" w:hAnsi="Times New Roman"/>
          <w:sz w:val="18"/>
          <w:szCs w:val="18"/>
          <w:color w:val="auto"/>
        </w:rPr>
        <w:t>Our marketable securities consist of investments in U.S.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securities that are classified as available-for-sale. Available-for-sale securities are carried at fair value, based on quoted market prices and observable inputs, with unrealized gains and losses, net of tax, reported as a separate component of stockholders’ equity. We classify marketable securities that are available for use in current operations as current assets on the condensed consolidated balance sheets. Realized gains and losses and declines in value judged to be other than temporary for available-for-sale securities are included in other income (expense), net on the condensed consolidated statements of operations. The cost of securities sold is based on the specific identification method.</w:t>
      </w:r>
    </w:p>
    <w:p>
      <w:pPr>
        <w:spacing w:after="0" w:line="183"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Accounts Receivable. </w:t>
      </w:r>
      <w:r>
        <w:rPr>
          <w:rFonts w:ascii="Times New Roman" w:cs="Times New Roman" w:eastAsia="Times New Roman" w:hAnsi="Times New Roman"/>
          <w:sz w:val="18"/>
          <w:szCs w:val="18"/>
          <w:color w:val="auto"/>
        </w:rPr>
        <w:t>As of September 30, 2020 and December 31, 2019, we had an immaterial allowance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doubtful accounts. We provide an allowance for doubtful accounts based on experience and specifically identified risks. Accounts receivable are carried at fair value and charged off against the allowance for doubtful accounts when we determine that recovery is unlikely and we cease collection efforts.</w:t>
      </w:r>
    </w:p>
    <w:p>
      <w:pPr>
        <w:spacing w:after="0" w:line="180" w:lineRule="exact"/>
        <w:rPr>
          <w:sz w:val="20"/>
          <w:szCs w:val="20"/>
          <w:color w:val="auto"/>
        </w:rPr>
      </w:pPr>
    </w:p>
    <w:p>
      <w:pPr>
        <w:jc w:val="both"/>
        <w:ind w:left="40" w:right="5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Inventory. </w:t>
      </w:r>
      <w:r>
        <w:rPr>
          <w:rFonts w:ascii="Times New Roman" w:cs="Times New Roman" w:eastAsia="Times New Roman" w:hAnsi="Times New Roman"/>
          <w:sz w:val="18"/>
          <w:szCs w:val="18"/>
          <w:color w:val="auto"/>
        </w:rPr>
        <w:t>Inventories are determined at the lower of cost and net realizable value with cost determined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 identification method and may consist of raw materials, work in process and finished goods.</w:t>
      </w:r>
    </w:p>
    <w:p>
      <w:pPr>
        <w:spacing w:after="0" w:line="160"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We began capitalizing PEMAZYRE inventory after FDA approval in April 2020 as the related costs were expected to be recoverable through the commercialization of the product. Costs incurred prior to FDA approval have been recorded as research and development expense in our statements of operations. As a result, cost of product revenues for the next 48 months will reflect a lower average per unit cost of materials.</w:t>
      </w:r>
    </w:p>
    <w:p>
      <w:pPr>
        <w:spacing w:after="0" w:line="180"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JAKAFI, ICLUSIG and PEMAZYRE raw materials and work-in-process inventory are not subject to expiration and the shelf life of finished goods inventory is 36 months from the start of manufacturing of the finished goods. We evaluate for potential excess inventory by analyzing current and future product demand relative to the remaining product shelf life. We build demand forecasts by considering factors such as, but not limited to, overall market potential, market share, market acceptance and patient usage. We classify inventory as current on the condensed consolidated balance sheets when we expect inventory to be consumed for commercial use within the next twelve months.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40" w:right="5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Variable Interest Entities</w:t>
      </w:r>
      <w:r>
        <w:rPr>
          <w:rFonts w:ascii="Times New Roman" w:cs="Times New Roman" w:eastAsia="Times New Roman" w:hAnsi="Times New Roman"/>
          <w:sz w:val="18"/>
          <w:szCs w:val="18"/>
          <w:color w:val="auto"/>
        </w:rPr>
        <w:t>. We perform an initial and ongoing evaluation of the entities with which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variable interests, such as equity ownership, in order to identify entities (i) that do not have sufficient equity investment at risk to permit the entity to finance its activities without additional subordinated financial support or (ii) in which the equity investors lack an essential characteristic of a controlling financial interest as variable interest entities (“VIE” or “VIEs”). If an entity is identified as a VIE, we perform an assessment to determine whether we have both (i) the power to direct activities that most significantly impact the VIE’s economic performance and (ii) have the obligation to absorb losses from or the right to receive benefits of the VIE that could potentially be significant to the VIE. If both of these criteria are satisfied, we are identified as the primary beneficiary of the VIE. As of September 30, 2020, there were no entities in which we held a variable interest which we determined to be VIEs.</w:t>
      </w:r>
    </w:p>
    <w:p>
      <w:pPr>
        <w:spacing w:after="0" w:line="188" w:lineRule="exact"/>
        <w:rPr>
          <w:sz w:val="20"/>
          <w:szCs w:val="20"/>
          <w:color w:val="auto"/>
        </w:rPr>
      </w:pPr>
    </w:p>
    <w:p>
      <w:pPr>
        <w:jc w:val="both"/>
        <w:ind w:left="40" w:right="5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Long Term Investments. </w:t>
      </w:r>
      <w:r>
        <w:rPr>
          <w:rFonts w:ascii="Times New Roman" w:cs="Times New Roman" w:eastAsia="Times New Roman" w:hAnsi="Times New Roman"/>
          <w:sz w:val="18"/>
          <w:szCs w:val="18"/>
          <w:color w:val="auto"/>
        </w:rPr>
        <w:t>Our long term investments consist of equity investments in common stock of publicly-held companies with whom we have entered into collaboration and license agreements. We classify all of our equity investments in common stock of publicly-held companies as long term investments on our condensed consolidated balance sheets. Our equity investments are accounted for at fair value using readily determinable pricing available on a securities exchange on our condensed consolidated balance sheets. All changes in fair value are reported in the condensed consolidated statements of operations as an unrealized gain (loss) on long term investments.</w:t>
      </w:r>
    </w:p>
    <w:p>
      <w:pPr>
        <w:spacing w:after="0" w:line="184" w:lineRule="exact"/>
        <w:rPr>
          <w:sz w:val="20"/>
          <w:szCs w:val="20"/>
          <w:color w:val="auto"/>
        </w:rPr>
      </w:pPr>
    </w:p>
    <w:p>
      <w:pPr>
        <w:jc w:val="both"/>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In assessing whether we exercise significant influence over any of the companies in which we hold equity investments, we consider the nature and magnitude of our investment, any voting and protective rights we hold, any participation in the governance of the other company, and other relevant factors such as the presence of a collaboration or other business relationship. Currently, none of our equity investments in publicly-held companies are considered relationships in which we are able to assert control.</w:t>
      </w:r>
    </w:p>
    <w:p>
      <w:pPr>
        <w:spacing w:after="0" w:line="181" w:lineRule="exact"/>
        <w:rPr>
          <w:sz w:val="20"/>
          <w:szCs w:val="20"/>
          <w:color w:val="auto"/>
        </w:rPr>
      </w:pPr>
    </w:p>
    <w:p>
      <w:pPr>
        <w:jc w:val="both"/>
        <w:ind w:left="40" w:right="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net. </w:t>
      </w:r>
      <w:r>
        <w:rPr>
          <w:rFonts w:ascii="Times New Roman" w:cs="Times New Roman" w:eastAsia="Times New Roman" w:hAnsi="Times New Roman"/>
          <w:sz w:val="18"/>
          <w:szCs w:val="18"/>
          <w:color w:val="auto"/>
        </w:rPr>
        <w:t>Property and equipment, net is stated at cost, less accumulated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Depreciation is recorded using the straight-line method over the estimated useful lives of the respective assets. Leasehold improvements are amortized over the shorter of the estimated useful life of the assets or lease term.</w:t>
      </w:r>
    </w:p>
    <w:p>
      <w:pPr>
        <w:spacing w:after="0" w:line="173" w:lineRule="exact"/>
        <w:rPr>
          <w:sz w:val="20"/>
          <w:szCs w:val="20"/>
          <w:color w:val="auto"/>
        </w:rPr>
      </w:pPr>
    </w:p>
    <w:p>
      <w:pPr>
        <w:jc w:val="both"/>
        <w:ind w:left="40" w:right="5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Lease Accounting. </w:t>
      </w:r>
      <w:r>
        <w:rPr>
          <w:rFonts w:ascii="Times New Roman" w:cs="Times New Roman" w:eastAsia="Times New Roman" w:hAnsi="Times New Roman"/>
          <w:sz w:val="18"/>
          <w:szCs w:val="18"/>
          <w:color w:val="auto"/>
        </w:rPr>
        <w:t>Accounting Standard Codification (“ASC”) 842, Leases, was adopted for the fiscal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beginning on January 1, 2019. All leases with a lease term greater than 12 months, regardless of lease type classification, are recorded as an obligation on the balance sheet with a corresponding right-of-use asset. Both finance and operating leases are reflected as liabilities on the commencement date of the lease based on the present value of the lease payments to be made over the lease term. Current operating lease liabilities are reflected in accrued and other current liabilities and noncurrent operating lease liabilities are reflected in other liabilities on the condensed consolidated balance sheet. Right-of-use assets are valued at the initial measurement of the lease liability, plus any initial direct costs or rent prepayments, minus lease incentives and any deferred lease payments. Operating lease right-of-use assets are recorded in property and equipment, net on the condensed consolidated balance sheet and lease cost is recognized on a straight-line basis. For finance leases, expense is recognized as separate amortization and interest expense, with higher interest expense in the earlier periods of a lease. Leases with an initial term of 12 months or less are not recorded on the balance sheet and we recognize lease expense for these leases on a straight-line basis over the term of the lease. In determining whether a contract contains a lease, asset and service agreements are assessed at onset and upon modification for criteria of specifically identified assets, control and economic benefit.</w:t>
      </w:r>
    </w:p>
    <w:p>
      <w:pPr>
        <w:spacing w:after="0" w:line="185" w:lineRule="exact"/>
        <w:rPr>
          <w:sz w:val="20"/>
          <w:szCs w:val="20"/>
          <w:color w:val="auto"/>
        </w:rPr>
      </w:pPr>
    </w:p>
    <w:p>
      <w:pPr>
        <w:jc w:val="both"/>
        <w:ind w:left="40" w:right="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Intangible Assets, net. </w:t>
      </w:r>
      <w:r>
        <w:rPr>
          <w:rFonts w:ascii="Times New Roman" w:cs="Times New Roman" w:eastAsia="Times New Roman" w:hAnsi="Times New Roman"/>
          <w:sz w:val="18"/>
          <w:szCs w:val="18"/>
          <w:color w:val="auto"/>
        </w:rPr>
        <w:t>Other intangible assets, net consist of licensed intellectual property rights acquired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combinations, which are reported at acquisition date fair value, less accumulated amortization. Intangible assets with finite lives are amortized over their estimated useful lives using the straight-line method.</w:t>
      </w:r>
    </w:p>
    <w:p>
      <w:pPr>
        <w:spacing w:after="0" w:line="173" w:lineRule="exact"/>
        <w:rPr>
          <w:sz w:val="20"/>
          <w:szCs w:val="20"/>
          <w:color w:val="auto"/>
        </w:rPr>
      </w:pPr>
    </w:p>
    <w:p>
      <w:pPr>
        <w:jc w:val="both"/>
        <w:ind w:left="40" w:right="5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Impairment of Long-Lived Assets. </w:t>
      </w:r>
      <w:r>
        <w:rPr>
          <w:rFonts w:ascii="Times New Roman" w:cs="Times New Roman" w:eastAsia="Times New Roman" w:hAnsi="Times New Roman"/>
          <w:sz w:val="18"/>
          <w:szCs w:val="18"/>
          <w:color w:val="auto"/>
        </w:rPr>
        <w:t>Long-lived assets with finite lives are tested for impairment whenever events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circumstances indicate that the carrying value of an asset may not be recoverable. If indicators of impairment are present, the asset is tested for recoverability by comparing the carrying value of the asset to the related estimated undiscounted future cash flows expected to be derived from the asset. If the expected cash flows are less than the carrying value of the asset, then the asset is considered to be impaired and its carrying value is written down to fair value, based on the related estimated discounted future cash flows.</w:t>
      </w:r>
    </w:p>
    <w:p>
      <w:pPr>
        <w:sectPr>
          <w:pgSz w:w="11900" w:h="16838" w:orient="portrait"/>
          <w:cols w:equalWidth="0" w:num="1">
            <w:col w:w="9019"/>
          </w:cols>
          <w:pgMar w:left="1440" w:top="513"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40" w:right="5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Goodwill is calculated as the difference between the acquisition date fair value of the consideration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transferred and the values assigned to the assets acquired and liabilities assumed. Goodwill is not amortized but is tested for impairment at the reporting unit level at least annually as of October 1 or when a triggering event occurs that could indicate a potential impairment by assessing qualitative factors or performing a quantitative analysis in determining whether it is more likely than not that the fair value of net assets are below their carrying amounts. A reporting unit is the same as, or one level below, an operating segment. Our operations are currently comprised of a single, entity wide reporting unit. We completed our most recent annual impairment assessment as of October 1, 2019 and determined that the carrying value of our goodwill was not impaired.</w:t>
      </w:r>
    </w:p>
    <w:p>
      <w:pPr>
        <w:spacing w:after="0" w:line="185" w:lineRule="exact"/>
        <w:rPr>
          <w:sz w:val="20"/>
          <w:szCs w:val="20"/>
          <w:color w:val="auto"/>
        </w:rPr>
      </w:pPr>
    </w:p>
    <w:p>
      <w:pPr>
        <w:jc w:val="both"/>
        <w:ind w:left="40" w:right="5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We account for income taxes using the asset and liability approach which requires the recognition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deferred tax assets and liabilities for the expected future tax consequences of temporary differences between the carrying amount of assets and liabilities for financial reporting purposes and amounts reportable for income tax purposes. Deferred tax assets are reduced by a valuation allowance when, in the opinion of management, it is more-likely-than-not that some portion or all of the deferred tax assets will not be realized. The primary factors used to assess the likelihood of realization are our recent history of cumulative earnings or losses, expected reversals of taxable temporary timing differences, forecasts of future taxable income and available tax planning strategies that could be implemented to realize the deferred tax assets. Upon evaluating and weighting both positive and negative evidence, we concluded that we should continue to maintain the valuation allowance on the majority of our deferred tax assets as of September 30, 2020.</w:t>
      </w:r>
    </w:p>
    <w:p>
      <w:pPr>
        <w:spacing w:after="0" w:line="190"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We recognize the tax benefit from an uncertain tax position only if it is more-likely-than-not that the position will be sustained upon examination by the taxing authorities, including resolutions of any related appeals or litigation processes, based on the technical merits of the position. The tax benefit that is recorded for these positions is measured at the largest amount of benefit that is greater than 50 percent likely of being realized upon ultimate settlement. We adjust the level of the liability to reflect any subsequent changes in the relevant facts surrounding the uncertain positions. Any interest and penalties on uncertain tax positions are included within the tax provision.</w:t>
      </w:r>
    </w:p>
    <w:p>
      <w:pPr>
        <w:spacing w:after="0" w:line="187" w:lineRule="exact"/>
        <w:rPr>
          <w:sz w:val="20"/>
          <w:szCs w:val="20"/>
          <w:color w:val="auto"/>
        </w:rPr>
      </w:pPr>
    </w:p>
    <w:p>
      <w:pPr>
        <w:jc w:val="both"/>
        <w:ind w:left="40" w:right="59" w:firstLine="648"/>
        <w:spacing w:after="0" w:line="270" w:lineRule="auto"/>
        <w:rPr>
          <w:sz w:val="20"/>
          <w:szCs w:val="20"/>
          <w:color w:val="auto"/>
        </w:rPr>
      </w:pPr>
      <w:r>
        <w:rPr>
          <w:rFonts w:ascii="Times New Roman" w:cs="Times New Roman" w:eastAsia="Times New Roman" w:hAnsi="Times New Roman"/>
          <w:sz w:val="17"/>
          <w:szCs w:val="17"/>
          <w:color w:val="auto"/>
        </w:rPr>
        <w:t>The Coronavirus Aid, Relief, and Economic Security (CARES) Act was signed into law in March 2020 to provide an estimated $2.2 trillion designed to stimulate the U.S. economy during the COVID-19 pandemic. The Act includes tax relief, government loans, grants and investments for entities in affected industries, which has related accounting and financial reporting impacts. Disclosure for certain income tax accounting measures are required in the period of enactment and disclosure for government loans, investments, grants, and revenue recognition are required in future periods as federal agencies establish rules and procedures to implement the CARES Act. During the nine months ended September 30, 2020, we have delayed the payment of certain employer payroll tax amounts to future periods as allowed under the Act. However, we do not expect the CARES Act to have a material impact on our overall financial results, our income tax provision or our liquidity. We have further described the expected impact and risks of COVID-19 on our business in the overview to Item 2. Management’s Discussion and Analysis of Financial Condition and Results of Operations and in Item 1A. Risk Factors.</w:t>
      </w:r>
    </w:p>
    <w:p>
      <w:pPr>
        <w:spacing w:after="0" w:line="175"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Financing Costs Related to Long-term Debt. </w:t>
      </w:r>
      <w:r>
        <w:rPr>
          <w:rFonts w:ascii="Times New Roman" w:cs="Times New Roman" w:eastAsia="Times New Roman" w:hAnsi="Times New Roman"/>
          <w:sz w:val="18"/>
          <w:szCs w:val="18"/>
          <w:color w:val="auto"/>
        </w:rPr>
        <w:t>Costs associated with obtaining long-term debt are deferred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amortized over the term of the related debt using the effective interest method. Such costs are presented as a direct deduction from the carrying amount of the long-term debt liability, consistent with debt discounts, on the condensed consolidated balance sheets.</w:t>
      </w:r>
    </w:p>
    <w:p>
      <w:pPr>
        <w:spacing w:after="0" w:line="180"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Income (Loss) Per Share. </w:t>
      </w:r>
      <w:r>
        <w:rPr>
          <w:rFonts w:ascii="Times New Roman" w:cs="Times New Roman" w:eastAsia="Times New Roman" w:hAnsi="Times New Roman"/>
          <w:sz w:val="18"/>
          <w:szCs w:val="18"/>
          <w:color w:val="auto"/>
        </w:rPr>
        <w:t>Our basic and diluted net income (loss) per share is calculated by dividing the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(loss) by the weighted average number of shares of common stock outstanding during all periods presented. Options to purchase stock, restricted stock units, performance stock units and shares issuable upon the conversion of convertible debt are included in diluted earnings per share calculations, unless the effects are anti-dilutive.</w:t>
      </w:r>
    </w:p>
    <w:p>
      <w:pPr>
        <w:spacing w:after="0" w:line="180" w:lineRule="exact"/>
        <w:rPr>
          <w:sz w:val="20"/>
          <w:szCs w:val="20"/>
          <w:color w:val="auto"/>
        </w:rPr>
      </w:pPr>
    </w:p>
    <w:p>
      <w:pPr>
        <w:jc w:val="both"/>
        <w:ind w:left="40" w:right="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Accumulated Other Comprehensive Income (Loss). </w:t>
      </w:r>
      <w:r>
        <w:rPr>
          <w:rFonts w:ascii="Times New Roman" w:cs="Times New Roman" w:eastAsia="Times New Roman" w:hAnsi="Times New Roman"/>
          <w:sz w:val="18"/>
          <w:szCs w:val="18"/>
          <w:color w:val="auto"/>
        </w:rPr>
        <w:t>Accumulated other comprehensive income (loss) consists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unrealized gains or losses on marketable securities that are classified as available-for-sale, foreign currency translation gains or losses and defined benefit pension obligations.</w:t>
      </w:r>
    </w:p>
    <w:p>
      <w:pPr>
        <w:spacing w:after="0" w:line="173" w:lineRule="exact"/>
        <w:rPr>
          <w:sz w:val="20"/>
          <w:szCs w:val="20"/>
          <w:color w:val="auto"/>
        </w:rPr>
      </w:pPr>
    </w:p>
    <w:p>
      <w:pPr>
        <w:jc w:val="both"/>
        <w:ind w:left="40" w:right="5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Revenue-generating contracts are assessed under ASC 606, Revenue from contracts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to identify distinct performance obligations, determine the transaction price of the contract and allocate the</w:t>
      </w:r>
    </w:p>
    <w:p>
      <w:pPr>
        <w:sectPr>
          <w:pgSz w:w="11900" w:h="16838" w:orient="portrait"/>
          <w:cols w:equalWidth="0" w:num="1">
            <w:col w:w="9019"/>
          </w:cols>
          <w:pgMar w:left="1440" w:top="513" w:right="1440"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transaction price to each of the distinct performance obligations. Revenue is recognized when we have satisfied a performance obligation through transferring control of the promised good or service to a customer. Control, in this instance, may mean the ability to prevent other entities from directing the use of, and receiving benefit from, a good or service. We determine at contract inception whether we will transfer control of a promised good or service over time or satisfy the performance obligation at a point in time through analysis of the following criteria: (i) the entity has a present right to payment, (ii) the customer has legal title, (iii) the customer has physical possession, (iv) the customer has the significant risks and rewards of ownership and (v) the customer has accepted the asset. We assess collectability based primarily on the customer’s payment history and on the creditworthiness of the customer.</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u w:val="single" w:color="auto"/>
          <w:color w:val="auto"/>
        </w:rPr>
        <w:t>Product Revenues</w:t>
      </w:r>
    </w:p>
    <w:p>
      <w:pPr>
        <w:spacing w:after="0" w:line="227" w:lineRule="exact"/>
        <w:rPr>
          <w:sz w:val="20"/>
          <w:szCs w:val="20"/>
          <w:color w:val="auto"/>
        </w:rPr>
      </w:pPr>
    </w:p>
    <w:p>
      <w:pPr>
        <w:jc w:val="both"/>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Our product revenues consist of U.S. sales of JAKAFI and PEMAZYRE and European sales of ICLUSIG. Product revenues are recognized once we satisfy the performance obligation at a point in time under the revenue recognition criteria as described above. We sell JAKAFI and PEMAZYRE to our customers in the U.S., which include specialty pharmacies and wholesalers. We sell ICLUSIG to our customers in the European Union and certain other jurisdictions, which include retail pharmacies, hospital pharmacies and distributors.</w:t>
      </w:r>
    </w:p>
    <w:p>
      <w:pPr>
        <w:spacing w:after="0" w:line="183"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We recognize revenues for product received by our customers net of allowances for customer credits, including estimated rebates, chargebacks, discounts, returns, distribution service fees, patient assistance programs, and government rebates, such as Medicare Part D coverage gap reimbursements in the U.S. Product shipping and handling costs are included in cost of product revenues.</w:t>
      </w:r>
    </w:p>
    <w:p>
      <w:pPr>
        <w:spacing w:after="0" w:line="178"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Customer Credits: </w:t>
      </w:r>
      <w:r>
        <w:rPr>
          <w:rFonts w:ascii="Times New Roman" w:cs="Times New Roman" w:eastAsia="Times New Roman" w:hAnsi="Times New Roman"/>
          <w:sz w:val="18"/>
          <w:szCs w:val="18"/>
          <w:color w:val="auto"/>
        </w:rPr>
        <w:t>Our customers are offered various forms of consideration, including allowances, service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prompt payment discounts. We expect our customers will earn prompt payment discounts and, therefore, we deduct the full amount of these discounts from total product sales when revenues are recognized. Service fees are also deducted from total product sales as they are earned.</w:t>
      </w:r>
    </w:p>
    <w:p>
      <w:pPr>
        <w:spacing w:after="0" w:line="180" w:lineRule="exact"/>
        <w:rPr>
          <w:sz w:val="20"/>
          <w:szCs w:val="20"/>
          <w:color w:val="auto"/>
        </w:rPr>
      </w:pPr>
    </w:p>
    <w:p>
      <w:pPr>
        <w:jc w:val="both"/>
        <w:ind w:left="40" w:right="5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Rebates and Discounts: </w:t>
      </w:r>
      <w:r>
        <w:rPr>
          <w:rFonts w:ascii="Times New Roman" w:cs="Times New Roman" w:eastAsia="Times New Roman" w:hAnsi="Times New Roman"/>
          <w:sz w:val="18"/>
          <w:szCs w:val="18"/>
          <w:color w:val="auto"/>
        </w:rPr>
        <w:t>Allowances for rebates include mandated discounts under the Medicaid Drug Rebate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in the U.S. and mandated discounts in Europe in markets where government-sponsored healthcare systems are the primary payers for healthcare. Rebates are amounts owed after the final dispensing of the product to a benefit plan participant and are based upon contractual agreements or legal requirements with public sector benefit providers. The accrual for rebates is based on statutory discount rates and expected utilization as well as historical data we have accumulated since product launches. Our estimates for expected utilization of rebates are based on data received from our customers. Rebates are generally invoiced and paid in arrears so that the accrual balance consists of an estimate of the amount expected to be incurred for the current quarter’s activity, plus an accrual balance for known prior quarters’ unpaid rebates. If actual future rebates vary from estimates, we may need to adjust prior period accruals, which would affect revenue in the period of adjustment.</w:t>
      </w:r>
    </w:p>
    <w:p>
      <w:pPr>
        <w:spacing w:after="0" w:line="185" w:lineRule="exact"/>
        <w:rPr>
          <w:sz w:val="20"/>
          <w:szCs w:val="20"/>
          <w:color w:val="auto"/>
        </w:rPr>
      </w:pPr>
    </w:p>
    <w:p>
      <w:pPr>
        <w:jc w:val="both"/>
        <w:ind w:left="40" w:right="5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Chargebacks: </w:t>
      </w:r>
      <w:r>
        <w:rPr>
          <w:rFonts w:ascii="Times New Roman" w:cs="Times New Roman" w:eastAsia="Times New Roman" w:hAnsi="Times New Roman"/>
          <w:sz w:val="18"/>
          <w:szCs w:val="18"/>
          <w:color w:val="auto"/>
        </w:rPr>
        <w:t>Chargebacks are discounts that occur when certain contracted customers, which currently consist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of group purchasing organizations, Public Health Service institutions, non-profit clinics, and Federal government entities purchasing via the Federal Supply Schedule, purchase directly from our wholesalers. Contracted customers generally purchase the product at a discounted price. The wholesalers, in turn, charges back to us the difference between the price initially paid by the wholesalers and the discounted price paid by the contracted customers. In addition to actual chargebacks received we maintain an accrual for chargebacks based on the estimated contractual discounts on the inventory levels on hand in our distribution channel. If actual future chargebacks vary from these estimates, we may need to adjust prior period accruals, which would affect revenue in the period of adjustment.</w:t>
      </w:r>
    </w:p>
    <w:p>
      <w:pPr>
        <w:spacing w:after="0" w:line="185"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Medicare Part D Coverage Gap: </w:t>
      </w:r>
      <w:r>
        <w:rPr>
          <w:rFonts w:ascii="Times New Roman" w:cs="Times New Roman" w:eastAsia="Times New Roman" w:hAnsi="Times New Roman"/>
          <w:sz w:val="18"/>
          <w:szCs w:val="18"/>
          <w:color w:val="auto"/>
        </w:rPr>
        <w:t>Medicare Part D prescription drug benefit mandates manufacturers to fund 70%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Medicare Part D insurance coverage gap for prescription drugs sold to eligible patients. Our estimates for the expected Medicare Part D coverage gap are based on historical invoices received and in part from data received from our customers. Funding of the coverage gap is generally invoiced and paid in arrears so that the accrual balance consists of an estimate of the amount expected to be incurred for the current quarter’s activity, plus an accrual balance for known prior quarters. If actual future funding varies from estimates, we may need to adjust prior period accruals, which would affect revenue in the period of adjustment. Additionally, beginning in January 2020, the amount of spending required by eligible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8"/>
          <w:szCs w:val="18"/>
          <w:color w:val="auto"/>
        </w:rPr>
        <w:t>patients in the Medicare Part D insurance coverage gap increased 30% due to the expiration of a provision in the Patient Protection and Affordable Care Act, which now results in a change in the True Out of Pocket (TrOOP) calculation methodology. The methodological change has resulted in an increase in required spending by patients and, in turn, an increase in manufacturers’ contributions on behalf of patients in the Medicare Part D insurance coverage gap.</w:t>
      </w:r>
    </w:p>
    <w:p>
      <w:pPr>
        <w:spacing w:after="0" w:line="178" w:lineRule="exact"/>
        <w:rPr>
          <w:sz w:val="20"/>
          <w:szCs w:val="20"/>
          <w:color w:val="auto"/>
        </w:rPr>
      </w:pPr>
    </w:p>
    <w:p>
      <w:pPr>
        <w:jc w:val="both"/>
        <w:ind w:left="40" w:right="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Co-payment Assistance: </w:t>
      </w:r>
      <w:r>
        <w:rPr>
          <w:rFonts w:ascii="Times New Roman" w:cs="Times New Roman" w:eastAsia="Times New Roman" w:hAnsi="Times New Roman"/>
          <w:sz w:val="18"/>
          <w:szCs w:val="18"/>
          <w:color w:val="auto"/>
        </w:rPr>
        <w:t>Patients who have commercial insurance and meet certain eligibility requirements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co-payment assistance. We accrue a liability for co-payment assistance based on actual program participation and estimates of program redemption using data provided by third-party administrators.</w:t>
      </w:r>
    </w:p>
    <w:p>
      <w:pPr>
        <w:spacing w:after="0" w:line="1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u w:val="single" w:color="auto"/>
          <w:color w:val="auto"/>
        </w:rPr>
        <w:t>Product Royalty Revenues</w:t>
      </w:r>
    </w:p>
    <w:p>
      <w:pPr>
        <w:spacing w:after="0" w:line="227" w:lineRule="exact"/>
        <w:rPr>
          <w:sz w:val="20"/>
          <w:szCs w:val="20"/>
          <w:color w:val="auto"/>
        </w:rPr>
      </w:pPr>
    </w:p>
    <w:p>
      <w:pPr>
        <w:jc w:val="both"/>
        <w:ind w:left="40" w:right="59" w:firstLine="648"/>
        <w:spacing w:after="0" w:line="230" w:lineRule="auto"/>
        <w:rPr>
          <w:sz w:val="20"/>
          <w:szCs w:val="20"/>
          <w:color w:val="auto"/>
        </w:rPr>
      </w:pPr>
      <w:r>
        <w:rPr>
          <w:rFonts w:ascii="Times New Roman" w:cs="Times New Roman" w:eastAsia="Times New Roman" w:hAnsi="Times New Roman"/>
          <w:sz w:val="18"/>
          <w:szCs w:val="18"/>
          <w:color w:val="auto"/>
        </w:rPr>
        <w:t>Royalty revenues on commercial sales for ruxolitinib (marketed as JAKAVI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outside the United States) by Novartis Pharmaceutical International Ltd. (“Novartis”) are based on net sales of licensed products in licensed territories as provided by Novartis. Royalty revenues on commercial sales for baricitinib (marketed as OLUMIANT) by Eli Lilly and Company (“Lilly”) are based on net sales of licensed products in licensed territories as provided by Lilly. Royalty revenues on commercial sales for capmatinib (marketed as TABRECTA®) by Novartis are based on net sales of licensed products in the licensed territories as provided by Novartis. We recognize royalty revenues in the period the sales occur.</w:t>
      </w:r>
    </w:p>
    <w:p>
      <w:pPr>
        <w:spacing w:after="0" w:line="20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u w:val="single" w:color="auto"/>
          <w:color w:val="auto"/>
        </w:rPr>
        <w:t>Milestone and Contract Revenues</w:t>
      </w:r>
    </w:p>
    <w:p>
      <w:pPr>
        <w:spacing w:after="0" w:line="227" w:lineRule="exact"/>
        <w:rPr>
          <w:sz w:val="20"/>
          <w:szCs w:val="20"/>
          <w:color w:val="auto"/>
        </w:rPr>
      </w:pPr>
    </w:p>
    <w:p>
      <w:pPr>
        <w:jc w:val="both"/>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Our license agreements, which fall within the scope of ASC 606, Revenue from Contracts with Customers, include distinct drug compound out-licensing, collection of upfront payments, milestones or royalty revenues from a counterparty, and provision of commercially available products to suppliers. Our agreements often include contractual milestones, which typically relate to the achievement of pre-specified development, regulatory and commercialization events outside of our control, such as regulatory approval of a compound, first patient dosing or achievement of sales-based thresholds. For such cases, we believe that revenue related to these events should not be recognized until the milestone has been achieved.</w:t>
      </w:r>
    </w:p>
    <w:p>
      <w:pPr>
        <w:spacing w:after="0" w:line="189" w:lineRule="exact"/>
        <w:rPr>
          <w:sz w:val="20"/>
          <w:szCs w:val="20"/>
          <w:color w:val="auto"/>
        </w:rPr>
      </w:pPr>
    </w:p>
    <w:p>
      <w:pPr>
        <w:jc w:val="both"/>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Some contracts form collaborative arrangements of various types with third-parties. We assess whether the nature of the arrangement is within the scope of ASC 808, Collaborative Arrangements, in conjunction with the revenue recognition guidance in ASC 606 to determine the nature of the performance obligations and associated transaction prices. A collaborative relationship may exist when we participate in an activity or process with another party, such as performance of research and development services or the exchange of intellectual property for use in clinical trials, when both parties share in the risks and rewards that result from the activity and participate and govern contract activities through a joint steering committee.</w:t>
      </w:r>
    </w:p>
    <w:p>
      <w:pPr>
        <w:spacing w:after="0" w:line="189" w:lineRule="exact"/>
        <w:rPr>
          <w:sz w:val="20"/>
          <w:szCs w:val="20"/>
          <w:color w:val="auto"/>
        </w:rPr>
      </w:pPr>
    </w:p>
    <w:p>
      <w:pPr>
        <w:jc w:val="both"/>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The regulatory review and approval process, which includes preclinical testing and clinical trials of each drug candidate, is lengthy, expensive and uncertain. Securing approval by the U.S. Food and Drug Administration (the “FDA”) requires the submission of extensive preclinical and clinical data and supporting information to the FDA for each indication to establish a drug candidate’s safety and efficacy. The approval process takes many years, requires the expenditure of substantial resources, involves post-marketing surveillance and may involve ongoing requirements for post-marketing studies. Before commencing clinical investigations of a drug candidate in humans, we must submit an Investigational New Drug application (“IND”), which must be reviewed by the FDA.</w:t>
      </w:r>
    </w:p>
    <w:p>
      <w:pPr>
        <w:spacing w:after="0" w:line="189" w:lineRule="exact"/>
        <w:rPr>
          <w:sz w:val="20"/>
          <w:szCs w:val="20"/>
          <w:color w:val="auto"/>
        </w:rPr>
      </w:pPr>
    </w:p>
    <w:p>
      <w:pPr>
        <w:jc w:val="both"/>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The steps generally required before a drug may be marketed in the United States include preclinical laboratory tests, animal studies and formulation studies, submission to the FDA of an IND for human clinical testing, performance of adequate and well-controlled clinical trials in three phases, as described below, to establish the safety and efficacy of the drug for each indication, submission of a new drug application (“NDA”) or biologics license application (“BLA”) to the FDA for review and FDA approval of the NDA or BLA.</w:t>
      </w:r>
    </w:p>
    <w:p>
      <w:pPr>
        <w:spacing w:after="0" w:line="183" w:lineRule="exact"/>
        <w:rPr>
          <w:sz w:val="20"/>
          <w:szCs w:val="20"/>
          <w:color w:val="auto"/>
        </w:rPr>
      </w:pPr>
    </w:p>
    <w:p>
      <w:pPr>
        <w:jc w:val="both"/>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Similar requirements exist within foreign regulatory agencies as well. The time required satisfying the FDA requirements or similar requirements of foreign regulatory agencies may vary substantially based on the type, complexity and novelty of the product or the targeted disease.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52" w:lineRule="auto"/>
        <w:rPr>
          <w:sz w:val="20"/>
          <w:szCs w:val="20"/>
          <w:color w:val="auto"/>
        </w:rPr>
      </w:pPr>
      <w:r>
        <w:rPr>
          <w:rFonts w:ascii="Times New Roman" w:cs="Times New Roman" w:eastAsia="Times New Roman" w:hAnsi="Times New Roman"/>
          <w:sz w:val="18"/>
          <w:szCs w:val="18"/>
          <w:color w:val="auto"/>
        </w:rPr>
        <w:t>Preclinical testing includes laboratory evaluation of product pharmacology, drug metabolism, and toxicity, which includes animal studies, to assess potential safety and efficacy as well as product chemistry, stability, formulation, development, and testing. The results of the preclinical tests, together with manufacturing information and analytical data, are submitted to the FDA as part of an IND. The FDA may raise safety concerns or questions about the conduct of the clinical trials included in the IND, and any of these concerns or questions must be resolved before clinical trials can proceed. We cannot be sure that submission of an IND will result in the FDA allowing clinical trials to commence. Clinical trials involve the administration of the investigational drug or the marketed drug to human subjects under the supervision of qualified investigators and in accordance with good clinical practices regulations covering the protection of human subjects. Clinical trials typically are conducted in three sequential phases, but the phases may overlap or be combined. Phase I usually involves the initial introduction of the investigational drug into healthy volunteers to evaluate its safety, dosage tolerance, absorption, metabolism, distribution and excretion. Phase II usually involves clinical trials in a limited patient population to evaluate dosage tolerance and optimal dosage, identify possible adverse effects and safety risks, and evaluate and gain preliminary evidence of the efficacy of the drug for specific indications. Phase III clinical trials usually further evaluate clinical efficacy and safety by testing the drug in its final form in an expanded patient population, providing statistical evidence of efficacy and safety, and providing an adequate basis for labeling. We cannot guarantee that Phase I, Phase II or Phase III testing will be completed successfully within any specified period of time, if at all. Furthermore, we, the institutional review board for a trial, or the FDA may suspend clinical trials at any time on various grounds, including a finding that the subjects or patients are being exposed to an unacceptable health risk.</w:t>
      </w:r>
    </w:p>
    <w:p>
      <w:pPr>
        <w:spacing w:after="0" w:line="192" w:lineRule="exact"/>
        <w:rPr>
          <w:sz w:val="20"/>
          <w:szCs w:val="20"/>
          <w:color w:val="auto"/>
        </w:rPr>
      </w:pPr>
    </w:p>
    <w:p>
      <w:pPr>
        <w:jc w:val="both"/>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Generally, the milestone events contained in our collaboration agreements coincide with the progression of our drugs from development, to regulatory approval and then to commercialization. The process of successfully discovering a new development candidate, having it approved and successfully commercialized is highly uncertain. As such, the milestone payments we may earn from our partners involve a significant degree of risk to achieve. Therefore, as a drug candidate progresses through the stages of its life-cycle, the value of the drug candidate generally increases.</w:t>
      </w:r>
    </w:p>
    <w:p>
      <w:pPr>
        <w:spacing w:after="0" w:line="18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u w:val="single" w:color="auto"/>
          <w:color w:val="auto"/>
        </w:rPr>
        <w:t>Cost of Product Revenues</w:t>
      </w:r>
    </w:p>
    <w:p>
      <w:pPr>
        <w:spacing w:after="0" w:line="227" w:lineRule="exact"/>
        <w:rPr>
          <w:sz w:val="20"/>
          <w:szCs w:val="20"/>
          <w:color w:val="auto"/>
        </w:rPr>
      </w:pPr>
    </w:p>
    <w:p>
      <w:pPr>
        <w:jc w:val="both"/>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Cost of product revenues includes all JAKAFI, ICLUSIG and PEMAZYRE related product costs. In addition, cost of product revenues include low single-digit royalties under our collaboration and license agreement to Novartis on all future sales of JAKAFI in the United States and the amortization of our licensed intellectual property for ICLUSIG using the straight-line method over the estimated useful life of 12.5 years from the date of acquisition on June 1, 2016 of all of the outstanding shares of ARIAD Pharmaceuticals (Luxembourg) S.à.r.l. (since renamed Incyte Biosciences Luxembourg S.à.r.l.) from ARIAD Pharmaceuticals, Inc. (“ARIAD”). Cost of product revenues also includes employee personnel costs, including stock compensation, for those employees dedicated to the production of our commercial products.</w:t>
      </w:r>
    </w:p>
    <w:p>
      <w:pPr>
        <w:spacing w:after="0" w:line="187" w:lineRule="exact"/>
        <w:rPr>
          <w:sz w:val="20"/>
          <w:szCs w:val="20"/>
          <w:color w:val="auto"/>
        </w:rPr>
      </w:pPr>
    </w:p>
    <w:p>
      <w:pPr>
        <w:jc w:val="both"/>
        <w:ind w:left="40" w:right="5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Costs. </w:t>
      </w:r>
      <w:r>
        <w:rPr>
          <w:rFonts w:ascii="Times New Roman" w:cs="Times New Roman" w:eastAsia="Times New Roman" w:hAnsi="Times New Roman"/>
          <w:sz w:val="18"/>
          <w:szCs w:val="18"/>
          <w:color w:val="auto"/>
        </w:rPr>
        <w:t>Our policy is to expense research and development costs as incurred,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funded by research and development collaborations. Research and development expenses are comprised of costs we incur in performing research and development activities, including salary and benefits; stock-based compensation expense; outsourced services and other direct expenses, including clinical trial and pharmaceutical development costs; collaboration payments; expenses associated with drug supplies that are not being capitalized; and infrastructure costs, including facilities costs and depreciation expense. If a collaboration is a cost-sharing arrangement in which both we and our collaborator perform development work and share costs, we also recognize, as research and development expense in the period when our collaborator incurs development expenses, our portion of the co-development expenses that we are obligated to reimburse.</w:t>
      </w:r>
    </w:p>
    <w:p>
      <w:pPr>
        <w:spacing w:after="0" w:line="190" w:lineRule="exact"/>
        <w:rPr>
          <w:sz w:val="20"/>
          <w:szCs w:val="20"/>
          <w:color w:val="auto"/>
        </w:rPr>
      </w:pPr>
    </w:p>
    <w:p>
      <w:pPr>
        <w:jc w:val="both"/>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We often contract with clinical research organizations (“CROs”) to facilitate, coordinate and perform agreed upon research and development of a new drug. To ensure that research and development costs are expensed as incurred, we record monthly accruals for clinical trials and preclinical testing costs based on the work performed under the contract. These CRO contracts typically call for the payment of fees for services at the initiation of the contract and/or upon the achievement of certain clinical trial milestones. In the event that we prepay CRO fees, we record the prepayment as a prepaid asset and amortize the asset into research and development expense over the period of time the contracted research and development services are performed. Most professional fees, including project and clinical management, data management, monitoring, and medical writing fees are incurred throughout the contract period. These professional fees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8"/>
          <w:szCs w:val="18"/>
          <w:color w:val="auto"/>
        </w:rPr>
        <w:t>are expensed based on their percentage of completion at a particular date. Our CRO contracts generally include pass through fees. Pass through fees include, but are not limited to, regulatory expenses, investigator fees, travel costs, and other miscellaneous costs, including shipping and printing fees. We expense the costs of pass through fees under our CRO contracts as they are incurred, based on the best information available to us at the time. The estimates of the pass through fees incurred are based on the amount of work completed for the clinical trial and are monitored through correspondence with the CROs, internal reviews and a review of contractual terms. The factors utilized to derive the estimates include the number of patients enrolled, duration of the clinical trial, estimated patient attrition, screening rate and length of the dosing regimen. CRO fees incurred to set up the clinical trial are expensed during the setup period. Under our clinical trial collaboration agreements we may be reimbursed for certain development costs incurred. Such costs are recorded as a reduction of research and development expense in the period in which the related expense is incurred.</w:t>
      </w:r>
    </w:p>
    <w:p>
      <w:pPr>
        <w:spacing w:after="0" w:line="192" w:lineRule="exact"/>
        <w:rPr>
          <w:sz w:val="20"/>
          <w:szCs w:val="20"/>
          <w:color w:val="auto"/>
        </w:rPr>
      </w:pPr>
    </w:p>
    <w:p>
      <w:pPr>
        <w:jc w:val="both"/>
        <w:ind w:left="40" w:right="59"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Stock Compensation. </w:t>
      </w:r>
      <w:r>
        <w:rPr>
          <w:rFonts w:ascii="Times New Roman" w:cs="Times New Roman" w:eastAsia="Times New Roman" w:hAnsi="Times New Roman"/>
          <w:sz w:val="18"/>
          <w:szCs w:val="18"/>
          <w:color w:val="auto"/>
        </w:rPr>
        <w:t>Share-based payment transactions with employees, which include stock options,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units (“RSUs”) and performance shares (“PSUs”), are recognized as compensation expense over the requisite service period based on their estimated fair values as well as expected forfeiture rates. The stock compensation process requires significant judgment and the use of estimates, particularly surrounding Black-Scholes assumptions such as stock price volatility over the option term and expected option lives, as well as expected forfeiture rates and the probability of PSUs vesting. The fair value of stock options, which are subject to graded vesting, are recognized as compensation expense over the requisite service period using the accelerated attribution method. The fair value of RSUs that are subject to cliff vesting are recognized as compensation expense over the requisite service period using the straight-line attribution method, and the fair value of RSUs that are subject to graded vesting are recognized as compensation expense over the requisite service period using the accelerated attribution method. The fair value of PSUs are recognized as compensation expense beginning at the time in which the performance conditions are deemed probable of achievement, which we assess as of the end of each reporting period. Once a performance condition is considered probable, we record compensation expense based on the portion of the service period elapsed to date with respect to that award, with a cumulative catch-up, net of estimated forfeitures, and recognize any remaining compensation expense, if any, over the remaining requisite service period using the straight-line attribution method for PSUs that are subject to cliff vesting and using the accelerated attribution method for PSUs that are subject to graded vesting.</w:t>
      </w:r>
    </w:p>
    <w:p>
      <w:pPr>
        <w:spacing w:after="0" w:line="195"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Long Term Incentive Plans. </w:t>
      </w:r>
      <w:r>
        <w:rPr>
          <w:rFonts w:ascii="Times New Roman" w:cs="Times New Roman" w:eastAsia="Times New Roman" w:hAnsi="Times New Roman"/>
          <w:sz w:val="18"/>
          <w:szCs w:val="18"/>
          <w:color w:val="auto"/>
        </w:rPr>
        <w:t>We have long term incentive plans which provide eligible employees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opportunity to receive performance and service-based incentive compensation, which may be comprised of cash, stock options, restricted stock units and/or performance shares. The payment of cash and the grant or vesting of equity may be contingent upon the achievement of pre-determined regulatory, sales and internal performance milestones.</w:t>
      </w:r>
    </w:p>
    <w:p>
      <w:pPr>
        <w:spacing w:after="0" w:line="180"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Acquisition-Related Contingent Consideration. </w:t>
      </w:r>
      <w:r>
        <w:rPr>
          <w:rFonts w:ascii="Times New Roman" w:cs="Times New Roman" w:eastAsia="Times New Roman" w:hAnsi="Times New Roman"/>
          <w:sz w:val="18"/>
          <w:szCs w:val="18"/>
          <w:color w:val="auto"/>
        </w:rPr>
        <w:t>Acquisition-related contingent consideration consists of our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royalty obligations on future net sales of ICLUSIG to Takeda Pharmaceutical Company Limited, which acquired ARIAD (“Takeda”). Acquisition-related contingent consideration was recorded on the acquisition date of June 1, 2016 at the estimated fair value of the obligation, in accordance with the acquisition method of accounting. The fair value measurement is based on significant inputs that are unobservable in the market and thus represents a Level 3 measurement. The fair value of the acquisition-related contingent consideration is remeasured each reporting period, with changes in fair value recorded in the condensed consolidated statements of operations.</w:t>
      </w:r>
    </w:p>
    <w:p>
      <w:pPr>
        <w:spacing w:after="0" w:line="183" w:lineRule="exact"/>
        <w:rPr>
          <w:sz w:val="20"/>
          <w:szCs w:val="20"/>
          <w:color w:val="auto"/>
        </w:rPr>
      </w:pPr>
    </w:p>
    <w:p>
      <w:pPr>
        <w:jc w:val="both"/>
        <w:ind w:left="4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Collaboration loss sharing. </w:t>
      </w:r>
      <w:r>
        <w:rPr>
          <w:rFonts w:ascii="Times New Roman" w:cs="Times New Roman" w:eastAsia="Times New Roman" w:hAnsi="Times New Roman"/>
          <w:sz w:val="18"/>
          <w:szCs w:val="18"/>
          <w:color w:val="auto"/>
        </w:rPr>
        <w:t>Under collaboration and license agreements with shared commercialization efforts,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record our share of the losses from the co-commercialization efforts in collaboration loss sharing on the condensed consolidated statement of operations. For the three and nine months ended September 30, 2020, collaboration loss sharing represents our 50% share of the United States loss for commercialization of tafasitamab under our agreement with MorphoSys, which is described in Note 9 below.</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In June 2016, the Financial Accounting Standards Board (“FASB”) issued ASU No. 2016-13, “Financial Instruments – Credit Losses (Topic 326): Measurement of Credit Losses on Financial Instruments.” This guidance applies to all entities and impacts how entities account for credit losses for financial assets measured at amortized cost and available for sale debt securities. ASU 2016-13 requires financial assets measured at amortized cost to be presented at the net amount expected to be collected. The measurement of expected credit losses is based on relevant information about past events,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8"/>
          <w:szCs w:val="18"/>
          <w:color w:val="auto"/>
        </w:rPr>
        <w:t>including historical experience, current conditions, and reasonable and supportable forecasts that affect the collectability of the reported amounts. An entity must use judgment in determining the relevant information and estimation methods that are appropriate in its circumstances. For trade receivables, loans and held-to-maturity debt securities, entities will be required to estimate expected credit losses over the lifetime of the asset. For available-for-sale debt securities, entities will be required to recognize an allowance for credit losses rather than an other-than-temporary impairment that reduces the cost basis of the investment. Further, an entity will recognize any improvements in estimated credit losses on its available-for-sale debt securities immediately in earnings.</w:t>
      </w:r>
    </w:p>
    <w:p>
      <w:pPr>
        <w:spacing w:after="0" w:line="189"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Upon adoption, we assessed each financial asset measured at amortized cost and each available-for-sale debt security held for the impact of the guidance as of January 1, 2020 and noted an insignificant impact due to the minimal credit risk associated with our financial assets subject to ASC 326. As such, it was concluded that a reserve for credit losses was de minimis on the adoption date. Financial assets will continue to be assessed on a quarterly basis in future periods.</w:t>
      </w:r>
    </w:p>
    <w:p>
      <w:pPr>
        <w:spacing w:after="0" w:line="180" w:lineRule="exact"/>
        <w:rPr>
          <w:sz w:val="20"/>
          <w:szCs w:val="20"/>
          <w:color w:val="auto"/>
        </w:rPr>
      </w:pPr>
    </w:p>
    <w:p>
      <w:pPr>
        <w:jc w:val="both"/>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In August 2018, the FASB issued ASU No. 2018-13, “Fair Value Measurement (Topic 820): Disclosure Framework – Changes to the Disclosure Requirements for Fair Value Measurement,” which eliminates the required disclosure of the amount of and reason for transfers between Level 1 and Level 2 of the fair value hierarchy. The guidance also eliminates the required disclosure of the entity’s valuation process for Level 3 fair value measurements, however public entities are required to disclose the range and weighted average used to develop significant unobservable inputs for Level 3 fair value measurements. This guidance is effective for fiscal years beginning after December 15, 2019. We adopted this guidance for the period beginning January 1, 2020 and enhanced our disclosures in Note 4 to the condensed consolidated financial statements to comply with the standard.</w:t>
      </w:r>
    </w:p>
    <w:p>
      <w:pPr>
        <w:spacing w:after="0" w:line="192"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In August 2018, the FASB issued ASU No. 2018-14, “Compensation – Retirement Benefits – Defined Benefit Plans – General,” an update to Subtopic ASC 715-20. The guidance amended year-end disclosure requirements related to defined benefit pension plans, and does not affect interim disclosures. The guidance is effective for fiscal years ending after December 15, 2020 and is permitted for early adoption. The standard is to be applied on a retrospective basis. Incyte sponsors defined benefit plans for employees located in Europe. We are currently analyzing the impact of ASU No. 2018-14 on the condensed consolidated financial statements.</w:t>
      </w:r>
    </w:p>
    <w:p>
      <w:pPr>
        <w:spacing w:after="0" w:line="187" w:lineRule="exact"/>
        <w:rPr>
          <w:sz w:val="20"/>
          <w:szCs w:val="20"/>
          <w:color w:val="auto"/>
        </w:rPr>
      </w:pPr>
    </w:p>
    <w:p>
      <w:pPr>
        <w:jc w:val="both"/>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In August 2018, the FASB issued ASU No. 2018-15, “Intangibles – Goodwill and Other – Internal-Use Software,” an update to Subtopic ASC 350-40. The guidance directs accounting for service contracts for cloud computing arrangements to follow guidance within ASC 350-40 to determine capitalization of implementation costs. The guidance is effective for fiscal years beginning after December 15, 2019 and may be applied on either a retrospective or prospective basis. We adopted this guidance for the period beginning January 1, 2020 on a prospective basis. New contracts for development of internal-use software were assessed and no qualifying contracts were identified during the period. We will continue to assess contracts and will disclose material, qualifying contracts if identified in future periods.</w:t>
      </w:r>
    </w:p>
    <w:p>
      <w:pPr>
        <w:spacing w:after="0" w:line="189" w:lineRule="exact"/>
        <w:rPr>
          <w:sz w:val="20"/>
          <w:szCs w:val="20"/>
          <w:color w:val="auto"/>
        </w:rPr>
      </w:pPr>
    </w:p>
    <w:p>
      <w:pPr>
        <w:jc w:val="both"/>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In November 2018, the FASB issued ASU No. 2018-18, “Collaborative Arrangements (Topic 808): Clarifying the Interaction Between Topic 808 and Topic 606.” The guidance clarifies the interactions between Topic 808 and Topic 606, including clarifications on revenue recognition, unit of account, and reporting disclosure requirements. The guidance is effective for fiscal years beginning after December 15, 2019. We adopted this guidance for the period beginning January 1, 2020 retrospectively to the date of our initial application of ASC 606, and noted that in assessment of our collaborative agreements, there was no material financial statement impact. Our collaborative arrangements and their associated accounting conclusions are described in detail within Note 9 to the condensed consolidated financial statements.</w:t>
      </w:r>
    </w:p>
    <w:p>
      <w:pPr>
        <w:spacing w:after="0" w:line="189"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In December 2019, the FASB issued ASU No. 2019-12, “Income Taxes (Topic 740): Simplifying the Accounting for Income Taxes.” This guidance applies to all entities and aims to reduce the complexity of tax accounting standards while enhancing reporting disclosures. This guidance is effective for fiscal years beginning after December 15, 2020 and interim periods therein. Early adoption is permitted for any annual periods for which financial statements have not been issued and interim periods therein. We are currently analyzing the impact of ASU No. 2019-12 on the condensed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0" w:hanging="356"/>
        <w:spacing w:after="0"/>
        <w:tabs>
          <w:tab w:leader="none" w:pos="4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w:t>
      </w:r>
    </w:p>
    <w:p>
      <w:pPr>
        <w:spacing w:after="0" w:line="229" w:lineRule="exact"/>
        <w:rPr>
          <w:sz w:val="20"/>
          <w:szCs w:val="20"/>
          <w:color w:val="auto"/>
        </w:rPr>
      </w:pPr>
    </w:p>
    <w:p>
      <w:pPr>
        <w:ind w:left="40" w:right="59" w:firstLine="648"/>
        <w:spacing w:after="0" w:line="282" w:lineRule="auto"/>
        <w:rPr>
          <w:sz w:val="20"/>
          <w:szCs w:val="20"/>
          <w:color w:val="auto"/>
        </w:rPr>
      </w:pPr>
      <w:r>
        <w:rPr>
          <w:rFonts w:ascii="Times New Roman" w:cs="Times New Roman" w:eastAsia="Times New Roman" w:hAnsi="Times New Roman"/>
          <w:sz w:val="18"/>
          <w:szCs w:val="18"/>
          <w:color w:val="auto"/>
        </w:rPr>
        <w:t>As discussed in Note 2, revenues are recognized under guidance within ASC 606 and ASC 808. The following table presents our disaggregated revenue for the periods presented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9"/>
        </w:trPr>
        <w:tc>
          <w:tcPr>
            <w:tcW w:w="3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209"/>
        </w:trPr>
        <w:tc>
          <w:tcPr>
            <w:tcW w:w="31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CEEFF"/>
            </w:tcBorders>
          </w:tcPr>
          <w:p>
            <w:pPr>
              <w:spacing w:after="0"/>
              <w:rPr>
                <w:sz w:val="18"/>
                <w:szCs w:val="18"/>
                <w:color w:val="auto"/>
              </w:rPr>
            </w:pPr>
          </w:p>
        </w:tc>
      </w:tr>
      <w:tr>
        <w:trPr>
          <w:trHeight w:val="209"/>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JAKAFI revenues, net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487,783</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433,387</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1,420,968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1,218,504</w:t>
            </w:r>
          </w:p>
        </w:tc>
        <w:tc>
          <w:tcPr>
            <w:tcW w:w="200" w:type="dxa"/>
            <w:vAlign w:val="bottom"/>
            <w:shd w:val="clear" w:color="auto" w:fill="CCEEFF"/>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ICLUSIG revenues, net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76,426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65,640</w:t>
            </w:r>
          </w:p>
        </w:tc>
        <w:tc>
          <w:tcPr>
            <w:tcW w:w="20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PEMAZYRE revenues, net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8,089</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Total product revenues, net</w:t>
            </w:r>
          </w:p>
        </w:tc>
        <w:tc>
          <w:tcPr>
            <w:tcW w:w="3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522,252</w:t>
            </w:r>
          </w:p>
        </w:tc>
        <w:tc>
          <w:tcPr>
            <w:tcW w:w="1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453,998</w:t>
            </w: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1,509,269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1,284,144</w:t>
            </w:r>
          </w:p>
        </w:tc>
        <w:tc>
          <w:tcPr>
            <w:tcW w:w="20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JAKAVI product royalty revenues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68,306</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58,440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190,856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160,906</w:t>
            </w:r>
          </w:p>
        </w:tc>
        <w:tc>
          <w:tcPr>
            <w:tcW w:w="200" w:type="dxa"/>
            <w:vAlign w:val="bottom"/>
            <w:shd w:val="clear" w:color="auto" w:fill="CCEEFF"/>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OLUMIANT product royalty revenues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28,647</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79,924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56,820</w:t>
            </w:r>
          </w:p>
        </w:tc>
        <w:tc>
          <w:tcPr>
            <w:tcW w:w="20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TABRECTA product royalty revenues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Total product royalty revenues</w:t>
            </w:r>
          </w:p>
        </w:tc>
        <w:tc>
          <w:tcPr>
            <w:tcW w:w="3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98,391</w:t>
            </w:r>
          </w:p>
        </w:tc>
        <w:tc>
          <w:tcPr>
            <w:tcW w:w="1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80,083</w:t>
            </w: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272,924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217,726</w:t>
            </w:r>
          </w:p>
        </w:tc>
        <w:tc>
          <w:tcPr>
            <w:tcW w:w="20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Milestone and contract revenues</w:t>
            </w:r>
          </w:p>
        </w:tc>
        <w:tc>
          <w:tcPr>
            <w:tcW w:w="3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77,500</w:t>
            </w:r>
          </w:p>
        </w:tc>
        <w:tc>
          <w:tcPr>
            <w:tcW w:w="200" w:type="dxa"/>
            <w:vAlign w:val="bottom"/>
            <w:shd w:val="clear" w:color="auto" w:fill="CCEEFF"/>
          </w:tcPr>
          <w:p>
            <w:pPr>
              <w:spacing w:after="0"/>
              <w:rPr>
                <w:sz w:val="18"/>
                <w:szCs w:val="18"/>
                <w:color w:val="auto"/>
              </w:rPr>
            </w:pPr>
          </w:p>
        </w:tc>
      </w:tr>
      <w:tr>
        <w:trPr>
          <w:trHeight w:val="21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620,643</w:t>
            </w:r>
          </w:p>
        </w:tc>
        <w:tc>
          <w:tcPr>
            <w:tcW w:w="16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551,581</w:t>
            </w:r>
          </w:p>
        </w:tc>
        <w:tc>
          <w:tcPr>
            <w:tcW w:w="1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1,877,193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1,579,370</w:t>
            </w:r>
          </w:p>
        </w:tc>
        <w:tc>
          <w:tcPr>
            <w:tcW w:w="200" w:type="dxa"/>
            <w:vAlign w:val="bottom"/>
          </w:tcPr>
          <w:p>
            <w:pPr>
              <w:spacing w:after="0"/>
              <w:rPr>
                <w:sz w:val="18"/>
                <w:szCs w:val="18"/>
                <w:color w:val="auto"/>
              </w:rPr>
            </w:pPr>
          </w:p>
        </w:tc>
      </w:tr>
      <w:tr>
        <w:trPr>
          <w:trHeight w:val="20"/>
        </w:trPr>
        <w:tc>
          <w:tcPr>
            <w:tcW w:w="3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40" w:right="59" w:firstLine="648"/>
        <w:spacing w:after="0" w:line="282" w:lineRule="auto"/>
        <w:rPr>
          <w:sz w:val="20"/>
          <w:szCs w:val="20"/>
          <w:color w:val="auto"/>
        </w:rPr>
      </w:pPr>
      <w:r>
        <w:rPr>
          <w:rFonts w:ascii="Times New Roman" w:cs="Times New Roman" w:eastAsia="Times New Roman" w:hAnsi="Times New Roman"/>
          <w:sz w:val="18"/>
          <w:szCs w:val="18"/>
          <w:color w:val="auto"/>
        </w:rPr>
        <w:t>For further information on our revenue-generating contracts, refer to Note 9 to the condensed consolidated financial statements.</w:t>
      </w:r>
    </w:p>
    <w:p>
      <w:pPr>
        <w:spacing w:after="0" w:line="171" w:lineRule="exact"/>
        <w:rPr>
          <w:sz w:val="20"/>
          <w:szCs w:val="20"/>
          <w:color w:val="auto"/>
        </w:rPr>
      </w:pPr>
    </w:p>
    <w:p>
      <w:pPr>
        <w:ind w:left="400" w:hanging="356"/>
        <w:spacing w:after="0"/>
        <w:tabs>
          <w:tab w:leader="none" w:pos="4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FASB accounting guidance defines fair value as the price that would be received to sell an asset or paid to transfer a liability (“the exit price”) in an orderly transaction between market participants at the measurement date. The standard outlines a valuation framework and creates a fair value hierarchy in order to increase the consistency and comparability of fair value measurements and the related disclosures. In determining fair value we use quoted prices and observable inputs. Observable inputs are inputs that market participants would use in pricing the asset or liability based on market data obtained from sources independent of us. The fair value hierarchy is broken down into three levels based on the source of inputs as follows: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Level 1—Valuations based on unadjusted quoted prices in active markets for identical assets or liabilities.</w:t>
      </w:r>
    </w:p>
    <w:p>
      <w:pPr>
        <w:spacing w:after="0" w:line="225" w:lineRule="exact"/>
        <w:rPr>
          <w:sz w:val="20"/>
          <w:szCs w:val="20"/>
          <w:color w:val="auto"/>
        </w:rPr>
      </w:pPr>
    </w:p>
    <w:p>
      <w:pPr>
        <w:ind w:left="700" w:right="59"/>
        <w:spacing w:after="0" w:line="282" w:lineRule="auto"/>
        <w:rPr>
          <w:sz w:val="20"/>
          <w:szCs w:val="20"/>
          <w:color w:val="auto"/>
        </w:rPr>
      </w:pPr>
      <w:r>
        <w:rPr>
          <w:rFonts w:ascii="Times New Roman" w:cs="Times New Roman" w:eastAsia="Times New Roman" w:hAnsi="Times New Roman"/>
          <w:sz w:val="18"/>
          <w:szCs w:val="18"/>
          <w:color w:val="auto"/>
        </w:rPr>
        <w:t>Level 2—Valuations based on observable inputs and quoted prices in active markets for similar assets and liabilities.</w:t>
      </w:r>
    </w:p>
    <w:p>
      <w:pPr>
        <w:spacing w:after="0" w:line="162" w:lineRule="exact"/>
        <w:rPr>
          <w:sz w:val="20"/>
          <w:szCs w:val="20"/>
          <w:color w:val="auto"/>
        </w:rPr>
      </w:pPr>
    </w:p>
    <w:p>
      <w:pPr>
        <w:ind w:left="700" w:right="59"/>
        <w:spacing w:after="0" w:line="282" w:lineRule="auto"/>
        <w:rPr>
          <w:sz w:val="20"/>
          <w:szCs w:val="20"/>
          <w:color w:val="auto"/>
        </w:rPr>
      </w:pPr>
      <w:r>
        <w:rPr>
          <w:rFonts w:ascii="Times New Roman" w:cs="Times New Roman" w:eastAsia="Times New Roman" w:hAnsi="Times New Roman"/>
          <w:sz w:val="18"/>
          <w:szCs w:val="18"/>
          <w:color w:val="auto"/>
        </w:rPr>
        <w:t>Level 3—Valuations based on inputs that are unobservable and models that are significant to the overall fair value measurement.</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229" w:lineRule="exact"/>
        <w:rPr>
          <w:sz w:val="20"/>
          <w:szCs w:val="20"/>
          <w:color w:val="auto"/>
        </w:rPr>
      </w:pPr>
    </w:p>
    <w:p>
      <w:pPr>
        <w:jc w:val="both"/>
        <w:ind w:left="40" w:right="59" w:firstLine="648"/>
        <w:spacing w:after="0" w:line="282" w:lineRule="auto"/>
        <w:rPr>
          <w:sz w:val="20"/>
          <w:szCs w:val="20"/>
          <w:color w:val="auto"/>
        </w:rPr>
      </w:pPr>
      <w:r>
        <w:rPr>
          <w:rFonts w:ascii="Times New Roman" w:cs="Times New Roman" w:eastAsia="Times New Roman" w:hAnsi="Times New Roman"/>
          <w:sz w:val="18"/>
          <w:szCs w:val="18"/>
          <w:color w:val="auto"/>
        </w:rPr>
        <w:t>Our marketable securities consist of investments in U.S. government debt securities that are classified as available-for-sale.</w:t>
      </w:r>
    </w:p>
    <w:p>
      <w:pPr>
        <w:spacing w:after="0" w:line="162" w:lineRule="exact"/>
        <w:rPr>
          <w:sz w:val="20"/>
          <w:szCs w:val="20"/>
          <w:color w:val="auto"/>
        </w:rPr>
      </w:pPr>
    </w:p>
    <w:p>
      <w:pPr>
        <w:jc w:val="both"/>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At September 30, 2020 and December 31, 2019, our Level 2 U.S. government debt securities were valued using readily available pricing sources which utilize market observable inputs, including the current interest rate and other characteristics for similar types of investments. Our long term investments classified as Level 1 were valued using their respective closing stock prices on The Nasdaq Stock Market. We did not experience any transfers of financial instruments between the fair value hierarchy levels during the nine months ended September 30, 2020.</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120" w:firstLine="648"/>
        <w:spacing w:after="0" w:line="282" w:lineRule="auto"/>
        <w:rPr>
          <w:sz w:val="20"/>
          <w:szCs w:val="20"/>
          <w:color w:val="auto"/>
        </w:rPr>
      </w:pPr>
      <w:r>
        <w:rPr>
          <w:rFonts w:ascii="Times New Roman" w:cs="Times New Roman" w:eastAsia="Times New Roman" w:hAnsi="Times New Roman"/>
          <w:sz w:val="18"/>
          <w:szCs w:val="18"/>
          <w:color w:val="auto"/>
        </w:rPr>
        <w:t>The following fair value hierarchy table presents information about each major category of our financial assets measured at fair value on a recurring basis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11"/>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3"/>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1240" w:type="dxa"/>
            <w:vAlign w:val="bottom"/>
            <w:gridSpan w:val="5"/>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 Other</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2020" w:type="dxa"/>
            <w:vAlign w:val="bottom"/>
            <w:gridSpan w:val="5"/>
          </w:tcPr>
          <w:p>
            <w:pPr>
              <w:jc w:val="center"/>
              <w:ind w:left="708"/>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0" w:type="dxa"/>
            <w:vAlign w:val="bottom"/>
          </w:tcPr>
          <w:p>
            <w:pPr>
              <w:spacing w:after="0"/>
              <w:rPr>
                <w:sz w:val="1"/>
                <w:szCs w:val="1"/>
                <w:color w:val="auto"/>
              </w:rPr>
            </w:pPr>
          </w:p>
        </w:tc>
      </w:tr>
      <w:tr>
        <w:trPr>
          <w:trHeight w:val="210"/>
        </w:trPr>
        <w:tc>
          <w:tcPr>
            <w:tcW w:w="3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1,497,775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1,497,775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Debt securities (government)</w:t>
            </w: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237,025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investments (Note 9)</w:t>
            </w: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222,810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82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1,720,585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237,025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1,957,610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11"/>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3"/>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gridSpan w:val="3"/>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 Other</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210"/>
        </w:trPr>
        <w:tc>
          <w:tcPr>
            <w:tcW w:w="3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6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1,832,684</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gridSpan w:val="3"/>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1,832,684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Debt securities (government)</w:t>
            </w: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284,870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investments (Note 9)</w:t>
            </w: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133,657</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860" w:type="dxa"/>
            <w:vAlign w:val="bottom"/>
            <w:gridSpan w:val="2"/>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1,966,341</w:t>
            </w:r>
          </w:p>
        </w:tc>
        <w:tc>
          <w:tcPr>
            <w:tcW w:w="2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284,870</w:t>
            </w:r>
          </w:p>
        </w:tc>
        <w:tc>
          <w:tcPr>
            <w:tcW w:w="4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80" w:type="dxa"/>
            <w:vAlign w:val="bottom"/>
            <w:gridSpan w:val="3"/>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2,251,211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40" w:right="120" w:firstLine="648"/>
        <w:spacing w:after="0" w:line="282" w:lineRule="auto"/>
        <w:rPr>
          <w:sz w:val="20"/>
          <w:szCs w:val="20"/>
          <w:color w:val="auto"/>
        </w:rPr>
      </w:pPr>
      <w:r>
        <w:rPr>
          <w:rFonts w:ascii="Times New Roman" w:cs="Times New Roman" w:eastAsia="Times New Roman" w:hAnsi="Times New Roman"/>
          <w:sz w:val="18"/>
          <w:szCs w:val="18"/>
          <w:color w:val="auto"/>
        </w:rPr>
        <w:t>The following fair value hierarchy table presents information about each major category of our financial liabilities measured at fair value on a recurring basis as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40" w:type="dxa"/>
            <w:vAlign w:val="bottom"/>
            <w:gridSpan w:val="16"/>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tcBorders>
              <w:top w:val="single" w:sz="8" w:color="auto"/>
            </w:tcBorders>
            <w:gridSpan w:val="4"/>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1220" w:type="dxa"/>
            <w:vAlign w:val="bottom"/>
            <w:tcBorders>
              <w:top w:val="single" w:sz="8" w:color="auto"/>
            </w:tcBorders>
            <w:gridSpan w:val="6"/>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 Other</w:t>
            </w: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3"/>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12"/>
                <w:szCs w:val="12"/>
                <w:color w:val="auto"/>
              </w:rPr>
            </w:pPr>
          </w:p>
        </w:tc>
        <w:tc>
          <w:tcPr>
            <w:tcW w:w="1120" w:type="dxa"/>
            <w:vAlign w:val="bottom"/>
            <w:gridSpan w:val="6"/>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1600" w:type="dxa"/>
            <w:vAlign w:val="bottom"/>
            <w:gridSpan w:val="5"/>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Identical Liabilities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ind w:right="33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4"/>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36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272,000</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272,000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272,000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15"/>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5"/>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 Other</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5"/>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6"/>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Identical Liabilities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42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277,000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277,000</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gridSpan w:val="2"/>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277,000</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277,000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gridSpan w:val="3"/>
          </w:tcPr>
          <w:p>
            <w:pPr>
              <w:spacing w:after="0" w:line="20" w:lineRule="exact"/>
              <w:rPr>
                <w:sz w:val="1"/>
                <w:szCs w:val="1"/>
                <w:color w:val="auto"/>
              </w:rPr>
            </w:pPr>
          </w:p>
        </w:tc>
        <w:tc>
          <w:tcPr>
            <w:tcW w:w="1200" w:type="dxa"/>
            <w:vAlign w:val="bottom"/>
            <w:tcBorders>
              <w:bottom w:val="single" w:sz="8" w:color="auto"/>
            </w:tcBorders>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6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40" w:type="dxa"/>
            <w:vAlign w:val="bottom"/>
            <w:gridSpan w:val="12"/>
          </w:tcPr>
          <w:p>
            <w:pPr>
              <w:ind w:left="660"/>
              <w:spacing w:after="0"/>
              <w:rPr>
                <w:sz w:val="20"/>
                <w:szCs w:val="20"/>
                <w:color w:val="auto"/>
              </w:rPr>
            </w:pPr>
            <w:r>
              <w:rPr>
                <w:rFonts w:ascii="Times New Roman" w:cs="Times New Roman" w:eastAsia="Times New Roman" w:hAnsi="Times New Roman"/>
                <w:sz w:val="18"/>
                <w:szCs w:val="18"/>
                <w:color w:val="auto"/>
              </w:rPr>
              <w:t>The following is a rollforward of our Level 3 liabilities (in thousands):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7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CEEFF"/>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277,000</w:t>
            </w:r>
          </w:p>
        </w:tc>
        <w:tc>
          <w:tcPr>
            <w:tcW w:w="1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Contingent consideration earned during the period but not yet paid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made during the period</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(15,681)</w:t>
            </w:r>
          </w:p>
        </w:tc>
        <w:tc>
          <w:tcPr>
            <w:tcW w:w="1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19,790</w:t>
            </w:r>
          </w:p>
        </w:tc>
        <w:tc>
          <w:tcPr>
            <w:tcW w:w="140" w:type="dxa"/>
            <w:vAlign w:val="bottom"/>
            <w:tcBorders>
              <w:bottom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272,000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0" w:right="120" w:firstLine="648"/>
        <w:spacing w:after="0" w:line="256" w:lineRule="auto"/>
        <w:rPr>
          <w:sz w:val="20"/>
          <w:szCs w:val="20"/>
          <w:color w:val="auto"/>
        </w:rPr>
      </w:pPr>
      <w:r>
        <w:rPr>
          <w:rFonts w:ascii="Times New Roman" w:cs="Times New Roman" w:eastAsia="Times New Roman" w:hAnsi="Times New Roman"/>
          <w:sz w:val="18"/>
          <w:szCs w:val="18"/>
          <w:color w:val="auto"/>
        </w:rPr>
        <w:t>The fair value of the contingent consideration was determined on the date of acquisition, June 1, 2016, using an income approach based on estimated ICLUSIG revenues in the European Union and other countries for the approved third line treatment over 18 years, and discounted to present value at a rate of 10%. The fair value of the contingent consideration is remeasured each reporting period, with changes in fair value recorded in the consolidated statements of operations. The valuation inputs utilized to estimate the fair value of the contingent consideration as of September 30, 2020 included a</w:t>
      </w:r>
    </w:p>
    <w:p>
      <w:pPr>
        <w:sectPr>
          <w:pgSz w:w="11900" w:h="16838" w:orient="portrait"/>
          <w:cols w:equalWidth="0" w:num="1">
            <w:col w:w="9080"/>
          </w:cols>
          <w:pgMar w:left="1440" w:top="513" w:right="137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80"/>
          </w:cols>
          <w:pgMar w:left="1440" w:top="513" w:right="1379" w:bottom="1440" w:gutter="0" w:footer="0" w:header="0"/>
          <w:type w:val="continuous"/>
        </w:sectPr>
      </w:pPr>
    </w:p>
    <w:bookmarkStart w:id="19" w:name="page20"/>
    <w:bookmarkEnd w:id="19"/>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8"/>
          <w:szCs w:val="18"/>
          <w:color w:val="auto"/>
        </w:rPr>
        <w:t>weighted average cost of capital of 10% and updated projections of future ICLUSIG revenues in the European Union and other countries for the approved third line treatment. The change in fair value of the contingent consideration during the three and nine months ended September 30, 2020 was due primarily to the passage of time as there were no other significant changes in the key assumptions during the period.</w:t>
      </w:r>
    </w:p>
    <w:p>
      <w:pPr>
        <w:spacing w:after="0" w:line="180" w:lineRule="exact"/>
        <w:rPr>
          <w:sz w:val="20"/>
          <w:szCs w:val="20"/>
          <w:color w:val="auto"/>
        </w:rPr>
      </w:pPr>
    </w:p>
    <w:p>
      <w:pPr>
        <w:jc w:val="both"/>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We make payments to Takeda quarterly based on the royalties or any additional milestone payments earned in the previous quarter. At September 30, 2020 and December 31, 2019, contingent consideration earned but not yet paid was $9.1 million and $23.0 million, respectively, and was included in accrued and other current liabilities.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is a summary of our marketable security portfolio for the periods presented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Net</w:t>
            </w:r>
          </w:p>
        </w:tc>
        <w:tc>
          <w:tcPr>
            <w:tcW w:w="200" w:type="dxa"/>
            <w:vAlign w:val="bottom"/>
          </w:tcPr>
          <w:p>
            <w:pPr>
              <w:spacing w:after="0"/>
              <w:rPr>
                <w:sz w:val="13"/>
                <w:szCs w:val="13"/>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8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2020</w:t>
            </w:r>
          </w:p>
        </w:tc>
        <w:tc>
          <w:tcPr>
            <w:tcW w:w="20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Debt securities (government)</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$ 236,902</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$ 237,025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2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securities (government)</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$ 284,795</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$ 284,870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Our available-for-sale debt securities generally have contractual maturity dates of between 12 to 18 months. Debt security assets were assessed for risk of expected credit losses per our accounting policy as described in Note 2. As of September 30, 2020 and December 31, 2019, the available-for-sale debt securities were held in US-government backed funds and Treasury assets and were assessed on an individual security basis to have a de minimis risk of credit loss.</w:t>
      </w:r>
    </w:p>
    <w:p>
      <w:pPr>
        <w:spacing w:after="0" w:line="176" w:lineRule="exact"/>
        <w:rPr>
          <w:sz w:val="20"/>
          <w:szCs w:val="20"/>
          <w:color w:val="auto"/>
        </w:rPr>
      </w:pPr>
    </w:p>
    <w:p>
      <w:pPr>
        <w:ind w:left="400" w:hanging="356"/>
        <w:spacing w:after="0"/>
        <w:tabs>
          <w:tab w:leader="none" w:pos="4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of credit risk and current expected credit losses</w:t>
      </w:r>
    </w:p>
    <w:p>
      <w:pPr>
        <w:spacing w:after="0" w:line="229" w:lineRule="exact"/>
        <w:rPr>
          <w:sz w:val="20"/>
          <w:szCs w:val="20"/>
          <w:color w:val="auto"/>
        </w:rPr>
      </w:pPr>
    </w:p>
    <w:p>
      <w:pPr>
        <w:jc w:val="both"/>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In November 2009, we entered into a collaboration and license agreement with Novartis. In December 2009, we entered into a license, development and commercialization agreement with Lilly. In December 2018, we entered into a research collaboration and licensing agreement with Innovent Biologics, Inc. (“Innovent”). In July 2019, we entered into a collaboration and license agreement with Zai Lab (Shanghai) Co., Ltd., a subsidiary of Zai Lab Limited (collectively, “Zai Lab”). The above collaboration partners comprised, in aggregate, 30% of the accounts receivable balance as of September 30, 2020 and December 31, 2019. For further information relating these collaboration and license agreements, refer to Note 9 to the condensed consolidated financial statements.</w:t>
      </w:r>
    </w:p>
    <w:p>
      <w:pPr>
        <w:spacing w:after="0" w:line="189"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In November 2011, we began commercialization and distribution of JAKAFI and in April 2020, we began commercialization and distribution of PEMAZYRE to a number of customers. Our product revenues are concentrated in a number of these customers. The concentration of credit risk related to our JAKAFI and PEMAZYRE product revenues is as follows:</w:t>
      </w:r>
    </w:p>
    <w:p>
      <w:pPr>
        <w:sectPr>
          <w:pgSz w:w="11900" w:h="16838" w:orient="portrait"/>
          <w:cols w:equalWidth="0" w:num="1">
            <w:col w:w="9019"/>
          </w:cols>
          <w:pgMar w:left="1440" w:top="513" w:right="1440" w:bottom="1440" w:gutter="0" w:footer="0" w:header="0"/>
        </w:sectPr>
      </w:pPr>
    </w:p>
    <w:p>
      <w:pPr>
        <w:spacing w:after="0" w:line="187"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4"/>
          <w:szCs w:val="14"/>
          <w:b w:val="1"/>
          <w:bCs w:val="1"/>
          <w:color w:val="auto"/>
        </w:rPr>
        <w:t>Percentage of Total Net</w:t>
      </w:r>
    </w:p>
    <w:p>
      <w:pPr>
        <w:jc w:val="center"/>
        <w:ind w:left="5280"/>
        <w:spacing w:after="0" w:line="229" w:lineRule="auto"/>
        <w:rPr>
          <w:sz w:val="20"/>
          <w:szCs w:val="20"/>
          <w:color w:val="auto"/>
        </w:rPr>
      </w:pPr>
      <w:r>
        <w:rPr>
          <w:rFonts w:ascii="Times New Roman" w:cs="Times New Roman" w:eastAsia="Times New Roman" w:hAnsi="Times New Roman"/>
          <w:sz w:val="14"/>
          <w:szCs w:val="14"/>
          <w:b w:val="1"/>
          <w:bCs w:val="1"/>
          <w:color w:val="auto"/>
        </w:rPr>
        <w:t>Product Revenues for the</w:t>
      </w:r>
    </w:p>
    <w:p>
      <w:pPr>
        <w:jc w:val="center"/>
        <w:ind w:left="52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-3175</wp:posOffset>
            </wp:positionV>
            <wp:extent cx="11315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-3175</wp:posOffset>
            </wp:positionV>
            <wp:extent cx="11315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ind w:left="5340"/>
        <w:spacing w:after="0"/>
        <w:tabs>
          <w:tab w:leader="none" w:pos="6220" w:val="left"/>
        </w:tabs>
        <w:rPr>
          <w:sz w:val="20"/>
          <w:szCs w:val="20"/>
          <w:color w:val="auto"/>
        </w:rPr>
      </w:pPr>
      <w:r>
        <w:rPr>
          <w:rFonts w:ascii="Times New Roman" w:cs="Times New Roman" w:eastAsia="Times New Roman" w:hAnsi="Times New Roman"/>
          <w:sz w:val="14"/>
          <w:szCs w:val="14"/>
          <w:b w:val="1"/>
          <w:bCs w:val="1"/>
          <w:color w:val="auto"/>
        </w:rPr>
        <w:t>2020</w:t>
      </w:r>
      <w:r>
        <w:rPr>
          <w:sz w:val="20"/>
          <w:szCs w:val="20"/>
          <w:color w:val="auto"/>
        </w:rPr>
        <w:tab/>
      </w:r>
      <w:r>
        <w:rPr>
          <w:rFonts w:ascii="Times New Roman" w:cs="Times New Roman" w:eastAsia="Times New Roman" w:hAnsi="Times New Roman"/>
          <w:sz w:val="14"/>
          <w:szCs w:val="14"/>
          <w:b w:val="1"/>
          <w:bCs w:val="1"/>
          <w:color w:val="auto"/>
        </w:rPr>
        <w:t>2019</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ind w:right="219"/>
        <w:spacing w:after="0" w:line="237" w:lineRule="auto"/>
        <w:rPr>
          <w:sz w:val="20"/>
          <w:szCs w:val="20"/>
          <w:color w:val="auto"/>
        </w:rPr>
      </w:pPr>
      <w:r>
        <w:rPr>
          <w:rFonts w:ascii="Times New Roman" w:cs="Times New Roman" w:eastAsia="Times New Roman" w:hAnsi="Times New Roman"/>
          <w:sz w:val="14"/>
          <w:szCs w:val="14"/>
          <w:b w:val="1"/>
          <w:bCs w:val="1"/>
          <w:color w:val="auto"/>
        </w:rPr>
        <w:t>Percentage of Total Net Product Revenues for the 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-3810</wp:posOffset>
            </wp:positionV>
            <wp:extent cx="11315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-3175</wp:posOffset>
            </wp:positionV>
            <wp:extent cx="11315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ind w:left="80"/>
        <w:spacing w:after="0"/>
        <w:tabs>
          <w:tab w:leader="none" w:pos="940" w:val="left"/>
        </w:tabs>
        <w:rPr>
          <w:sz w:val="20"/>
          <w:szCs w:val="20"/>
          <w:color w:val="auto"/>
        </w:rPr>
      </w:pPr>
      <w:r>
        <w:rPr>
          <w:rFonts w:ascii="Times New Roman" w:cs="Times New Roman" w:eastAsia="Times New Roman" w:hAnsi="Times New Roman"/>
          <w:sz w:val="14"/>
          <w:szCs w:val="14"/>
          <w:b w:val="1"/>
          <w:bCs w:val="1"/>
          <w:color w:val="auto"/>
        </w:rPr>
        <w:t>2020</w:t>
      </w:r>
      <w:r>
        <w:rPr>
          <w:sz w:val="20"/>
          <w:szCs w:val="20"/>
          <w:color w:val="auto"/>
        </w:rPr>
        <w:tab/>
      </w:r>
      <w:r>
        <w:rPr>
          <w:rFonts w:ascii="Times New Roman" w:cs="Times New Roman" w:eastAsia="Times New Roman" w:hAnsi="Times New Roman"/>
          <w:sz w:val="14"/>
          <w:szCs w:val="14"/>
          <w:b w:val="1"/>
          <w:bCs w:val="1"/>
          <w:color w:val="auto"/>
        </w:rPr>
        <w:t>2019</w:t>
      </w:r>
    </w:p>
    <w:p>
      <w:pPr>
        <w:spacing w:after="0" w:line="20" w:lineRule="exact"/>
        <w:rPr>
          <w:sz w:val="20"/>
          <w:szCs w:val="20"/>
          <w:color w:val="auto"/>
        </w:rPr>
      </w:pPr>
    </w:p>
    <w:p>
      <w:pPr>
        <w:sectPr>
          <w:pgSz w:w="11900" w:h="16838" w:orient="portrait"/>
          <w:cols w:equalWidth="0" w:num="2">
            <w:col w:w="6840" w:space="400"/>
            <w:col w:w="1779"/>
          </w:cols>
          <w:pgMar w:left="1440" w:top="513" w:right="1440" w:bottom="1440" w:gutter="0" w:footer="0" w:header="0"/>
          <w:type w:val="continuous"/>
        </w:sectPr>
      </w:pPr>
    </w:p>
    <w:tbl>
      <w:tblPr>
        <w:tblLayout w:type="fixed"/>
        <w:tblInd w:w="40" w:type="dxa"/>
        <w:tblCellMar>
          <w:top w:w="0" w:type="dxa"/>
          <w:left w:w="0" w:type="dxa"/>
          <w:bottom w:w="0" w:type="dxa"/>
          <w:right w:w="0" w:type="dxa"/>
        </w:tblCellMar>
      </w:tblPr>
      <w:tr>
        <w:trPr>
          <w:trHeight w:val="20"/>
        </w:trPr>
        <w:tc>
          <w:tcPr>
            <w:tcW w:w="5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189"/>
        </w:trPr>
        <w:tc>
          <w:tcPr>
            <w:tcW w:w="51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Customer A</w:t>
            </w:r>
          </w:p>
        </w:tc>
        <w:tc>
          <w:tcPr>
            <w:tcW w:w="900" w:type="dxa"/>
            <w:vAlign w:val="bottom"/>
            <w:gridSpan w:val="2"/>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20 %</w:t>
            </w:r>
          </w:p>
        </w:tc>
        <w:tc>
          <w:tcPr>
            <w:tcW w:w="1080" w:type="dxa"/>
            <w:vAlign w:val="bottom"/>
            <w:gridSpan w:val="2"/>
            <w:shd w:val="clear" w:color="auto" w:fill="CCEEFF"/>
          </w:tcPr>
          <w:p>
            <w:pPr>
              <w:jc w:val="right"/>
              <w:ind w:right="280"/>
              <w:spacing w:after="0" w:line="189" w:lineRule="exact"/>
              <w:rPr>
                <w:sz w:val="20"/>
                <w:szCs w:val="20"/>
                <w:color w:val="auto"/>
              </w:rPr>
            </w:pPr>
            <w:r>
              <w:rPr>
                <w:rFonts w:ascii="Times New Roman" w:cs="Times New Roman" w:eastAsia="Times New Roman" w:hAnsi="Times New Roman"/>
                <w:sz w:val="18"/>
                <w:szCs w:val="18"/>
                <w:color w:val="auto"/>
              </w:rPr>
              <w:t>20 %</w:t>
            </w:r>
          </w:p>
        </w:tc>
        <w:tc>
          <w:tcPr>
            <w:tcW w:w="88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20 %</w:t>
            </w:r>
          </w:p>
        </w:tc>
        <w:tc>
          <w:tcPr>
            <w:tcW w:w="940" w:type="dxa"/>
            <w:vAlign w:val="bottom"/>
            <w:gridSpan w:val="2"/>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19 %</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13 %</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14 %</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13 %</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14 %</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17 %</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16 %</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17 %</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16 %</w:t>
            </w:r>
          </w:p>
        </w:tc>
      </w:tr>
      <w:tr>
        <w:trPr>
          <w:trHeight w:val="234"/>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Customer D</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10 %</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11 %</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11 %</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12 %</w:t>
            </w:r>
          </w:p>
        </w:tc>
      </w:tr>
    </w:tbl>
    <w:p>
      <w:pPr>
        <w:spacing w:after="0" w:line="139"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We are exposed to risks associated with extending credit to customers related to the sale of products. Customers A, B, C and D comprised, in aggregate, 36% and 39% of the accounts receivable balance as of September 30, 2020 and December 31, 2019, respectively. The concentration of credit risk relating to ICLUSIG product revenues or accounts receivable is not significant.</w:t>
      </w:r>
    </w:p>
    <w:p>
      <w:pPr>
        <w:sectPr>
          <w:pgSz w:w="11900" w:h="16838" w:orient="portrait"/>
          <w:cols w:equalWidth="0" w:num="1">
            <w:col w:w="9019"/>
          </w:cols>
          <w:pgMar w:left="1440" w:top="513" w:right="1440" w:bottom="1440" w:gutter="0" w:footer="0" w:header="0"/>
          <w:type w:val="continuous"/>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We assessed our collaborative and customer receivable assets as of September 30, 2020 according to our accounting policy for applying reserves for expected credit losses, noting minimal history of uncollectible receivables and the continued perceived creditworthiness of our third party sales relationships, upon which the expected credit losses were considered de minimis.</w:t>
      </w:r>
    </w:p>
    <w:p>
      <w:pPr>
        <w:spacing w:after="0" w:line="176" w:lineRule="exact"/>
        <w:rPr>
          <w:sz w:val="20"/>
          <w:szCs w:val="20"/>
          <w:color w:val="auto"/>
        </w:rPr>
      </w:pPr>
    </w:p>
    <w:p>
      <w:pPr>
        <w:ind w:left="40"/>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6.</w:t>
        <w:tab/>
        <w:t>Inventory</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inventory balance consists of the following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9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9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209"/>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2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8,634</w:t>
            </w:r>
          </w:p>
        </w:tc>
        <w:tc>
          <w:tcPr>
            <w:tcW w:w="12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6,596</w:t>
            </w:r>
          </w:p>
        </w:tc>
        <w:tc>
          <w:tcPr>
            <w:tcW w:w="120" w:type="dxa"/>
            <w:vAlign w:val="bottom"/>
            <w:shd w:val="clear" w:color="auto" w:fill="CCEEFF"/>
          </w:tcPr>
          <w:p>
            <w:pPr>
              <w:spacing w:after="0"/>
              <w:rPr>
                <w:sz w:val="18"/>
                <w:szCs w:val="18"/>
                <w:color w:val="auto"/>
              </w:rPr>
            </w:pPr>
          </w:p>
        </w:tc>
      </w:tr>
      <w:tr>
        <w:trPr>
          <w:trHeight w:val="210"/>
        </w:trPr>
        <w:tc>
          <w:tcPr>
            <w:tcW w:w="6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16,505</w:t>
            </w:r>
          </w:p>
        </w:tc>
        <w:tc>
          <w:tcPr>
            <w:tcW w:w="12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Inventories-current</w:t>
            </w: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11,400</w:t>
            </w:r>
          </w:p>
        </w:tc>
        <w:tc>
          <w:tcPr>
            <w:tcW w:w="120" w:type="dxa"/>
            <w:vAlign w:val="bottom"/>
            <w:shd w:val="clear" w:color="auto" w:fill="CCEEFF"/>
          </w:tcPr>
          <w:p>
            <w:pPr>
              <w:spacing w:after="0"/>
              <w:rPr>
                <w:sz w:val="18"/>
                <w:szCs w:val="18"/>
                <w:color w:val="auto"/>
              </w:rPr>
            </w:pPr>
          </w:p>
        </w:tc>
      </w:tr>
      <w:tr>
        <w:trPr>
          <w:trHeight w:val="209"/>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Inventories-noncurrent</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5,105</w:t>
            </w:r>
          </w:p>
        </w:tc>
        <w:tc>
          <w:tcPr>
            <w:tcW w:w="120" w:type="dxa"/>
            <w:vAlign w:val="bottom"/>
          </w:tcPr>
          <w:p>
            <w:pPr>
              <w:spacing w:after="0"/>
              <w:rPr>
                <w:sz w:val="18"/>
                <w:szCs w:val="18"/>
                <w:color w:val="auto"/>
              </w:rPr>
            </w:pPr>
          </w:p>
        </w:tc>
      </w:tr>
      <w:tr>
        <w:trPr>
          <w:trHeight w:val="20"/>
        </w:trPr>
        <w:tc>
          <w:tcPr>
            <w:tcW w:w="6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Inventories, stated at the lower of cost and net realizable value, consist of raw materials, work in process and finished goods. At September 30, 2020, $17.0 million of inventory was classified as current on the condensed consolidated balance sheet as we expect this inventory to be consumed for commercial use within the next twelve months. At September 30, 2020, $8.7 million of inventory was classified as noncurrent on the condensed consolidated balance sheets as we did not expect this inventory to be consumed for commercial use within the next twelve months. We obtain some inventory components from a limited number of suppliers due to technology, availability, price, quality or other considerations. The loss of a supplier, the deterioration of our relationship with a supplier, or any unilateral violation of the contractual terms under which we are supplied components by a supplier could adversely affect our total revenues and gross margins.</w:t>
      </w:r>
    </w:p>
    <w:p>
      <w:pPr>
        <w:spacing w:after="0" w:line="188" w:lineRule="exact"/>
        <w:rPr>
          <w:sz w:val="20"/>
          <w:szCs w:val="20"/>
          <w:color w:val="auto"/>
        </w:rPr>
      </w:pPr>
    </w:p>
    <w:p>
      <w:pPr>
        <w:ind w:left="40"/>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Property and equipment, net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540" w:type="dxa"/>
            <w:vAlign w:val="bottom"/>
          </w:tcPr>
          <w:p>
            <w:pPr>
              <w:spacing w:after="0"/>
              <w:rPr>
                <w:sz w:val="14"/>
                <w:szCs w:val="14"/>
                <w:color w:val="auto"/>
              </w:rPr>
            </w:pP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5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r>
      <w:tr>
        <w:trPr>
          <w:trHeight w:val="210"/>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15,303</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74,960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70,510</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61,964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59,069</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10,203</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 and leasehold improvements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208,293</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19,672</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243,120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116,387</w:t>
            </w:r>
          </w:p>
        </w:tc>
        <w:tc>
          <w:tcPr>
            <w:tcW w:w="100" w:type="dxa"/>
            <w:vAlign w:val="bottom"/>
            <w:shd w:val="clear" w:color="auto" w:fill="CCEEFF"/>
          </w:tcPr>
          <w:p>
            <w:pPr>
              <w:spacing w:after="0"/>
              <w:rPr>
                <w:sz w:val="18"/>
                <w:szCs w:val="18"/>
                <w:color w:val="auto"/>
              </w:rPr>
            </w:pPr>
          </w:p>
        </w:tc>
      </w:tr>
      <w:tr>
        <w:trPr>
          <w:trHeight w:val="210"/>
        </w:trPr>
        <w:tc>
          <w:tcPr>
            <w:tcW w:w="6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635,483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499,437</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(137,148)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(121,870)</w:t>
            </w:r>
          </w:p>
        </w:tc>
      </w:tr>
      <w:tr>
        <w:trPr>
          <w:trHeight w:val="210"/>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498,335</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377,567</w:t>
            </w:r>
          </w:p>
        </w:tc>
        <w:tc>
          <w:tcPr>
            <w:tcW w:w="100" w:type="dxa"/>
            <w:vAlign w:val="bottom"/>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In February 2018, we signed an agreement to rent a building in Morges, Switzerland for an initial term of 15 years plus one year of free rent, with multiple options to extend for an additional 20 years. The building will serve as our new European headquarters and will consist of approximately 100,000 square feet of office space. This building will allow for consolidation of our European operations that are currently located in Geneva and Lausanne, Switzerland. Building permits were granted by the local government authorities in September 2018 and construction activity began immediately thereafter. In June 2019, we obtained control of the Morges building to begin our construction activity. At that time, we determined the lease to be a finance lease and recorded a lease liability of $31.1 million and a finance lease right-of-use asset of $29.1 million, net of a lease incentive from our landlord of $2.0 million. As of September 30, 2020 we have capitalized approximately $23.8 million in on site preparation, design and construction costs.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In July 2018, we signed an agreement to purchase land located in Yverdon, Switzerland. The land was purchased, in cash, for approximately $4.8 million. Upon this parcel, we are constructing a large molecule production facility. Construction activity commenced in July 2018 and as of September 30, 2020, we have capitalized approximately $148.2 million in costs for construction, ground preparation and architectural and engineering studies. We currently anticipate the facility will be completed in 2021.</w:t>
      </w:r>
    </w:p>
    <w:p>
      <w:pPr>
        <w:spacing w:after="0" w:line="183" w:lineRule="exact"/>
        <w:rPr>
          <w:sz w:val="20"/>
          <w:szCs w:val="20"/>
          <w:color w:val="auto"/>
        </w:rPr>
      </w:pPr>
    </w:p>
    <w:p>
      <w:pPr>
        <w:jc w:val="both"/>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We are the lessee of several contracts, including those to secure fleet vehicles, buildings and equipment. Our lease agreements do not contain any material residual value guarantees or restrictive covenants. Some of our building leases include options to renew and the exercise of these options is at our discretion. Our current operating lease liabilities are reflected in accrued and other current liabilities and our noncurrent operating lease liabilities are reflected in other liabilities on the condensed consolidated balance sheets and are as follows (in thousands):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220" w:type="dxa"/>
            <w:vAlign w:val="bottom"/>
            <w:tcBorders>
              <w:bottom w:val="single" w:sz="8" w:color="CCEEFF"/>
            </w:tcBorders>
          </w:tcPr>
          <w:p>
            <w:pPr>
              <w:spacing w:after="0"/>
              <w:rPr>
                <w:sz w:val="15"/>
                <w:szCs w:val="15"/>
                <w:color w:val="auto"/>
              </w:rPr>
            </w:pPr>
          </w:p>
        </w:tc>
        <w:tc>
          <w:tcPr>
            <w:tcW w:w="22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21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9,343</w:t>
            </w:r>
          </w:p>
        </w:tc>
        <w:tc>
          <w:tcPr>
            <w:tcW w:w="120" w:type="dxa"/>
            <w:vAlign w:val="bottom"/>
          </w:tcPr>
          <w:p>
            <w:pPr>
              <w:spacing w:after="0"/>
              <w:rPr>
                <w:sz w:val="18"/>
                <w:szCs w:val="18"/>
                <w:color w:val="auto"/>
              </w:rPr>
            </w:pPr>
          </w:p>
        </w:tc>
      </w:tr>
      <w:tr>
        <w:trPr>
          <w:trHeight w:val="216"/>
        </w:trPr>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11,854</w:t>
            </w:r>
          </w:p>
        </w:tc>
        <w:tc>
          <w:tcPr>
            <w:tcW w:w="120" w:type="dxa"/>
            <w:vAlign w:val="bottom"/>
            <w:shd w:val="clear" w:color="auto" w:fill="CCEEFF"/>
          </w:tcPr>
          <w:p>
            <w:pPr>
              <w:spacing w:after="0"/>
              <w:rPr>
                <w:sz w:val="18"/>
                <w:szCs w:val="18"/>
                <w:color w:val="auto"/>
              </w:rPr>
            </w:pPr>
          </w:p>
        </w:tc>
      </w:tr>
      <w:tr>
        <w:trPr>
          <w:trHeight w:val="216"/>
        </w:trPr>
        <w:tc>
          <w:tcPr>
            <w:tcW w:w="4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2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32,848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31,918</w:t>
            </w:r>
          </w:p>
        </w:tc>
        <w:tc>
          <w:tcPr>
            <w:tcW w:w="120" w:type="dxa"/>
            <w:vAlign w:val="bottom"/>
            <w:tcBorders>
              <w:bottom w:val="single" w:sz="8" w:color="CCEEFF"/>
            </w:tcBorders>
          </w:tcPr>
          <w:p>
            <w:pPr>
              <w:spacing w:after="0"/>
              <w:rPr>
                <w:sz w:val="18"/>
                <w:szCs w:val="18"/>
                <w:color w:val="auto"/>
              </w:rPr>
            </w:pPr>
          </w:p>
        </w:tc>
      </w:tr>
      <w:tr>
        <w:trPr>
          <w:trHeight w:val="209"/>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2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58,963</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53,779</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The cash paid for amounts included in the measurement of our operating lease liabilities for the nine months ended September 30, 2020 and 2019 was $8.7 million and $8.6 million, respectively, in operating cash flows. The cash paid for amounts included in the measurement of our finance lease liabilities for the nine months ended September 30, 2020 and 2019 was $0.6 million, in financing cash flows.</w:t>
      </w:r>
    </w:p>
    <w:p>
      <w:pPr>
        <w:spacing w:after="0" w:line="180"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2020, our finance and operating leases had a weighted average lease term of approximately 14.9 and 4.9 years, respectively. The discount rate of our leases is an approximation of an estimated incremental borrowing rate and is dependent upon the term and economics of each agreement. The weighted average discount rate of our finance and operating leases is approximately 3.6% and 4.5%, respectively.</w:t>
      </w:r>
    </w:p>
    <w:p>
      <w:pPr>
        <w:spacing w:after="0" w:line="180" w:lineRule="exact"/>
        <w:rPr>
          <w:sz w:val="20"/>
          <w:szCs w:val="20"/>
          <w:color w:val="auto"/>
        </w:rPr>
      </w:pPr>
    </w:p>
    <w:p>
      <w:pPr>
        <w:jc w:val="both"/>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For the three and nine months ended September 30, 2020, we incurred approximately $2.9 million and $9.0 million, respectively, of expense related to our operating leases, approximately $0.7 million and $1.9 million, respectively, of amortization on our finance lease right-of-use assets and approximately $0.3 million and $0.9 million, respectively, of interest expense on our finance lease liabilities. For the three and nine months ended September 30, 2019, we incurred approximately $3.6 million and $10.9 million, respectively, of expense related to our operating leases, approximately $0.7 million and $1.1 million, respectively, of amortization on our finance lease right-of-use assets and approximately $0.3 million of interest expense on our finance lease liabilities. For the three and nine months ended September 30, 2020 and 2019, the cost of our short term leases with a term less than 12 months was de minimis.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60" w:hanging="316"/>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and goodwill</w:t>
      </w:r>
    </w:p>
    <w:p>
      <w:pPr>
        <w:spacing w:after="0" w:line="225"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9"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intangible assets were as follows (in thousands, except for useful life):</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60" w:type="dxa"/>
            <w:vAlign w:val="bottom"/>
            <w:tcBorders>
              <w:bottom w:val="single" w:sz="8" w:color="auto"/>
            </w:tcBorders>
            <w:gridSpan w:val="5"/>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Balance at September 30, 2020</w:t>
            </w:r>
          </w:p>
        </w:tc>
        <w:tc>
          <w:tcPr>
            <w:tcW w:w="160" w:type="dxa"/>
            <w:vAlign w:val="bottom"/>
          </w:tcPr>
          <w:p>
            <w:pPr>
              <w:spacing w:after="0"/>
              <w:rPr>
                <w:sz w:val="15"/>
                <w:szCs w:val="15"/>
                <w:color w:val="auto"/>
              </w:rPr>
            </w:pPr>
          </w:p>
        </w:tc>
        <w:tc>
          <w:tcPr>
            <w:tcW w:w="2720" w:type="dxa"/>
            <w:vAlign w:val="bottom"/>
            <w:tcBorders>
              <w:bottom w:val="single" w:sz="8" w:color="auto"/>
            </w:tcBorders>
            <w:gridSpan w:val="5"/>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Balance at December 31, 2019</w:t>
            </w:r>
          </w:p>
        </w:tc>
        <w:tc>
          <w:tcPr>
            <w:tcW w:w="0" w:type="dxa"/>
            <w:vAlign w:val="bottom"/>
          </w:tcPr>
          <w:p>
            <w:pPr>
              <w:spacing w:after="0"/>
              <w:rPr>
                <w:sz w:val="1"/>
                <w:szCs w:val="1"/>
                <w:color w:val="auto"/>
              </w:rPr>
            </w:pPr>
          </w:p>
        </w:tc>
      </w:tr>
      <w:tr>
        <w:trPr>
          <w:trHeight w:val="252"/>
        </w:trPr>
        <w:tc>
          <w:tcPr>
            <w:tcW w:w="224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9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16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9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Useful</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Lives (Years)</w:t>
            </w:r>
          </w:p>
        </w:tc>
        <w:tc>
          <w:tcPr>
            <w:tcW w:w="1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2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Licensed IP</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$ 271,000</w:t>
            </w: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93,325</w:t>
            </w:r>
          </w:p>
        </w:tc>
        <w:tc>
          <w:tcPr>
            <w:tcW w:w="9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$ 177,675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$ 271,000</w:t>
            </w: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77,172</w:t>
            </w:r>
          </w:p>
        </w:tc>
        <w:tc>
          <w:tcPr>
            <w:tcW w:w="9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$ 193,828</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40" w:right="60" w:firstLine="648"/>
        <w:spacing w:after="0" w:line="282" w:lineRule="auto"/>
        <w:rPr>
          <w:sz w:val="20"/>
          <w:szCs w:val="20"/>
          <w:color w:val="auto"/>
        </w:rPr>
      </w:pPr>
      <w:r>
        <w:rPr>
          <w:rFonts w:ascii="Times New Roman" w:cs="Times New Roman" w:eastAsia="Times New Roman" w:hAnsi="Times New Roman"/>
          <w:sz w:val="18"/>
          <w:szCs w:val="18"/>
          <w:color w:val="auto"/>
        </w:rPr>
        <w:t>Estimated aggregate amortization expense based on the current carrying value of amortizable intangible assets is as follows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Remainder of</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173"/>
        </w:trPr>
        <w:tc>
          <w:tcPr>
            <w:tcW w:w="23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21,536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21,536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21,536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21,536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86,147</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There were no changes to the carrying amount of goodwill for the nine months ended September 30, 2020.</w:t>
      </w:r>
    </w:p>
    <w:p>
      <w:pPr>
        <w:spacing w:after="0" w:line="221" w:lineRule="exact"/>
        <w:rPr>
          <w:sz w:val="20"/>
          <w:szCs w:val="20"/>
          <w:color w:val="auto"/>
        </w:rPr>
      </w:pPr>
    </w:p>
    <w:p>
      <w:pPr>
        <w:ind w:left="400" w:hanging="311"/>
        <w:spacing w:after="0"/>
        <w:tabs>
          <w:tab w:leader="none" w:pos="4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 agreements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Novartis</w:t>
      </w:r>
    </w:p>
    <w:p>
      <w:pPr>
        <w:spacing w:after="0" w:line="229" w:lineRule="exact"/>
        <w:rPr>
          <w:sz w:val="20"/>
          <w:szCs w:val="20"/>
          <w:color w:val="auto"/>
        </w:rPr>
      </w:pPr>
    </w:p>
    <w:p>
      <w:pPr>
        <w:jc w:val="both"/>
        <w:ind w:left="40" w:right="60" w:firstLine="648"/>
        <w:spacing w:after="0" w:line="255" w:lineRule="auto"/>
        <w:rPr>
          <w:sz w:val="20"/>
          <w:szCs w:val="20"/>
          <w:color w:val="auto"/>
        </w:rPr>
      </w:pPr>
      <w:r>
        <w:rPr>
          <w:rFonts w:ascii="Times New Roman" w:cs="Times New Roman" w:eastAsia="Times New Roman" w:hAnsi="Times New Roman"/>
          <w:sz w:val="18"/>
          <w:szCs w:val="18"/>
          <w:color w:val="auto"/>
        </w:rPr>
        <w:t>In November 2009, we entered into a Collaboration and License Agreement with Novartis. Under the terms of the agreement, Novartis received exclusive development and commercialization rights outside of the United States to our JAK inhibitor ruxolitinib and certain back-up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back-up compounds in all indications.</w:t>
      </w:r>
    </w:p>
    <w:p>
      <w:pPr>
        <w:spacing w:after="0" w:line="189" w:lineRule="exact"/>
        <w:rPr>
          <w:sz w:val="20"/>
          <w:szCs w:val="20"/>
          <w:color w:val="auto"/>
        </w:rPr>
      </w:pPr>
    </w:p>
    <w:p>
      <w:pPr>
        <w:jc w:val="both"/>
        <w:ind w:left="40" w:right="60" w:firstLine="648"/>
        <w:spacing w:after="0" w:line="253" w:lineRule="auto"/>
        <w:rPr>
          <w:sz w:val="20"/>
          <w:szCs w:val="20"/>
          <w:color w:val="auto"/>
        </w:rPr>
      </w:pPr>
      <w:r>
        <w:rPr>
          <w:rFonts w:ascii="Times New Roman" w:cs="Times New Roman" w:eastAsia="Times New Roman" w:hAnsi="Times New Roman"/>
          <w:sz w:val="18"/>
          <w:szCs w:val="18"/>
          <w:color w:val="auto"/>
        </w:rPr>
        <w:t>Under this agreement, we received an upfront payment and immediate milestone payment totaling $210.0 million and were initially eligible to receive up to $1.2 billion in milestone payments across multiple indications upon the achievement of pre-specified events, including up to $174.0 million for the achievement of development milestones, up to $495.0 million for the achievement of regulatory milestones and up to $500.0 million for the achievement of sales milestones. In April 2016, we amended this agreement to provide that Novartis has exclusive research, development and commercialization rights outside of the United States to ruxolitinib (excluding topical formulations) in the graft-versus-host-disease (“GVHD”) field. We became eligible to receive up to $75.0 million of additional potential development and regulatory milestones relating to GVHD. Exclusive of the upfront payment of $150.0 million received in 2009 and the immediate milestone of $60.0 million earned in 2010, we have recognized and received, in the aggregate, $157.0 million for the achievement of development milestones, $280.0 million for the achievement of regulatory milestones and $120.0 million for the achievement of sales milestones through September 30, 2020.</w:t>
      </w:r>
    </w:p>
    <w:p>
      <w:pPr>
        <w:spacing w:after="0" w:line="192" w:lineRule="exact"/>
        <w:rPr>
          <w:sz w:val="20"/>
          <w:szCs w:val="20"/>
          <w:color w:val="auto"/>
        </w:rPr>
      </w:pPr>
    </w:p>
    <w:p>
      <w:pPr>
        <w:jc w:val="both"/>
        <w:ind w:left="40" w:right="60" w:firstLine="648"/>
        <w:spacing w:after="0" w:line="261" w:lineRule="auto"/>
        <w:rPr>
          <w:sz w:val="20"/>
          <w:szCs w:val="20"/>
          <w:color w:val="auto"/>
        </w:rPr>
      </w:pPr>
      <w:r>
        <w:rPr>
          <w:rFonts w:ascii="Times New Roman" w:cs="Times New Roman" w:eastAsia="Times New Roman" w:hAnsi="Times New Roman"/>
          <w:sz w:val="18"/>
          <w:szCs w:val="18"/>
          <w:color w:val="auto"/>
        </w:rPr>
        <w:t>We recognize development and regulatory milestones upon confirmation of achievement of the event, as development and regulatory approvals are events not controllable by us but rather development activities of Novartis and decisions made by regulatory agencies. We recognize sales milestones in the corresponding period of the product sale upon confirmation of net sales milestone threshold achievement by Novartis.</w:t>
      </w: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20"/>
          </w:cols>
          <w:pgMar w:left="1440" w:top="513" w:right="1439" w:bottom="1440" w:gutter="0" w:footer="0" w:header="0"/>
        </w:sectPr>
      </w:pPr>
    </w:p>
    <w:bookmarkStart w:id="23" w:name="page24"/>
    <w:bookmarkEnd w:id="23"/>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In May 2020, we recognized a $25.0 million development milestone and a $45.0 million regulatory milestone for the FDA approval of capmatinib as TABRECTA for the treatment of adult patients with metastatic non-small cell lung cancer (NSCLC) whose tumors have a mutation that leads to MET exon 14 skipping (METex14) as detected by an FDA-approved test. In June 2020, we recognized a $20.0 million regulatory milestone for the Japanese Ministry of Health, Labour and Welfare approval of TABRECTA for METex14 mutation-positive advanced and/or recurrent unresectable non-small cell lung cancer.</w:t>
      </w:r>
    </w:p>
    <w:p>
      <w:pPr>
        <w:spacing w:after="0" w:line="187" w:lineRule="exact"/>
        <w:rPr>
          <w:sz w:val="20"/>
          <w:szCs w:val="20"/>
          <w:color w:val="auto"/>
        </w:rPr>
      </w:pPr>
    </w:p>
    <w:p>
      <w:pPr>
        <w:jc w:val="both"/>
        <w:ind w:left="40" w:right="59" w:firstLine="648"/>
        <w:spacing w:after="0" w:line="252" w:lineRule="auto"/>
        <w:rPr>
          <w:sz w:val="20"/>
          <w:szCs w:val="20"/>
          <w:color w:val="auto"/>
        </w:rPr>
      </w:pPr>
      <w:r>
        <w:rPr>
          <w:rFonts w:ascii="Times New Roman" w:cs="Times New Roman" w:eastAsia="Times New Roman" w:hAnsi="Times New Roman"/>
          <w:sz w:val="18"/>
          <w:szCs w:val="18"/>
          <w:color w:val="auto"/>
        </w:rPr>
        <w:t>We also are eligible to receive tiered, double-digit royalties ranging from the upper-teens to the mid-twenties on future JAKAVI net sales outside of the United States, and tiered, worldwide royalties on future TABRECTA net sales that range from 12% to 14%. Since the achievement of the $60.0 million regulatory milestone related to reimbursement of JAKAVI in Europe in September 2014, we are obligated to pay to Novartis tiered royalties in the low single-digits on future JAKAFI net sales within the United States. During the three and nine months ended September 30, 2020, such royalties payable to Novartis on net sales within the United States totaled $23.9 million and $64.6 million, respectively, and are reflected in cost of product revenues on the condensed consolidated statements of operations. During the three and nine months ended September 30, 2019, such royalties payable to Novartis on net sales within the United States totaled $21.2 million and $54.7 million, respectively, and are reflected in cost of product revenues on the condensed consolidated statements of operations. At September 30, 2020 and December 31, 2019, $83.0 million and $50.2 million, respectively, of accrued royalties payable to Novartis were included in accrued and other current liabilities on the condensed consolidated balance sheets. Each company is responsible for costs relating to the development and commercialization of ruxolitinib in its respective territories, with costs of collaborative studies shared equally. Novartis is also responsible for all costs relating to the development and commercialization of capmatinib.</w:t>
      </w:r>
    </w:p>
    <w:p>
      <w:pPr>
        <w:spacing w:after="0" w:line="197" w:lineRule="exact"/>
        <w:rPr>
          <w:sz w:val="20"/>
          <w:szCs w:val="20"/>
          <w:color w:val="auto"/>
        </w:rPr>
      </w:pPr>
    </w:p>
    <w:p>
      <w:pPr>
        <w:jc w:val="both"/>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The Novartis agreement will continue on a program-by-program basis until Novartis has no royalty payment obligations with respect to such program or, if earlier, the termination of the agreement or any program in accordance with the terms of the agreement. Royalties are payable by Novartis on a product-by-product and country-by-country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Novartis or its affiliates or sublicensees. The agreement may be terminated in its entirety or on a program-by-program basis by Novartis for convenience. The agreement may also be terminated by either party under certain other circumstances, including material breach.</w:t>
      </w:r>
    </w:p>
    <w:p>
      <w:pPr>
        <w:spacing w:after="0" w:line="188" w:lineRule="exact"/>
        <w:rPr>
          <w:sz w:val="20"/>
          <w:szCs w:val="20"/>
          <w:color w:val="auto"/>
        </w:rPr>
      </w:pPr>
    </w:p>
    <w:p>
      <w:pPr>
        <w:jc w:val="both"/>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Reimbursable costs incurred after the effective date of the agreement with Novartis are recorded net against the related research and development expenses. Research and development expenses for the three and nine months ended September 30, 2020 were net of $0.0 million and $0.3 million, respectively, of costs reimbursed by Novartis. Research and development expenses for the three and nine months ended September 30, 2019 were net of $0.0 million and $1.0 million, respectively, of costs reimbursed by Novartis. At September 30, 2020 and December 31, 2019, $0.1 million and $0.4 million, respectively, of reimbursable costs were included in accounts receivable on the condensed consolidated balance sheets.</w:t>
      </w:r>
    </w:p>
    <w:p>
      <w:pPr>
        <w:spacing w:after="0" w:line="189" w:lineRule="exact"/>
        <w:rPr>
          <w:sz w:val="20"/>
          <w:szCs w:val="20"/>
          <w:color w:val="auto"/>
        </w:rPr>
      </w:pPr>
    </w:p>
    <w:p>
      <w:pPr>
        <w:jc w:val="both"/>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Milestone and contract revenue under the Novartis agreement for the three and nine months ended September 30, 2020 was $0.0 million and $90.0 million, respectively. Milestone and contract revenue under the Novartis agreement for the three and nine months ended September 30, 2019 was $0.0 million. Product royalty revenue related to Novartis net sales of JAKAVI outside of the United States for the three and nine months ended September 30, 2020 was $68.3 million and $190.9 million, respectively. Product royalty revenue related to Novartis net sales of JAKAVI outside of the United States for the three and nine months ended September 30, 2019 was $58.4 million and $160.9 million, respectively. Product royalty revenue related to Novartis net sales of TABRECTA worldwide for the three and nine months ended September 30, 2020 was $1.4 million and $2.1 million, respectively.</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Lilly – Baricitinib</w:t>
      </w:r>
    </w:p>
    <w:p>
      <w:pPr>
        <w:spacing w:after="0" w:line="229" w:lineRule="exact"/>
        <w:rPr>
          <w:sz w:val="20"/>
          <w:szCs w:val="20"/>
          <w:color w:val="auto"/>
        </w:rPr>
      </w:pPr>
    </w:p>
    <w:p>
      <w:pPr>
        <w:jc w:val="both"/>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In December 2009, we entered into a License, Development and Commercialization Agreement with Lilly. Under the terms of the agreement, Lilly received exclusive worldwide development and commercialization rights to our JAK inhibitor baricitinib, and certain back-up compounds for inflammatory and autoimmune diseases. We received an upfront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8"/>
          <w:szCs w:val="18"/>
          <w:color w:val="auto"/>
        </w:rPr>
        <w:t>payment of $90.0 million, and were initially eligible to receive up to $665.0 million in substantive milestone payments across multiple indications upon the achievement of pre-specified events, including up to $150.0 million for the achievement of development milestones, up to $365.0 million for the achievement of regulatory milestones and up to $150.0 million for the achievement of sales milestones. Exclusive of the upfront payment of $90.0 million received in 2009, we have recognized and received, in aggregate, $149.0 million for the achievement of development milestones and $235.0 million for the achievement of regulatory milestones through September 30, 2020.</w:t>
      </w:r>
    </w:p>
    <w:p>
      <w:pPr>
        <w:spacing w:after="0" w:line="187"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We recognize development and regulatory milestones upon confirmation of achievement of the event, as development and regulatory approvals are events not controllable by us but rather development activities of Lilly and decisions made by regulatory agencies. We recognize sales milestones in the corresponding period of the product sale upon confirmation of net sales milestone threshold achievement by Lilly.</w:t>
      </w:r>
    </w:p>
    <w:p>
      <w:pPr>
        <w:spacing w:after="0" w:line="180" w:lineRule="exact"/>
        <w:rPr>
          <w:sz w:val="20"/>
          <w:szCs w:val="20"/>
          <w:color w:val="auto"/>
        </w:rPr>
      </w:pPr>
    </w:p>
    <w:p>
      <w:pPr>
        <w:jc w:val="both"/>
        <w:ind w:left="40" w:right="59" w:firstLine="648"/>
        <w:spacing w:after="0" w:line="272" w:lineRule="auto"/>
        <w:rPr>
          <w:sz w:val="20"/>
          <w:szCs w:val="20"/>
          <w:color w:val="auto"/>
        </w:rPr>
      </w:pPr>
      <w:r>
        <w:rPr>
          <w:rFonts w:ascii="Times New Roman" w:cs="Times New Roman" w:eastAsia="Times New Roman" w:hAnsi="Times New Roman"/>
          <w:sz w:val="17"/>
          <w:szCs w:val="17"/>
          <w:color w:val="auto"/>
        </w:rPr>
        <w:t>In January 2016, Lilly submitted an NDA to the FDA and a Marketing Authorization Application (MAA) to the European Medicines Agency for baricitinib as treatment for rheumatoid arthritis. In February 2017, we and Lilly announced that the European Commission approved baricitinib as OLUMIANT for the treatment of moderate-to-severe rheumatoid arthritis in adult patients who have responded inadequately to, or who are intolerant to, one or more disease-modifying antirheumatic drugs. In July 2017, Japan's Ministry of Health, Labor and Welfare granted marketing approval for OLUMIANT for the treatment of rheumatoid arthritis in patients with inadequate response to standard-of-care therapies. In June 2018, the FDA approved the 2mg dose of OLUMIANT for the treatment of adults with moderately-to-severely active rheumatoid arthritis who have had an inadequate response to one or more tumor necrosis factor inhibitor therapies.</w:t>
      </w:r>
    </w:p>
    <w:p>
      <w:pPr>
        <w:spacing w:after="0" w:line="172" w:lineRule="exact"/>
        <w:rPr>
          <w:sz w:val="20"/>
          <w:szCs w:val="20"/>
          <w:color w:val="auto"/>
        </w:rPr>
      </w:pPr>
    </w:p>
    <w:p>
      <w:pPr>
        <w:jc w:val="both"/>
        <w:ind w:left="40" w:right="59" w:firstLine="648"/>
        <w:spacing w:after="0" w:line="252" w:lineRule="auto"/>
        <w:rPr>
          <w:sz w:val="20"/>
          <w:szCs w:val="20"/>
          <w:color w:val="auto"/>
        </w:rPr>
      </w:pPr>
      <w:r>
        <w:rPr>
          <w:rFonts w:ascii="Times New Roman" w:cs="Times New Roman" w:eastAsia="Times New Roman" w:hAnsi="Times New Roman"/>
          <w:sz w:val="18"/>
          <w:szCs w:val="18"/>
          <w:color w:val="auto"/>
        </w:rPr>
        <w:t>We retained options to co-develop our JAK1/JAK2 inhibitors with Lilly on a compound-by-compound and indication-by-indication basis. Lilly is responsible for all costs relating to the development and commercialization of the compounds unless we elect to co-develop any compounds or indications. If we elect to co-develop any compounds and/or indications, we would be responsible for funding 30% of the associated future global development costs from the initiation of a Phase IIb trial through regulatory approval, including post-launch studies required by a regulatory authority. We would receive an incremental royalty rate increase across all tiers resulting in effective royalty rates ranging up to the high twenties on potential future global net sales for compounds and/or indications that we elect to co-develop. For indications that we elect not to co-develop, we would receive tiered, double-digit royalty payments on future global net sales with rates ranging up to 20% if the product is successfully commercialized. If we have started co-development funding for any indication, we can at any time opt out and stop future co-development cost sharing. If we elect to do this we would still be eligible for our base royalties plus an incremental pro-rated royalty commensurate with our contribution to the total co-development cost for those indications for which we co-funded. We previously had retained an option to co-promote products in the United States but, in March 2016, we waived our co-promotion option as part of an amendment to the agreement.</w:t>
      </w:r>
    </w:p>
    <w:p>
      <w:pPr>
        <w:spacing w:after="0" w:line="197" w:lineRule="exact"/>
        <w:rPr>
          <w:sz w:val="20"/>
          <w:szCs w:val="20"/>
          <w:color w:val="auto"/>
        </w:rPr>
      </w:pPr>
    </w:p>
    <w:p>
      <w:pPr>
        <w:jc w:val="both"/>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In July 2010, we elected to co-develop baricitinib with Lilly in rheumatoid arthritis and became responsible for funding 30% of the associated future global development costs for this indication from the initiation of the Phase IIb trial through regulatory approval, including post-launch studies required by a regulatory authority. We subsequently elected to co-develop baricitinib with Lilly in psoriatic arthritis, atopic dermatitis, alopecia areata, systemic lupus erythematosus and axial spondyloarthritis and were responsible for funding 30% of future global development costs for those indications through regulatory approval, including post-launch studies required by a regulatory authority. In April 2019, we elected to end additional co-funding of the development of baricitinib effective as of January 1, 2019. We will continue to receive royalties on global net sales of OLUMIANT, pursuant to the terms in the Lilly agreement, as described above.</w:t>
      </w:r>
    </w:p>
    <w:p>
      <w:pPr>
        <w:spacing w:after="0" w:line="192"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In May 2020, we amended our agreement with Lilly to enable Lilly to develop and commercialize baricitinib for the treatment of COVID-19. As part of the amended agreement, in addition to the royalties described above, we will be entitled to receive additional royalty payments with rates in the low teens on global net sales of baricitinib for the treatment of COVID-19 that exceed a specified aggregate global net sales threshold.</w:t>
      </w:r>
    </w:p>
    <w:p>
      <w:pPr>
        <w:spacing w:after="0" w:line="180" w:lineRule="exact"/>
        <w:rPr>
          <w:sz w:val="20"/>
          <w:szCs w:val="20"/>
          <w:color w:val="auto"/>
        </w:rPr>
      </w:pPr>
    </w:p>
    <w:p>
      <w:pPr>
        <w:jc w:val="both"/>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The Lilly agreement will continue until Lilly no longer has any royalty payment obligations or, if earlier, the termination of the agreement in accordance with its terms. Royalties are payable by Lilly on a product-by-product and country-by-country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Lilly or</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82" w:lineRule="auto"/>
        <w:rPr>
          <w:sz w:val="20"/>
          <w:szCs w:val="20"/>
          <w:color w:val="auto"/>
        </w:rPr>
      </w:pPr>
      <w:r>
        <w:rPr>
          <w:rFonts w:ascii="Times New Roman" w:cs="Times New Roman" w:eastAsia="Times New Roman" w:hAnsi="Times New Roman"/>
          <w:sz w:val="18"/>
          <w:szCs w:val="18"/>
          <w:color w:val="auto"/>
        </w:rPr>
        <w:t>its affiliates or sublicensees. The agreement may be terminated by Lilly for convenience, and may also be terminated under certain other circumstances, including material breach.</w:t>
      </w:r>
    </w:p>
    <w:p>
      <w:pPr>
        <w:spacing w:after="0" w:line="162" w:lineRule="exact"/>
        <w:rPr>
          <w:sz w:val="20"/>
          <w:szCs w:val="20"/>
          <w:color w:val="auto"/>
        </w:rPr>
      </w:pPr>
    </w:p>
    <w:p>
      <w:pPr>
        <w:jc w:val="both"/>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Milestone and contract revenue under the Lilly agreement for the three and nine months ended September 30, 2020 and 2019 was $0.0 million. Product royalty revenue related to Lilly global net sales of OLUMIANT for the three and nine months ended September 30, 2020 was $28.6 million and $79.9 million, respectively. Product royalty revenue related to Lilly global net sales of OLUMIANT for the three and nine months ended September 30, 2019 was $21.6 million and $56.8 million, respectively.</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Lilly - Ruxolitinib</w:t>
      </w:r>
    </w:p>
    <w:p>
      <w:pPr>
        <w:spacing w:after="0" w:line="229" w:lineRule="exact"/>
        <w:rPr>
          <w:sz w:val="20"/>
          <w:szCs w:val="20"/>
          <w:color w:val="auto"/>
        </w:rPr>
      </w:pPr>
    </w:p>
    <w:p>
      <w:pPr>
        <w:jc w:val="both"/>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In March 2016, we entered into an amendment to the agreement with Lilly that amended the non-compete provision of the agreement to allow us to engage in the development and commercialization of ruxolitinib in the GVHD field. Upon execution of the amendment, we paid Lilly an upfront payment of $35.0 million and Lilly is eligible to receive up to $40.0 million in regulatory milestone payments relating to ruxolitinib in the GVHD field. In May 2019, the approval of JAKAFI in steroid-refractory acute GVHD triggered a $20.0 million milestone payment to Lilly.</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Agenus</w:t>
      </w:r>
    </w:p>
    <w:p>
      <w:pPr>
        <w:spacing w:after="0" w:line="229"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In January 2015, we entered into a License, Development and Commercialization Agreement with Agenus Inc. and its wholly-owned subsidiary, 4-Antibody AG (now known as Agenus Switzerland Inc.), which we collectively refer to as Agenus. Under this agreement, the parties have agreed to collaborate on the discovery of novel immuno-therapeutics using Agenus’ antibody discovery platforms. The agreement became effective on February 18, 2015, upon the expiration of the waiting period under the Hart-Scott-Rodino Antitrust Improvements Act of 1976. Upon closing of the agreement, we paid Agenus total consideration of $60.0 million.</w:t>
      </w:r>
    </w:p>
    <w:p>
      <w:pPr>
        <w:spacing w:after="0" w:line="187" w:lineRule="exact"/>
        <w:rPr>
          <w:sz w:val="20"/>
          <w:szCs w:val="20"/>
          <w:color w:val="auto"/>
        </w:rPr>
      </w:pPr>
    </w:p>
    <w:p>
      <w:pPr>
        <w:jc w:val="both"/>
        <w:ind w:left="40" w:right="59" w:firstLine="648"/>
        <w:spacing w:after="0" w:line="252" w:lineRule="auto"/>
        <w:rPr>
          <w:sz w:val="20"/>
          <w:szCs w:val="20"/>
          <w:color w:val="auto"/>
        </w:rPr>
      </w:pPr>
      <w:r>
        <w:rPr>
          <w:rFonts w:ascii="Times New Roman" w:cs="Times New Roman" w:eastAsia="Times New Roman" w:hAnsi="Times New Roman"/>
          <w:sz w:val="18"/>
          <w:szCs w:val="18"/>
          <w:color w:val="auto"/>
        </w:rPr>
        <w:t>In February 2017, we and Agenus amended this agreement (the “Amended Agreement”). Under the terms of the Amended Agreement, we received exclusive worldwide development and commercialization rights to four checkpoint modulators directed against GITR, OX40, LAG-3 and TIM-3. In addition to the initial four program targets, we and Agenus have the option to jointly nominate and pursue additional targets within the framework of the collaboration, and in November 2015, three more targets were added. Targets may be designated profit-share programs, where all costs and profits are shared equally by us and Agenus, or royalty-bearing programs, where we are responsible for all costs associated with discovery, preclinical, clinical development and commercialization activities. The programs relating to GITR and OX40 and two of the undisclosed targets were profit-share programs until February 2017, while the other targets currently under collaboration are royalty-bearing programs. The Amended Agreement converted the programs relating to GITR and OX40 to royalty-bearing programs and removed from the collaboration the profit-share programs relating to the two undisclosed targets, with one reverting to us and one reverting to Agenus. Should any of those removed programs be successfully developed by a party, the other party will be eligible to receive the same milestone payments as the royalty-bearing programs and royalties at a 15% rate on global net sales. There are currently no profit-share programs. For each royalty-bearing product other than GITR and OX40, Agenus will be eligible to receive tiered royalties on global net sales ranging from 6% to 12%. For GITR and OX40, Agenus will be eligible to receive 15% royalties on global net sales.</w:t>
      </w:r>
    </w:p>
    <w:p>
      <w:pPr>
        <w:spacing w:after="0" w:line="196" w:lineRule="exact"/>
        <w:rPr>
          <w:sz w:val="20"/>
          <w:szCs w:val="20"/>
          <w:color w:val="auto"/>
        </w:rPr>
      </w:pPr>
    </w:p>
    <w:p>
      <w:pPr>
        <w:jc w:val="both"/>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In 2017 under the Amended Agreement, we paid Agenus $20.0 million in accelerated milestones relating to the clinical development of the GITR and OX40 programs, which was recorded in research and development expense. Agenus was initially eligible to receive up to an additional $510.0 million in future contingent development, regulatory and commercialization milestones across all programs in the collaboration. The agreement may be terminated by us for convenience upon 12 months’ notice and may also be terminated under certain other circumstances, including material breach. In 2018, we paid Agenus a $5.0 million development milestone for the LAG-3 program and a $5.0 million development milestone for the TIM-3 program, which were recorded in research and development expense.</w:t>
      </w:r>
    </w:p>
    <w:p>
      <w:pPr>
        <w:spacing w:after="0" w:line="189"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Amended Agreement, we also agreed to purchase 10.0 million shares of Agenus Inc. common stock for an aggregate purchase price of $60.0 million in cash, or $6.00 per share. We completed the purchase of the shares on February 14, 2017, when the closing price on The Nasdaq Stock Market for Agenus Inc. shares was $4.40 per share. The shares we acquired were not registered under the Securities Act of 1933 on the purchase date and were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subject to certain security specific restrictions for a period of time, and accordingly, we estimated a discount for lack of marketability on the shares on the issuance date of $4.5 million, which resulted in a net fair value of the shares on the issuance date of $39.5 million. Therefore, of the total consideration paid of $60.0 million, $39.5 million was allocated to our stock purchase in Agenus Inc. and was recorded within long term investments and $20.5 million was allocated to research and development expense.</w:t>
      </w:r>
    </w:p>
    <w:p>
      <w:pPr>
        <w:spacing w:after="0" w:line="183" w:lineRule="exact"/>
        <w:rPr>
          <w:sz w:val="20"/>
          <w:szCs w:val="20"/>
          <w:color w:val="auto"/>
        </w:rPr>
      </w:pPr>
    </w:p>
    <w:p>
      <w:pPr>
        <w:jc w:val="both"/>
        <w:ind w:left="40" w:right="59" w:firstLine="648"/>
        <w:spacing w:after="0" w:line="251" w:lineRule="auto"/>
        <w:rPr>
          <w:sz w:val="20"/>
          <w:szCs w:val="20"/>
          <w:color w:val="auto"/>
        </w:rPr>
      </w:pPr>
      <w:r>
        <w:rPr>
          <w:rFonts w:ascii="Times New Roman" w:cs="Times New Roman" w:eastAsia="Times New Roman" w:hAnsi="Times New Roman"/>
          <w:sz w:val="18"/>
          <w:szCs w:val="18"/>
          <w:color w:val="auto"/>
        </w:rPr>
        <w:t>We concluded Agenus Inc. is not a VIE because it has sufficient equity to finance its activities without additional subordinated financial support and its at-risk equity holders have the characteristics of a controlling financial interest. After completion of our stock purchases from Agenus Inc., we held an approximate ownership interest of 18% and, under circumstances present at that time, concluded that we had the ability to exercise significant influence, but not control, over Agenus Inc., primarily due to the level of intra-entity transactions between us and Agenus related to development expenses, as well as other qualitative factors. In the second quarter of 2020, we sold an aggregate of approximately 1.2 million shares of Agenus Inc. common stock, reducing our ownership interest to approximately 9.8% as of June 30, 2020. The sales transactions were priced at market, with per share pricing ranging from $3.57 to $4.21, resulting in gross proceeds of approximately $4.5 million. In the third quarter of 2020, we sold an aggregate of approximately 2.5 million shares of Agenus Inc. common stock, reducing our ownership interest to approximately 7.7% as of September 30, 2020. The sales transactions were priced at market, with per share pricing ranging from $4.28 to $5.25, resulting in gross proceeds of approximately $12.7 million. While we believe that we continue to be the largest stockholder of Agenus Inc., as a result of having a less than 10% ownership interest and the recent diversification of Agenus Inc.’s development pipeline with other collaboration partners, we concluded that we no longer have significant influence over Agenus Inc. As such, we no longer account for our equity investment in Agenus Inc. as an equity method investment previously accounted for under the fair value option. We will account for our investment in Agenus Inc. at fair value, whereby the investment is marked to market through earnings in each reporting period. For the three and nine months ended September 30, 2020, we recorded an unrealized gain of $3.9 million and $1.2 million, respectively, based on the change in fair market value of Agenus Inc.’s common stock during these periods. For the three and nine months ended September 30, 2019, we recorded an unrealized loss of $7.5 million and an unrealized gain of $3.5 million, respectively, based on the change in fair market value of Agenus Inc.’s common stock during these periods. The fair market value of our long term investment in Agenus Inc. at September 30, 2020 and December 31, 2019 was $56.2 million and $72.3 million, respectively.</w:t>
      </w:r>
    </w:p>
    <w:p>
      <w:pPr>
        <w:spacing w:after="0" w:line="206"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for the three and nine months ended September 30, 2020 also included $0.1 million and $0.4 million, respectively, of development costs incurred pursuant to the Agenus arrangement. Research and development expenses for the three and nine months ended September 30, 2019 also included $0.4 million and $1.3 million, respectively, of development costs incurred pursuant to the Agenus arrangement. At September 30, 2020 and December 31, 2019, a total of $1.5 million and $1.6 million, respectively, of such costs were included in accrued and other liabilities on the condensed consolidated balance sheets.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Merus</w:t>
      </w:r>
    </w:p>
    <w:p>
      <w:pPr>
        <w:spacing w:after="0" w:line="229"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In December 2016, we entered into a Collaboration and License Agreement with Merus N.V. (“Merus”). Under this agreement, which became effective in January 2017, the parties have agreed to collaborate with respect to the research, discovery and development of bispecific antibodies utilizing Merus’ technology platform. The collaboration encompasses up to eleven independent programs.</w:t>
      </w:r>
    </w:p>
    <w:p>
      <w:pPr>
        <w:spacing w:after="0" w:line="180"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The most advanced collaboration program is MCLA-145, a bispecific antibody targeting PD-L1 and CD137, for which we received exclusive development and commercialization rights outside of the United States. Merus retained exclusive development and commercialization rights in the United States to MCLA-145. Each party will share equally the costs of mutually agreed global development activities for MCLA-145, and fund itself any independent development activities in its territory. Merus will be responsible for commercializing MCLA-145 in the United States and we will be responsible for commercializing it outside of the United States.</w:t>
      </w:r>
    </w:p>
    <w:p>
      <w:pPr>
        <w:spacing w:after="0" w:line="187"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In addition to receiving rights to MCLA-145 outside of the United States, we received worldwide exclusive development and commercialization rights to up to ten additional programs. Of these ten additional programs, Merus retained the option, subject to certain conditions, to co-fund development of up to two such programs. If Merus exercises its co-funding option for a program, Merus would be responsible for funding 35% of the associated future global</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8"/>
          <w:szCs w:val="18"/>
          <w:color w:val="auto"/>
        </w:rPr>
        <w:t>development costs and, for certain of such programs, would be responsible for reimbursing us for certain development costs incurred prior to the option exercise. Merus will also have the right to participate in a specified proportion of detailing activities in the United States for one of those co-developed programs. All costs related to the co-funded collaboration programs are subject to joint research and development plans and overseen by a joint development committee, but we will have final determination as to such plans in cases of dispute. We will be responsible for all research, development and commercialization costs relating to all other programs.</w:t>
      </w:r>
    </w:p>
    <w:p>
      <w:pPr>
        <w:spacing w:after="0" w:line="187" w:lineRule="exact"/>
        <w:rPr>
          <w:sz w:val="20"/>
          <w:szCs w:val="20"/>
          <w:color w:val="auto"/>
        </w:rPr>
      </w:pPr>
    </w:p>
    <w:p>
      <w:pPr>
        <w:jc w:val="both"/>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In February 2017, we paid Merus an upfront non-refundable payment of $120.0 million. For each program as to which Merus does not have commercialization or development co-funding rights, Merus will be eligible to receive up to $100.0 million in future contingent development and regulatory milestones, and up to $250.0 million in commercialization milestones as well as tiered royalties ranging from 6% to 10% of global net sales. For each program as to which Merus exercises its option to co-fund development, Merus will be eligible to receive a 50% share of profits (or sustain 50% of any losses) in the United States and be eligible to receive tiered royalties ranging from 6% to 10% of net sales of products outside of the United States. If Merus opts to cease co-funding a program as to which it exercised its co-development option, then Merus will no longer receive a share of profits in the United States but will be eligible to receive the same milestones from the co-funding termination date and the same tiered royalties described above with respect to programs where Merus does not have a right to co-fund development and, depending on the stage at which Merus chose to cease co-funding development costs, Merus will be eligible to receive additional royalties ranging up to 4% of net sales in the United States. For MCLA-145, we and Merus will each be eligible to receive tiered royalties on net sales in the other party’s territory at rates ranging from 6% to 10%.</w:t>
      </w:r>
    </w:p>
    <w:p>
      <w:pPr>
        <w:spacing w:after="0" w:line="187" w:lineRule="exact"/>
        <w:rPr>
          <w:sz w:val="20"/>
          <w:szCs w:val="20"/>
          <w:color w:val="auto"/>
        </w:rPr>
      </w:pPr>
    </w:p>
    <w:p>
      <w:pPr>
        <w:jc w:val="both"/>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The Merus agreement will continue on a program-by-program basis until we have no royalty payment obligations with respect to such program or, if earlier, the termination of the agreement or any program in accordance with the terms of the agreement. The agreement may be terminated in its entirety or on a program-by-program basis by us for convenience. The agreement may also be terminated by either party under certain other circumstances, including material breach, as set forth in the agreement. If the agreement is terminated with respect to one or more programs, all rights in the terminated programs revert to Merus, subject to payment to us of a reverse royalty of up to 4% on sales of future products, if Merus elects to pursue development and commercialization of products arising from the terminated programs.</w:t>
      </w:r>
    </w:p>
    <w:p>
      <w:pPr>
        <w:spacing w:after="0" w:line="189" w:lineRule="exact"/>
        <w:rPr>
          <w:sz w:val="20"/>
          <w:szCs w:val="20"/>
          <w:color w:val="auto"/>
        </w:rPr>
      </w:pPr>
    </w:p>
    <w:p>
      <w:pPr>
        <w:jc w:val="both"/>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In addition, in December 2016, we entered into a Share Subscription Agreement with Merus, pursuant to which we agreed to purchase 3.2 million common shares of Merus for an aggregate purchase price of $80.0 million in cash, or $25.00 per share. We completed the purchase of the shares on January 23, 2017 when the closing price on The Nasdaq Stock Market for Merus shares was $24.50 per share. The shares we acquired were not registered under the Securities Act of 1933 on the purchase date and were subject to certain security specific restrictions for a period of time, and accordingly, we estimated a discount for lack of marketability on the shares on the issuance date of $5.6 million, which resulted in a net fair value of the shares on the issuance date of $72.8 million. Of the total consideration paid of $80.0 million, $72.8 million was allocated to our stock purchase in Merus and was recorded as a long term investment and $7.2 million was allocated to research and development expense. The fair market value of our total long term investment in Merus at September 30, 2020 and December 31, 2019 was $38.4 million and $45.1 million, respectively.</w:t>
      </w:r>
    </w:p>
    <w:p>
      <w:pPr>
        <w:spacing w:after="0" w:line="194" w:lineRule="exact"/>
        <w:rPr>
          <w:sz w:val="20"/>
          <w:szCs w:val="20"/>
          <w:color w:val="auto"/>
        </w:rPr>
      </w:pPr>
    </w:p>
    <w:p>
      <w:pPr>
        <w:jc w:val="both"/>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We concluded Merus is not a VIE because it has sufficient equity to finance its activities without additional subordinated financial support and its at-risk equity holders have the characteristics of a controlling financial interest. As of September 30, 2020, we owned approximately 11% of the outstanding common shares of Merus and conclude that we have the ability to exercise significant influence, but not control, over Merus based primarily on our ownership interest, the level of intra-entity transactions between us and Merus related to development expenses, as well as other qualitative factors. We have elected the fair value option to account for our long term investment in Merus whereby the investment is marked to market through earnings in each reporting period. We believe the fair value option to be the most appropriate accounting method to account for securities in publicly held collaborators for which we have significant influence. For the three and nine months ended September 30, 2020, we recorded an unrealized loss of $13.1 million and $6.7 million, respectively, based on the change in fair market value of Merus’ common shares during these periods. For the three and nine months ended September 30, 2019, we recorded an unrealized gain of $10.1 million and $12.2 million, respectively, based on the change in fair market value of Merus’ common shares during these periods.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2020, Merus reported within its Form 10-Q total revenues of approximately $6.1 million and $12.4 million, respectively, and net loss of approximately $18.0 million and $34.5 million, respectively, within their condensed consolidated financial statements.</w:t>
      </w:r>
    </w:p>
    <w:p>
      <w:pPr>
        <w:spacing w:after="0" w:line="216"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for the three and nine months ended September 30, 2020 included $1.8 million and $6.0 million, respectively, of additional development costs incurred pursuant to the Merus agreement. Research and development expenses for the three and nine months ended September 30, 2019 included $1.4 million and $5.7 million, respectively, of additional development costs incurred pursuant to the Merus agreement. At September 30, 2020 and December 31, 2019, a total of $0.8 million and $1.6 million, respectively, of such costs were included in accrued and other liabilities on the condensed consolidated balance sheets.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Calithera</w:t>
      </w:r>
    </w:p>
    <w:p>
      <w:pPr>
        <w:spacing w:after="0" w:line="229" w:lineRule="exact"/>
        <w:rPr>
          <w:sz w:val="20"/>
          <w:szCs w:val="20"/>
          <w:color w:val="auto"/>
        </w:rPr>
      </w:pPr>
    </w:p>
    <w:p>
      <w:pPr>
        <w:jc w:val="both"/>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In January 2017, we entered into a Collaboration and License Agreement with Calithera Biosciences, Inc. (“Calithera”). Under this agreement, we received an exclusive, worldwide license to develop and commercialize small molecule arginase inhibitors, including INCB01158, which is currently in Phase I clinical trials, for hematology and oncology indications. We have agreed to co-fund 70% of the global development costs for the development of the licensed products for hematology and oncology indications. Calithera will have the right to conduct certain clinical development under the collaboration, including combination studies of a licensed product with a proprietary compound of Calithera. We will be entitled to 60% of the profits and losses from net sales of licensed product in the United States, and Calithera will have the right to co-detail licensed products in the United States, and we have agreed to pay Calithera tiered royalties ranging from the low to mid-double digits on net sales of licensed products outside the United States.</w:t>
      </w:r>
    </w:p>
    <w:p>
      <w:pPr>
        <w:spacing w:after="0" w:line="188" w:lineRule="exact"/>
        <w:rPr>
          <w:sz w:val="20"/>
          <w:szCs w:val="20"/>
          <w:color w:val="auto"/>
        </w:rPr>
      </w:pPr>
    </w:p>
    <w:p>
      <w:pPr>
        <w:jc w:val="both"/>
        <w:ind w:left="40" w:right="59" w:firstLine="441"/>
        <w:spacing w:after="0" w:line="261" w:lineRule="auto"/>
        <w:rPr>
          <w:sz w:val="20"/>
          <w:szCs w:val="20"/>
          <w:color w:val="auto"/>
        </w:rPr>
      </w:pPr>
      <w:r>
        <w:rPr>
          <w:rFonts w:ascii="Times New Roman" w:cs="Times New Roman" w:eastAsia="Times New Roman" w:hAnsi="Times New Roman"/>
          <w:sz w:val="18"/>
          <w:szCs w:val="18"/>
          <w:color w:val="auto"/>
        </w:rPr>
        <w:t>In January 2017, we paid Calithera an upfront license fee of $45.0 million and have agreed to pay potential development, regulatory and sales milestone payments of over $430.0 million if the profit share is in effect, or $750.0 million if the profit share terminates. In 2017, we paid Calithera a $12.0 million milestone for the achievement of pharmacokinetic and pharmacodynamics goals for CB-1158 which was recorded in research and development expense.</w:t>
      </w:r>
    </w:p>
    <w:p>
      <w:pPr>
        <w:spacing w:after="0" w:line="180" w:lineRule="exact"/>
        <w:rPr>
          <w:sz w:val="20"/>
          <w:szCs w:val="20"/>
          <w:color w:val="auto"/>
        </w:rPr>
      </w:pPr>
    </w:p>
    <w:p>
      <w:pPr>
        <w:jc w:val="both"/>
        <w:ind w:left="40" w:right="59" w:firstLine="441"/>
        <w:spacing w:after="0" w:line="254" w:lineRule="auto"/>
        <w:rPr>
          <w:sz w:val="20"/>
          <w:szCs w:val="20"/>
          <w:color w:val="auto"/>
        </w:rPr>
      </w:pPr>
      <w:r>
        <w:rPr>
          <w:rFonts w:ascii="Times New Roman" w:cs="Times New Roman" w:eastAsia="Times New Roman" w:hAnsi="Times New Roman"/>
          <w:sz w:val="18"/>
          <w:szCs w:val="18"/>
          <w:color w:val="auto"/>
        </w:rPr>
        <w:t>In August 2020, Calithera delivered notice of its decision to opt out of its co-funding obligation, effective on September 30, 2020. As a result, the U.S. profit sharing will no longer be in effect, we will be responsible for funding all of the development costs of INCB01158 and any other licensed products, and the agreement provides that we will pay Calithera tiered royalties ranging from the low to mid-double digits on net sales of licensed products both in the United States and outside the United States and additional royalties to reimburse Calithera for previously incurred development costs. In addition, the total remaining potential development, regulatory and sales milestone payments will be $738.0 million and Calithera will have no further rights to research, develop or co-detail INCB001158 and we will have the right to take over the conduct of all activities related to the research, development and commercialization of INCB001158 for all indications in the hematology/oncology field.</w:t>
      </w:r>
    </w:p>
    <w:p>
      <w:pPr>
        <w:spacing w:after="0" w:line="188" w:lineRule="exact"/>
        <w:rPr>
          <w:sz w:val="20"/>
          <w:szCs w:val="20"/>
          <w:color w:val="auto"/>
        </w:rPr>
      </w:pPr>
    </w:p>
    <w:p>
      <w:pPr>
        <w:jc w:val="both"/>
        <w:ind w:left="40" w:right="59" w:firstLine="441"/>
        <w:spacing w:after="0" w:line="255" w:lineRule="auto"/>
        <w:rPr>
          <w:sz w:val="20"/>
          <w:szCs w:val="20"/>
          <w:color w:val="auto"/>
        </w:rPr>
      </w:pPr>
      <w:r>
        <w:rPr>
          <w:rFonts w:ascii="Times New Roman" w:cs="Times New Roman" w:eastAsia="Times New Roman" w:hAnsi="Times New Roman"/>
          <w:sz w:val="18"/>
          <w:szCs w:val="18"/>
          <w:color w:val="auto"/>
        </w:rPr>
        <w:t>The Calithera agreement will continue on a product-by-product and country-by-country basis for so long as we are developing or commercializing products in the United States (if the parties are sharing profits in the United States) and until we have no further royalty payment obligations, unless earlier terminated according to the terms of the agreement. The agreement may be terminated in its entirety or on a product-by-product and/or a country-by-country basis by us for convenience. The agreement may also be terminated by us for Calithera’s uncured material breach, by Calithera for our uncured material breach and by either party for bankruptcy or patent challenge. If the agreement is terminated early with respect to one or more products or countries, all rights in the terminated products and countries revert to Calithera.</w:t>
      </w:r>
    </w:p>
    <w:p>
      <w:pPr>
        <w:spacing w:after="0" w:line="189" w:lineRule="exact"/>
        <w:rPr>
          <w:sz w:val="20"/>
          <w:szCs w:val="20"/>
          <w:color w:val="auto"/>
        </w:rPr>
      </w:pPr>
    </w:p>
    <w:p>
      <w:pPr>
        <w:jc w:val="both"/>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in January 2017, we entered into a Stock Purchase Agreement with Calithera for the purchase of 1.7 million common shares of Calithera for an aggregate purchase price of $8.0 million in cash, or $4.65 per share. We completed the purchase of the shares on January 30, 2017 when the closing price on The Nasdaq Stock Market was $6.75 per share. The shares we acquired were registered under the Securities Act of 1933 on the purchase date and there were no security specific restrictions for these shares, and therefore the value of the 1.7 million shares acquired by us was $11.6 million. We paid total consideration of $53.0 million to Calithera, composed of the $45.0 million upfront license fee and the $8.0 million stock purchase price. Of the $53.0 million, $11.6 million was allocated to our stock purchase in Calithera and was recorded within long term investments and $41.4 million was allocated to research and development expense.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82" w:lineRule="auto"/>
        <w:rPr>
          <w:sz w:val="20"/>
          <w:szCs w:val="20"/>
          <w:color w:val="auto"/>
        </w:rPr>
      </w:pPr>
      <w:r>
        <w:rPr>
          <w:rFonts w:ascii="Times New Roman" w:cs="Times New Roman" w:eastAsia="Times New Roman" w:hAnsi="Times New Roman"/>
          <w:sz w:val="18"/>
          <w:szCs w:val="18"/>
          <w:color w:val="auto"/>
        </w:rPr>
        <w:t>fair market value of our long term investment in Calithera at September 30, 2020 and December 31, 2019 was $5.9 million and $9.8 million, respectively.</w:t>
      </w:r>
    </w:p>
    <w:p>
      <w:pPr>
        <w:spacing w:after="0" w:line="162" w:lineRule="exact"/>
        <w:rPr>
          <w:sz w:val="20"/>
          <w:szCs w:val="20"/>
          <w:color w:val="auto"/>
        </w:rPr>
      </w:pPr>
    </w:p>
    <w:p>
      <w:pPr>
        <w:jc w:val="both"/>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We concluded Calithera is not a VIE because it has sufficient equity to finance its activities without additional subordinated financial support and its at-risk equity holders have the characteristics of a controlling financial interest. As of September 30, 2020, we owned approximately 2% of the outstanding shares of Calithera common stock and there are several other stockholders who hold larger positions of Calithera. As we do not hold a significant position of the voting shares of Calithera and lack the qualitative characteristics associated with the ability to exercise significant influence, our ownership interest does not meet the criteria to be accounted for as an equity method investment. We intend to hold the investment in Calithera for the foreseeable future and therefore, are accounting for our shares held in Calithera at fair value, and the investment is marked to market through earnings in each reporting period. Given our intent to hold the investment for the foreseeable future, we have classified the investment within long term investments on the accompanying condensed consolidated balance sheets. For the three and nine months ended September 30, 2020 we recorded an unrealized loss of $3.2 million and $3.9 million, respectively, based on the change in fair market value of Calithera’s common stock during these periods. For the three and nine months ended September 30, 2019 we recorded an unrealized loss of $1.4 million and $1.6 million, respectively, based on the change in fair market value of Calithera’s common stock during these periods.</w:t>
      </w:r>
    </w:p>
    <w:p>
      <w:pPr>
        <w:spacing w:after="0" w:line="228"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for the three and nine months ended September 30, 2020 also included $2.0 million and $6.4 million, respectively, of additional development costs incurred pursuant to the Calithera agreement. Research and development expenses for the three and nine months ended September 30, 2019 also included $4.7 million and $14.7 million, respectively, of additional development costs incurred pursuant to the Calithera agreement. At September 30, 2020 and December 31, 2019, a total of $0.5 million and $1.1 million, respectively, of such costs were included in accrued and other liabilities on the condensed consolidated balance sheets.</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MacroGenics</w:t>
      </w:r>
    </w:p>
    <w:p>
      <w:pPr>
        <w:spacing w:after="0" w:line="270" w:lineRule="exact"/>
        <w:rPr>
          <w:sz w:val="20"/>
          <w:szCs w:val="20"/>
          <w:color w:val="auto"/>
        </w:rPr>
      </w:pPr>
    </w:p>
    <w:p>
      <w:pPr>
        <w:jc w:val="both"/>
        <w:ind w:left="40" w:right="59" w:firstLine="648"/>
        <w:spacing w:after="0" w:line="252" w:lineRule="auto"/>
        <w:rPr>
          <w:sz w:val="20"/>
          <w:szCs w:val="20"/>
          <w:color w:val="auto"/>
        </w:rPr>
      </w:pPr>
      <w:r>
        <w:rPr>
          <w:rFonts w:ascii="Times New Roman" w:cs="Times New Roman" w:eastAsia="Times New Roman" w:hAnsi="Times New Roman"/>
          <w:sz w:val="18"/>
          <w:szCs w:val="18"/>
          <w:color w:val="auto"/>
        </w:rPr>
        <w:t>In October 2017, we entered into a Global Collaboration and License Agreement with MacroGenics, Inc. (“MacroGenics”). Under this agreement, we received exclusive development and commercialization rights worldwide to MacroGenics’ INCMGA0012 (formerly MGA012), an investigational monoclonal antibody that inhibits PD-1. Except as set forth in the succeeding sentence, we will have sole authority over and bear all costs and expenses in connection with the development and commercialization of INCMGA0012 in all indications, whether as a monotherapy or as part of a combination regimen. MacroGenics has retained the right to develop and commercialize, at its cost and expense, its pipeline assets in combination with INCMGA0012. In addition, MacroGenics has the right to manufacture a portion of both companies’ global clinical and commercial supply needs of INCMGA0012. In 2017, we paid MacroGenics an upfront payment of $150.0 million, which was recorded in research and development expense. MacroGenics was initially eligible to receive up to $420.0 million in future contingent development and regulatory milestones and up to $330.0 million in commercial milestones as well as tiered royalties ranging from 15% to 24% of global net sales. In 2018, we paid MacroGenics a $10.0 million and a $5.0 million milestone for the achievement of certain clinical milestones as part of our collaboration and license agreement, which were recorded in research and development expense. In September 2020, we paid MacroGenics a $15.0 million milestone for the achievement of a clinical milestone as part of our collaboration and license agreement, which was recorded in research and development expense.</w:t>
      </w:r>
    </w:p>
    <w:p>
      <w:pPr>
        <w:spacing w:after="0" w:line="196" w:lineRule="exact"/>
        <w:rPr>
          <w:sz w:val="20"/>
          <w:szCs w:val="20"/>
          <w:color w:val="auto"/>
        </w:rPr>
      </w:pPr>
    </w:p>
    <w:p>
      <w:pPr>
        <w:jc w:val="both"/>
        <w:ind w:left="40" w:right="59" w:firstLine="648"/>
        <w:spacing w:after="0" w:line="259" w:lineRule="auto"/>
        <w:rPr>
          <w:sz w:val="20"/>
          <w:szCs w:val="20"/>
          <w:color w:val="auto"/>
        </w:rPr>
      </w:pPr>
      <w:r>
        <w:rPr>
          <w:rFonts w:ascii="Times New Roman" w:cs="Times New Roman" w:eastAsia="Times New Roman" w:hAnsi="Times New Roman"/>
          <w:sz w:val="18"/>
          <w:szCs w:val="18"/>
          <w:color w:val="auto"/>
        </w:rPr>
        <w:t>The MacroGenics agreement will continue until we are no longer commercializing, developing or manufacturing INCMGA0012 or, if earlier, the termination of the agreement in accordance with its terms. The agreement may be terminated in its entirety or on a licensed product by licensed product basis by us for convenience. The agreement may also be terminated by either party under certain other circumstances, including material breach, as set forth in the agreement.</w:t>
      </w:r>
    </w:p>
    <w:p>
      <w:pPr>
        <w:spacing w:after="0" w:line="200" w:lineRule="exact"/>
        <w:rPr>
          <w:sz w:val="20"/>
          <w:szCs w:val="20"/>
          <w:color w:val="auto"/>
        </w:rPr>
      </w:pPr>
    </w:p>
    <w:p>
      <w:pPr>
        <w:spacing w:after="0" w:line="203"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for the three and nine months ended September 30, 2020 also included $10.6 million and $43.3 million, respectively, of additional development costs incurred pursuant to the MacroGenics agreement. Research and development expenses for the three and nine months ended September 30, 2019 also included $14.1 million and $33.3 million, respectively, of additional development costs incurred pursuant to the MacroGenics agreement. At September 30, 2020 and December 31, 2019, a total of $0.3 million and $1.0 million of such costs were included in accrued and other liabilities on the condensed consolidated balance sheets.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Syros</w:t>
      </w:r>
    </w:p>
    <w:p>
      <w:pPr>
        <w:spacing w:after="0" w:line="270" w:lineRule="exact"/>
        <w:rPr>
          <w:sz w:val="20"/>
          <w:szCs w:val="20"/>
          <w:color w:val="auto"/>
        </w:rPr>
      </w:pPr>
    </w:p>
    <w:p>
      <w:pPr>
        <w:jc w:val="both"/>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In January 2018, we entered into a target discovery, research collaboration and option agreement with Syros Pharmaceuticals, Inc. (“Syros”). Under this agreement, Syros will use its proprietary gene control platform to identify novel therapeutic targets with a focus in myeloproliferative neoplasms and we have received options to obtain exclusive worldwide rights to intellectual property resulting from the collaboration for up to seven validated targets. We will have exclusive worldwide rights to develop and commercialize any therapies under the collaboration that modulate those validated targets. We have agreed to pay Syros up to $54.0 million in target selection and option exercise fees should we decide to exercise all of our options under the agreement. For products resulting from the collaboration against each of the seven selected and validated targets, we have agreed to pay up to $50.0 million in potential development and regulatory milestones and up to $65.0 million in potential sales milestones. Syros is also eligible to receive low single-digit royalties on net sales of products resulting from the collaboration. In January 2018, we paid Syros an upfront non-refundable (except in the event of a material breach of the agreement by Syros) payment of $10.0 million, which was recorded in research and development expense.</w:t>
      </w:r>
    </w:p>
    <w:p>
      <w:pPr>
        <w:spacing w:after="0" w:line="190" w:lineRule="exact"/>
        <w:rPr>
          <w:sz w:val="20"/>
          <w:szCs w:val="20"/>
          <w:color w:val="auto"/>
        </w:rPr>
      </w:pPr>
    </w:p>
    <w:p>
      <w:pPr>
        <w:jc w:val="both"/>
        <w:ind w:left="40" w:right="59" w:firstLine="648"/>
        <w:spacing w:after="0" w:line="252" w:lineRule="auto"/>
        <w:rPr>
          <w:sz w:val="20"/>
          <w:szCs w:val="20"/>
          <w:color w:val="auto"/>
        </w:rPr>
      </w:pPr>
      <w:r>
        <w:rPr>
          <w:rFonts w:ascii="Times New Roman" w:cs="Times New Roman" w:eastAsia="Times New Roman" w:hAnsi="Times New Roman"/>
          <w:sz w:val="18"/>
          <w:szCs w:val="18"/>
          <w:color w:val="auto"/>
        </w:rPr>
        <w:t>In addition, in January 2018, we entered into a Stock Purchase Agreement with Syros for the purchase of 0.8 million common shares of Syros for an aggregate purchase price of $10.0 million in cash, or $12.61 per share. We agreed to not sell or otherwise transfer any of our Syros shares for a period, referred to as the Lock-Up Period, of 12 months after the closing date of the sale. We completed the purchase of the shares on January 8, 2018 when the closing price on The Nasdaq Stock Market was $9.77 per share. The shares we acquired were not registered on the purchase date, and accordingly, we estimated a discount for lack of marketability on the shares of $0.1 million, which resulted in a net fair value of the shares on the issuance date of $7.6 million. Of the $10.0 million aggregate purchase price paid, $7.6 million was allocated to our stock purchase in Syros and was recorded within long term investments and $2.4 million, representing premium paid on the purchase, was allocated to research and development expense. Also in January 2018, we entered into an Amended Stock Purchase Agreement with Syros for the purchase of an additional 0.1 million common shares of Syros for an aggregate purchase price of $1.4 million in cash, or $9.55 per share. The shares were acquired in February 2018 and the $1.4 million aggregate purchase price was recorded within long term investments on the condensed consolidated balance sheets. All acquired shares were subsequently registered under the Securities Act of 1933 in February 2018. The fair market value of our long term investment in Syros as of September 30, 2020 and December 31, 2019 was $8.3 million and $6.5 million, respectively.</w:t>
      </w:r>
    </w:p>
    <w:p>
      <w:pPr>
        <w:spacing w:after="0" w:line="196" w:lineRule="exact"/>
        <w:rPr>
          <w:sz w:val="20"/>
          <w:szCs w:val="20"/>
          <w:color w:val="auto"/>
        </w:rPr>
      </w:pPr>
    </w:p>
    <w:p>
      <w:pPr>
        <w:jc w:val="both"/>
        <w:ind w:left="40" w:right="59" w:firstLine="648"/>
        <w:spacing w:after="0" w:line="252" w:lineRule="auto"/>
        <w:rPr>
          <w:sz w:val="20"/>
          <w:szCs w:val="20"/>
          <w:color w:val="auto"/>
        </w:rPr>
      </w:pPr>
      <w:r>
        <w:rPr>
          <w:rFonts w:ascii="Times New Roman" w:cs="Times New Roman" w:eastAsia="Times New Roman" w:hAnsi="Times New Roman"/>
          <w:sz w:val="18"/>
          <w:szCs w:val="18"/>
          <w:color w:val="auto"/>
        </w:rPr>
        <w:t>We concluded Syros is not a VIE because it has sufficient equity to finance its activities without additional subordinated financial support and its at-risk equity holders have the characteristics of a controlling financial interest. As of September 30, 2020, we owned approximately 2% of the outstanding shares of Syros common stock and there are several other stockholders who hold larger positions of Syros. As we do not hold a significant position of the voting shares of Syros and lack the qualitative characteristics associated with the ability to exercise significant influence, our ownership interest does not meet the criteria to be accounted for as an equity method investment. We intend to hold the investment in Syros for the foreseeable future and therefore, are accounting for our shares held in Syros at fair value, and the investment is marked to market through earnings in each reporting period. Given our intent to hold the investment for the foreseeable future, we have classified the investment within long term investments on the accompanying condensed consolidated balance sheets. For the three and nine months ended September 30, 2020, we recorded an unrealized loss of $1.7 million and an unrealized gain of $1.8 million, respectively, based on the change in fair market value of Syros’ common stock during these periods. For the three and nine months ended September 30, 2019, we recorded an unrealized gain of $1.1 million and $4.6 million, respectively, based on the change in fair market value of Syros’ common stock during these periods.</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Innovent</w:t>
      </w:r>
    </w:p>
    <w:p>
      <w:pPr>
        <w:spacing w:after="0" w:line="229"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In December 2018, we entered into a research collaboration and licensing agreement with Innovent. Under the terms of this agreement, Innovent received exclusive development and commercialization rights to our clinical-stage product candidates pemigatinib, itacitinib and parsaclisib in hematology and oncology in mainland China, Hong Kong, Macau and Taiwan. In January 2019, we recognized an upfront payment under this agreement of $40.0 million upon our transfer of the functional intellectual property related to the clinical-stage product candidates to Innovent, which was recorded in milestone and contract revenues on the condensed consolidated statement of operations. The upfront milestone</w:t>
      </w:r>
    </w:p>
    <w:p>
      <w:pPr>
        <w:sectPr>
          <w:pgSz w:w="11900" w:h="16838" w:orient="portrait"/>
          <w:cols w:equalWidth="0" w:num="1">
            <w:col w:w="9019"/>
          </w:cols>
          <w:pgMar w:left="1440" w:top="513" w:right="1440"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8"/>
          <w:szCs w:val="18"/>
          <w:color w:val="auto"/>
        </w:rPr>
        <w:t>was recognized as revenue at a point in time upon our transfer of the licenses to Innovent for the right to use the functional intellectual property. In June 2019, we recognized the $20.0 million milestone for the first related IND filing in China, which was recorded in milestone and contract revenues. In addition, we were initially eligible to receive up to an additional $129.0 million in potential development and regulatory milestones. We recognize development and regulatory milestones upon confirmation of achievement of the event, as development and regulatory approvals are events not controllable by us but rather development activities of Innovent and decisions made by regulatory agencies.</w:t>
      </w:r>
    </w:p>
    <w:p>
      <w:pPr>
        <w:spacing w:after="0" w:line="187" w:lineRule="exact"/>
        <w:rPr>
          <w:sz w:val="20"/>
          <w:szCs w:val="20"/>
          <w:color w:val="auto"/>
        </w:rPr>
      </w:pPr>
    </w:p>
    <w:p>
      <w:pPr>
        <w:jc w:val="both"/>
        <w:ind w:left="40" w:right="59" w:firstLine="648"/>
        <w:spacing w:after="0" w:line="282" w:lineRule="auto"/>
        <w:rPr>
          <w:sz w:val="20"/>
          <w:szCs w:val="20"/>
          <w:color w:val="auto"/>
        </w:rPr>
      </w:pPr>
      <w:r>
        <w:rPr>
          <w:rFonts w:ascii="Times New Roman" w:cs="Times New Roman" w:eastAsia="Times New Roman" w:hAnsi="Times New Roman"/>
          <w:sz w:val="18"/>
          <w:szCs w:val="18"/>
          <w:color w:val="auto"/>
        </w:rPr>
        <w:t>In April 2020, we recognized a $5.0 million milestone for the FDA approval of pemigatinib as PEMAZYRE, which was recorded in milestone and contract revenues.</w:t>
      </w:r>
    </w:p>
    <w:p>
      <w:pPr>
        <w:spacing w:after="0" w:line="162" w:lineRule="exact"/>
        <w:rPr>
          <w:sz w:val="20"/>
          <w:szCs w:val="20"/>
          <w:color w:val="auto"/>
        </w:rPr>
      </w:pPr>
    </w:p>
    <w:p>
      <w:pPr>
        <w:jc w:val="both"/>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In the event of commercialization of the licensed molecule, we are eligible to receive up to $202.5 million in potential sales milestones from Innovent. We will recognize sales milestones in the corresponding period of the product sale upon confirmation of net sales milestone threshold achievement by Innovent. We are also eligible to receive tiered royalties from the high-teens to the low-twenties on future sales of products resulting from the collaboration. We retain an option to assist in the promotion of the three product candidates in the Innovent territories.</w:t>
      </w:r>
    </w:p>
    <w:p>
      <w:pPr>
        <w:spacing w:after="0" w:line="183" w:lineRule="exact"/>
        <w:rPr>
          <w:sz w:val="20"/>
          <w:szCs w:val="20"/>
          <w:color w:val="auto"/>
        </w:rPr>
      </w:pPr>
    </w:p>
    <w:p>
      <w:pPr>
        <w:jc w:val="both"/>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for the three and nine months ended September 30, 2020 were net of $1.7 million and $4.3 million, respectively, of costs reimbursed by Innovent. Research and development expenses for the three and nine months ended September 30, 2019 were net of $3.6 million and $4.1 million, respectively, of costs reimbursed by Innovent. At September 30, 2020 and December 31, 2019, $1.4 million and $3.0 million, respectively, of reimbursable costs were included in accounts receivable on the condensed consolidated balance sheets.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Zai Lab</w:t>
      </w:r>
    </w:p>
    <w:p>
      <w:pPr>
        <w:spacing w:after="0" w:line="229"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In July 2019, we entered into a collaboration and license agreement with Zai Lab. Under the terms of this agreement, Zai Lab received development and exclusive commercialization rights to INCMGA0012 in hematology and oncology in mainland China, Hong Kong, Macau and Taiwan. In August 2019, we recognized an upfront payment under this agreement of $17.5 million upon our transfer of the functional intellectual property related to the licensed product candidate to Zai Lab, which was recorded in milestone and contract revenues. The upfront milestone was recognized as revenue at a point in time upon our transfer of the license to Zai Lab for the right to use the functional intellectual property.</w:t>
      </w:r>
    </w:p>
    <w:p>
      <w:pPr>
        <w:spacing w:after="0" w:line="187" w:lineRule="exact"/>
        <w:rPr>
          <w:sz w:val="20"/>
          <w:szCs w:val="20"/>
          <w:color w:val="auto"/>
        </w:rPr>
      </w:pPr>
    </w:p>
    <w:p>
      <w:pPr>
        <w:jc w:val="both"/>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The agreement allows for Zai Lab to continue development of the licensed molecule and to submit the licensed molecule to authorities for regulatory approval within the agreement territory, upon which we are eligible for up to $22.5 million in potential development and regulatory milestones. We recognize development and regulatory milestones upon confirmation of achievement of the event, as development and regulatory approvals are events not controllable by us but rather development activities of Zai Lab and decisions made by regulatory agencies.</w:t>
      </w:r>
    </w:p>
    <w:p>
      <w:pPr>
        <w:spacing w:after="0" w:line="183" w:lineRule="exact"/>
        <w:rPr>
          <w:sz w:val="20"/>
          <w:szCs w:val="20"/>
          <w:color w:val="auto"/>
        </w:rPr>
      </w:pPr>
    </w:p>
    <w:p>
      <w:pPr>
        <w:jc w:val="both"/>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In the event of commercialization of the licensed molecule, we are eligible to receive up to $37.5 million in potential sales milestones from Zai Lab. We will recognize sales milestones in the corresponding period of the product sale upon confirmation of net sales milestone threshold achievement by Zai Lab. We are also eligible to receive tiered royalties from the low to mid-twenties on future product sales resulting from the collaboration. We also retain an option to assist in the promotion of INCMGA0012 in Zai Lab’s licensed territories.</w:t>
      </w:r>
    </w:p>
    <w:p>
      <w:pPr>
        <w:spacing w:after="0" w:line="183"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for the three and nine months ended September 30, 2020 were net of $0.0 million and $0.2 million, respectively, of costs reimbursed by Zai Lab. At September 30, 2020 and December 31, 2019, $0.4 million and $0.5 million, respectively, of reimbursable costs were included in accounts receivable on the condensed consolidated balance sheets.</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MorphoSys</w:t>
      </w:r>
    </w:p>
    <w:p>
      <w:pPr>
        <w:spacing w:after="0" w:line="229"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In January 2020, we entered into a Collaboration and License Agreement with MorphoSys AG and MorphoSys US Inc., a wholly-owned subsidiary of MorphoSys AG (together with MorphoSys AG, “MorphoSys”), covering the worldwide development and commercialization of MOR208 (tafasitamab), an investigational Fc engineered monoclonal antibody directed against the target molecule CD19 that is currently in clinical development by MorphoSys. MorphoSys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has exclusive worldwide development and commercialization rights to tafasitamab under a June 2010 collaboration and license agreement with Xencor, Inc. In December 2019, MorphoSys submitted a Biologics License Application to the FDA for tafasitamab for the treatment of relapsed or refractory diffuse large B cell lymphoma. The agreement became effective in March 2020 after clearance by the German and Austrian antitrust authorities and expiration of the waiting period under the Hart-Scott Rodino Antitrust Improvements Act of 1976.</w:t>
      </w:r>
    </w:p>
    <w:p>
      <w:pPr>
        <w:spacing w:after="0" w:line="183" w:lineRule="exact"/>
        <w:rPr>
          <w:sz w:val="20"/>
          <w:szCs w:val="20"/>
          <w:color w:val="auto"/>
        </w:rPr>
      </w:pPr>
    </w:p>
    <w:p>
      <w:pPr>
        <w:jc w:val="both"/>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Under the terms of the agreement, we received exclusive commercialization rights outside of the United States, and MorphoSys and we have co-commercialization rights in the United States, with respect to tafasitamab. MorphoSys is responsible for leading the commercialization strategy and booking all revenue from sales of tafasitamab in the United States, and we and MorphoSys are both responsible for commercialization efforts in the United States and will share equally the profits and losses from the co-commercialization efforts. We will lead the commercialization strategy outside of the United States, and will be responsible for commercialization efforts and book all revenue from sales of tafasitamab outside of the United States, subject to our royalty payment obligations set forth below. We and MorphoSys have agreed to co-develop tafasitamab and to share development costs associated with global and U.S.-specific clinical trials, with Incyte responsible for 55% of such costs and MorphoSys responsible for 45% of such costs. Each company is responsible for funding any independent development activities, and we are responsible for funding development activities specific to territories outside of the United States. All development costs related to the collaboration are subject to a joint development plan.</w:t>
      </w:r>
    </w:p>
    <w:p>
      <w:pPr>
        <w:spacing w:after="0" w:line="190" w:lineRule="exact"/>
        <w:rPr>
          <w:sz w:val="20"/>
          <w:szCs w:val="20"/>
          <w:color w:val="auto"/>
        </w:rPr>
      </w:pPr>
    </w:p>
    <w:p>
      <w:pPr>
        <w:jc w:val="both"/>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In March 2020, we paid MorphoSys an upfront non-refundable payment of $750.0 million which was recorded in research and development expense on the condensed consolidated statement of operations for the three months ended March 31, 2020. MorphoSys is eligible to receive up to $740.0 million in future contingent development and regulatory milestones and up to $315.0 million in commercialization milestones as well as tiered royalties ranging from the mid-teens to mid-twenties of net sales outside of the United States. MorphoSys’ right to receive royalties in any particular country will expire upon the last to occur of (a) the expiration of patent rights in that particular country, (b) a specified period of time after the first post-marketing authorization sale of a licensed product comprising tafasitamab in that country, and (c) the expiration of any regulatory exclusivity for that licensed product in that country.</w:t>
      </w:r>
    </w:p>
    <w:p>
      <w:pPr>
        <w:spacing w:after="0" w:line="192"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In July 2020, we and MorphoSys announced that the FDA approved MONJUVI® (tafasitamab-cxix) in combination with lenalidomide for the treatment of adult patients with relapsed or refractory diffuse large B-cell lymphoma (DLBCL) not otherwise specified, including DLBCL arising from low grade lymphoma, and who are not eligible for autologous stem cell transplant. MONJUVI was approved under accelerated approval based on overall response rate.</w:t>
      </w:r>
    </w:p>
    <w:p>
      <w:pPr>
        <w:spacing w:after="0" w:line="180" w:lineRule="exact"/>
        <w:rPr>
          <w:sz w:val="20"/>
          <w:szCs w:val="20"/>
          <w:color w:val="auto"/>
        </w:rPr>
      </w:pPr>
    </w:p>
    <w:p>
      <w:pPr>
        <w:jc w:val="both"/>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In addition, under the collaboration agreement and pursuant to a related purchase agreement, we agreed to purchase American Depositary Shares (“ADSs”), each representing 0.25 of an ordinary share of MorphoSys AG, for an aggregate purchase price of $150.0 million or $41.33 per ADS (such ADSs to be purchased, the “New ADSs”). We agreed, subject to limited exceptions, not to sell or otherwise transfer any of the New ADSs for an 18-month period after the closing date of the sale. We completed the purchase of the ADSs on March 3, 2020 when the closing price on The Nasdaq Stock Market was $27.65 per ADS. The New ADSs were not registered under the Securities Act of 1933 on the purchase date, and accordingly, we estimated a discount for lack of marketability on the shares of $4.9 million, which resulted in a net fair value of the shares on the issuance date of $95.5 million. Of the $150.0 million aggregate purchase price paid, $95.5 million was allocated to our stock purchase in MorphoSys and was recorded within long term investments and $54.5 million, representing the premium paid on the purchase, was allocated to research and development expense. The fair market value of our long term investment in MorphoSys as of September 30, 2020 was $113.9 million.</w:t>
      </w:r>
    </w:p>
    <w:p>
      <w:pPr>
        <w:spacing w:after="0" w:line="192" w:lineRule="exact"/>
        <w:rPr>
          <w:sz w:val="20"/>
          <w:szCs w:val="20"/>
          <w:color w:val="auto"/>
        </w:rPr>
      </w:pPr>
    </w:p>
    <w:p>
      <w:pPr>
        <w:jc w:val="both"/>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We concluded MorphoSys is not a VIE because it has sufficient equity to finance its activities without additional subordinated financial support and its at-risk equity holders have the characteristics of a controlling financial interest. As of September 30, 2020, we owned approximately 3% of the outstanding shares of MorphoSys common stock and there are several other stockholders who hold larger positions of MorphoSys. As we do not hold a significant position of the voting shares of MorphoSys and lack the qualitative characteristics associated with the ability to exercise significant influence, our ownership interest does not meet the criteria to be accounted for as an equity method investment. We intend to hold the investment in MorphoSys for the foreseeable future and therefore, are accounting for our shares held in MorphoSys at fair value, and the investment is marked to market through earnings in each reporting period. Given our intent to hold the investment for the foreseeable future, we have classified the investment within long term investments on the accompanying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8"/>
          <w:szCs w:val="18"/>
          <w:color w:val="auto"/>
        </w:rPr>
        <w:t>condensed consolidated balance sheets. For the three and nine months ended September 30, 2020, we recorded an unrealized gain of $0.9 million and $18.5 million, respectively, based on the change in fair market value of MorphoSys’ common stock during these periods.</w:t>
      </w:r>
    </w:p>
    <w:p>
      <w:pPr>
        <w:spacing w:after="0" w:line="176"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Our 50% share of the United States loss for the commercialization of tafasitamab was $15.0 million and $30.4 million, respectively, for the three and nine months ended September 30, 2020 and is recorded as collaboration loss sharing on the condensed consolidated statement of operations. Research and development expenses for the three and nine months ended September 30, 2020, includes $23.8 million and $51.1 million related to our 55% share of the co-development costs for tafasitamab. At September 30, 2020, $46.8 million was included in accrued and other liabilities on the condensed consolidated balance sheet for amounts due to MorphoSys under the agreement.</w:t>
      </w:r>
    </w:p>
    <w:p>
      <w:pPr>
        <w:spacing w:after="0" w:line="183" w:lineRule="exact"/>
        <w:rPr>
          <w:sz w:val="20"/>
          <w:szCs w:val="20"/>
          <w:color w:val="auto"/>
        </w:rPr>
      </w:pPr>
    </w:p>
    <w:p>
      <w:pPr>
        <w:ind w:left="500" w:hanging="456"/>
        <w:spacing w:after="0"/>
        <w:tabs>
          <w:tab w:leader="none" w:pos="5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compensation</w:t>
      </w:r>
    </w:p>
    <w:p>
      <w:pPr>
        <w:spacing w:after="0" w:line="229" w:lineRule="exact"/>
        <w:rPr>
          <w:sz w:val="20"/>
          <w:szCs w:val="20"/>
          <w:color w:val="auto"/>
        </w:rPr>
      </w:pPr>
    </w:p>
    <w:p>
      <w:pPr>
        <w:jc w:val="both"/>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We recorded $43.8 million and $132.6 million of stock compensation expense on our condensed consolidated statements of operations for the three and nine months ended September 30, 2020, respectively. We recorded $43.4 million and $124.6 million of stock compensation expense on our condensed consolidated statements of operations for the three and nine months ended September 30, 2019, respectively. Stock compensation expense included within our condensed consolidated statements of operations included research and development expense of $29.0 million, $90.2 million, $30.5 million and $85.5 million for the three and nine months ended September 30, 2020 and 2019, respectively. Stock compensation expense included within our condensed consolidated statements of operations also included selling, general and administrative expense of $14.6 million, $41.7 million, $12.8 million and $38.6 million for the three and nine months ended September 30, 2020 and 2019, respectively. Stock compensation expense included within our condensed consolidated statements of operations also included cost of product revenues of $0.2 million, $0.7 million, $0.1 million and $0.5 million, respectively, for the three and nine months ended September 30, 2020 and 2019. For the three and nine months ended September 30, 2020 and 2019, we capitalized $0.2 million, $0.5 million, $0.1 million and $0.3 million, respectively, of stock compensation expense as part of the cost of an asset.</w:t>
      </w:r>
    </w:p>
    <w:p>
      <w:pPr>
        <w:spacing w:after="0" w:line="187" w:lineRule="exact"/>
        <w:rPr>
          <w:sz w:val="20"/>
          <w:szCs w:val="20"/>
          <w:color w:val="auto"/>
        </w:rPr>
      </w:pPr>
    </w:p>
    <w:p>
      <w:pPr>
        <w:jc w:val="both"/>
        <w:ind w:left="40" w:right="59" w:firstLine="648"/>
        <w:spacing w:after="0" w:line="282" w:lineRule="auto"/>
        <w:rPr>
          <w:sz w:val="20"/>
          <w:szCs w:val="20"/>
          <w:color w:val="auto"/>
        </w:rPr>
      </w:pPr>
      <w:r>
        <w:rPr>
          <w:rFonts w:ascii="Times New Roman" w:cs="Times New Roman" w:eastAsia="Times New Roman" w:hAnsi="Times New Roman"/>
          <w:sz w:val="18"/>
          <w:szCs w:val="18"/>
          <w:color w:val="auto"/>
        </w:rPr>
        <w:t>We utilized the Black-Scholes valuation model for estimating the fair value of the stock compensation granted, with the following weighted-average assumptions:</w:t>
      </w:r>
    </w:p>
    <w:p>
      <w:pPr>
        <w:sectPr>
          <w:pgSz w:w="11900" w:h="16838" w:orient="portrait"/>
          <w:cols w:equalWidth="0" w:num="1">
            <w:col w:w="9019"/>
          </w:cols>
          <w:pgMar w:left="1440" w:top="513" w:right="1440" w:bottom="1440" w:gutter="0" w:footer="0" w:header="0"/>
        </w:sectPr>
      </w:pPr>
    </w:p>
    <w:p>
      <w:pPr>
        <w:spacing w:after="0" w:line="16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4"/>
          <w:szCs w:val="14"/>
          <w:b w:val="1"/>
          <w:bCs w:val="1"/>
          <w:color w:val="auto"/>
        </w:rPr>
        <w:t>Employee Stock Options</w:t>
      </w:r>
    </w:p>
    <w:p>
      <w:pPr>
        <w:spacing w:after="0" w:line="12" w:lineRule="exact"/>
        <w:rPr>
          <w:sz w:val="20"/>
          <w:szCs w:val="20"/>
          <w:color w:val="auto"/>
        </w:rPr>
      </w:pPr>
    </w:p>
    <w:tbl>
      <w:tblPr>
        <w:tblLayout w:type="fixed"/>
        <w:tblInd w:w="2360" w:type="dxa"/>
        <w:tblCellMar>
          <w:top w:w="0" w:type="dxa"/>
          <w:left w:w="0" w:type="dxa"/>
          <w:bottom w:w="0" w:type="dxa"/>
          <w:right w:w="0" w:type="dxa"/>
        </w:tblCellMar>
      </w:tblPr>
      <w:tr>
        <w:trPr>
          <w:trHeight w:val="117"/>
        </w:trPr>
        <w:tc>
          <w:tcPr>
            <w:tcW w:w="3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ind w:right="190"/>
              <w:spacing w:after="0" w:line="118" w:lineRule="exact"/>
              <w:rPr>
                <w:sz w:val="20"/>
                <w:szCs w:val="20"/>
                <w:color w:val="auto"/>
              </w:rPr>
            </w:pPr>
            <w:r>
              <w:rPr>
                <w:rFonts w:ascii="Times New Roman" w:cs="Times New Roman" w:eastAsia="Times New Roman" w:hAnsi="Times New Roman"/>
                <w:sz w:val="13"/>
                <w:szCs w:val="13"/>
                <w:b w:val="1"/>
                <w:bCs w:val="1"/>
                <w:color w:val="auto"/>
              </w:rPr>
              <w:t>For the Three</w:t>
            </w:r>
          </w:p>
        </w:tc>
        <w:tc>
          <w:tcPr>
            <w:tcW w:w="6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ind w:right="431"/>
              <w:spacing w:after="0" w:line="118" w:lineRule="exact"/>
              <w:rPr>
                <w:sz w:val="20"/>
                <w:szCs w:val="20"/>
                <w:color w:val="auto"/>
              </w:rPr>
            </w:pPr>
            <w:r>
              <w:rPr>
                <w:rFonts w:ascii="Times New Roman" w:cs="Times New Roman" w:eastAsia="Times New Roman" w:hAnsi="Times New Roman"/>
                <w:sz w:val="13"/>
                <w:szCs w:val="13"/>
                <w:b w:val="1"/>
                <w:bCs w:val="1"/>
                <w:color w:val="auto"/>
              </w:rPr>
              <w:t>For the</w:t>
            </w:r>
          </w:p>
        </w:tc>
      </w:tr>
      <w:tr>
        <w:trPr>
          <w:trHeight w:val="173"/>
        </w:trPr>
        <w:tc>
          <w:tcPr>
            <w:tcW w:w="1500" w:type="dxa"/>
            <w:vAlign w:val="bottom"/>
            <w:tcBorders>
              <w:bottom w:val="single" w:sz="8" w:color="auto"/>
            </w:tcBorders>
            <w:gridSpan w:val="2"/>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1760" w:type="dxa"/>
            <w:vAlign w:val="bottom"/>
            <w:tcBorders>
              <w:bottom w:val="single" w:sz="8" w:color="auto"/>
            </w:tcBorders>
            <w:gridSpan w:val="2"/>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2"/>
        </w:trPr>
        <w:tc>
          <w:tcPr>
            <w:tcW w:w="38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120" w:type="dxa"/>
            <w:vAlign w:val="bottom"/>
            <w:tcBorders>
              <w:bottom w:val="single" w:sz="8" w:color="auto"/>
            </w:tcBorders>
          </w:tcPr>
          <w:p>
            <w:pPr>
              <w:spacing w:after="0"/>
              <w:rPr>
                <w:sz w:val="12"/>
                <w:szCs w:val="12"/>
                <w:color w:val="auto"/>
              </w:rPr>
            </w:pPr>
          </w:p>
        </w:tc>
      </w:tr>
      <w:tr>
        <w:trPr>
          <w:trHeight w:val="142"/>
        </w:trPr>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120" w:type="dxa"/>
            <w:vAlign w:val="bottom"/>
          </w:tcPr>
          <w:p>
            <w:pPr>
              <w:jc w:val="right"/>
              <w:ind w:right="23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120" w:type="dxa"/>
            <w:vAlign w:val="bottom"/>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r>
    </w:tbl>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Employee Stock Purchase Plan</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5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 Three</w:t>
            </w:r>
          </w:p>
        </w:tc>
        <w:tc>
          <w:tcPr>
            <w:tcW w:w="17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 the</w:t>
            </w:r>
          </w:p>
        </w:tc>
      </w:tr>
      <w:tr>
        <w:trPr>
          <w:trHeight w:val="180"/>
        </w:trPr>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20574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20574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ind w:left="80"/>
        <w:spacing w:after="0" w:line="232" w:lineRule="auto"/>
        <w:tabs>
          <w:tab w:leader="none" w:pos="880" w:val="left"/>
          <w:tab w:leader="none" w:pos="1680" w:val="left"/>
          <w:tab w:leader="none" w:pos="2500" w:val="left"/>
        </w:tabs>
        <w:rPr>
          <w:sz w:val="20"/>
          <w:szCs w:val="20"/>
          <w:color w:val="auto"/>
        </w:rPr>
      </w:pPr>
      <w:r>
        <w:rPr>
          <w:rFonts w:ascii="Times New Roman" w:cs="Times New Roman" w:eastAsia="Times New Roman" w:hAnsi="Times New Roman"/>
          <w:sz w:val="14"/>
          <w:szCs w:val="14"/>
          <w:b w:val="1"/>
          <w:bCs w:val="1"/>
          <w:color w:val="auto"/>
        </w:rPr>
        <w:t>2020</w:t>
      </w:r>
      <w:r>
        <w:rPr>
          <w:sz w:val="20"/>
          <w:szCs w:val="20"/>
          <w:color w:val="auto"/>
        </w:rPr>
        <w:tab/>
      </w: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2020</w:t>
      </w:r>
      <w:r>
        <w:rPr>
          <w:sz w:val="20"/>
          <w:szCs w:val="20"/>
          <w:color w:val="auto"/>
        </w:rPr>
        <w:tab/>
      </w:r>
      <w:r>
        <w:rPr>
          <w:rFonts w:ascii="Times New Roman" w:cs="Times New Roman" w:eastAsia="Times New Roman" w:hAnsi="Times New Roman"/>
          <w:sz w:val="14"/>
          <w:szCs w:val="14"/>
          <w:b w:val="1"/>
          <w:bCs w:val="1"/>
          <w:color w:val="auto"/>
        </w:rPr>
        <w:t>2019</w:t>
      </w:r>
    </w:p>
    <w:p>
      <w:pPr>
        <w:spacing w:after="0" w:line="20" w:lineRule="exact"/>
        <w:rPr>
          <w:sz w:val="20"/>
          <w:szCs w:val="20"/>
          <w:color w:val="auto"/>
        </w:rPr>
      </w:pPr>
    </w:p>
    <w:p>
      <w:pPr>
        <w:sectPr>
          <w:pgSz w:w="11900" w:h="16838" w:orient="portrait"/>
          <w:cols w:equalWidth="0" w:num="2">
            <w:col w:w="5620" w:space="60"/>
            <w:col w:w="3339"/>
          </w:cols>
          <w:pgMar w:left="1440" w:top="513" w:right="1440" w:bottom="1440" w:gutter="0" w:footer="0" w:header="0"/>
          <w:type w:val="continuous"/>
        </w:sectPr>
      </w:pPr>
    </w:p>
    <w:tbl>
      <w:tblPr>
        <w:tblLayout w:type="fixed"/>
        <w:tblInd w:w="40" w:type="dxa"/>
        <w:tblCellMar>
          <w:top w:w="0" w:type="dxa"/>
          <w:left w:w="0" w:type="dxa"/>
          <w:bottom w:w="0" w:type="dxa"/>
          <w:right w:w="0" w:type="dxa"/>
        </w:tblCellMar>
      </w:tblPr>
      <w:tr>
        <w:trPr>
          <w:trHeight w:val="20"/>
        </w:trPr>
        <w:tc>
          <w:tcPr>
            <w:tcW w:w="23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r>
      <w:tr>
        <w:trPr>
          <w:trHeight w:val="190"/>
        </w:trPr>
        <w:tc>
          <w:tcPr>
            <w:tcW w:w="2320" w:type="dxa"/>
            <w:vAlign w:val="bottom"/>
            <w:tcBorders>
              <w:right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shd w:val="clear" w:color="auto" w:fill="CCEEFF"/>
              </w:rPr>
              <w:t>Average risk-free interest rates</w:t>
            </w:r>
          </w:p>
        </w:tc>
        <w:tc>
          <w:tcPr>
            <w:tcW w:w="720" w:type="dxa"/>
            <w:vAlign w:val="bottom"/>
            <w:gridSpan w:val="2"/>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shd w:val="clear" w:color="auto" w:fill="CCEEFF"/>
              </w:rPr>
              <w:t>0.28 %</w:t>
            </w:r>
          </w:p>
        </w:tc>
        <w:tc>
          <w:tcPr>
            <w:tcW w:w="820" w:type="dxa"/>
            <w:vAlign w:val="bottom"/>
            <w:gridSpan w:val="3"/>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shd w:val="clear" w:color="auto" w:fill="CCEEFF"/>
              </w:rPr>
              <w:t>1.74 %</w:t>
            </w:r>
          </w:p>
        </w:tc>
        <w:tc>
          <w:tcPr>
            <w:tcW w:w="820" w:type="dxa"/>
            <w:vAlign w:val="bottom"/>
            <w:gridSpan w:val="3"/>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shd w:val="clear" w:color="auto" w:fill="CCEEFF"/>
              </w:rPr>
              <w:t>0.85 %</w:t>
            </w:r>
          </w:p>
        </w:tc>
        <w:tc>
          <w:tcPr>
            <w:tcW w:w="840" w:type="dxa"/>
            <w:vAlign w:val="bottom"/>
            <w:gridSpan w:val="3"/>
            <w:shd w:val="clear" w:color="auto" w:fill="CCEEFF"/>
          </w:tcPr>
          <w:p>
            <w:pPr>
              <w:jc w:val="right"/>
              <w:ind w:right="120"/>
              <w:spacing w:after="0" w:line="189" w:lineRule="exact"/>
              <w:rPr>
                <w:sz w:val="20"/>
                <w:szCs w:val="20"/>
                <w:color w:val="auto"/>
              </w:rPr>
            </w:pPr>
            <w:r>
              <w:rPr>
                <w:rFonts w:ascii="Times New Roman" w:cs="Times New Roman" w:eastAsia="Times New Roman" w:hAnsi="Times New Roman"/>
                <w:sz w:val="18"/>
                <w:szCs w:val="18"/>
                <w:color w:val="auto"/>
                <w:shd w:val="clear" w:color="auto" w:fill="CCEEFF"/>
              </w:rPr>
              <w:t>2.29 %</w:t>
            </w:r>
          </w:p>
        </w:tc>
        <w:tc>
          <w:tcPr>
            <w:tcW w:w="840" w:type="dxa"/>
            <w:vAlign w:val="bottom"/>
            <w:gridSpan w:val="3"/>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shd w:val="clear" w:color="auto" w:fill="CCEEFF"/>
              </w:rPr>
              <w:t>0.13 %</w:t>
            </w:r>
          </w:p>
        </w:tc>
        <w:tc>
          <w:tcPr>
            <w:tcW w:w="800" w:type="dxa"/>
            <w:vAlign w:val="bottom"/>
            <w:gridSpan w:val="3"/>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shd w:val="clear" w:color="auto" w:fill="CCEEFF"/>
              </w:rPr>
              <w:t>1.63 %</w:t>
            </w:r>
          </w:p>
        </w:tc>
        <w:tc>
          <w:tcPr>
            <w:tcW w:w="820" w:type="dxa"/>
            <w:vAlign w:val="bottom"/>
            <w:gridSpan w:val="3"/>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shd w:val="clear" w:color="auto" w:fill="CCEEFF"/>
              </w:rPr>
              <w:t>0.17 %</w:t>
            </w:r>
          </w:p>
        </w:tc>
        <w:tc>
          <w:tcPr>
            <w:tcW w:w="900" w:type="dxa"/>
            <w:vAlign w:val="bottom"/>
            <w:gridSpan w:val="3"/>
            <w:shd w:val="clear" w:color="auto" w:fill="CCEEFF"/>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shd w:val="clear" w:color="auto" w:fill="CCEEFF"/>
              </w:rPr>
              <w:t>1.94 %</w:t>
            </w:r>
          </w:p>
        </w:tc>
      </w:tr>
      <w:tr>
        <w:trPr>
          <w:trHeight w:val="198"/>
        </w:trPr>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Average expected life (in</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34"/>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years)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6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5.09</w:t>
            </w:r>
          </w:p>
        </w:tc>
        <w:tc>
          <w:tcPr>
            <w:tcW w:w="24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4.96</w:t>
            </w:r>
          </w:p>
        </w:tc>
        <w:tc>
          <w:tcPr>
            <w:tcW w:w="24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5.28</w:t>
            </w:r>
          </w:p>
        </w:tc>
        <w:tc>
          <w:tcPr>
            <w:tcW w:w="28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0.50</w:t>
            </w:r>
          </w:p>
        </w:tc>
        <w:tc>
          <w:tcPr>
            <w:tcW w:w="24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0.50</w:t>
            </w:r>
          </w:p>
        </w:tc>
        <w:tc>
          <w:tcPr>
            <w:tcW w:w="24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0.50</w:t>
            </w:r>
          </w:p>
        </w:tc>
        <w:tc>
          <w:tcPr>
            <w:tcW w:w="24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0.50</w:t>
            </w:r>
          </w:p>
        </w:tc>
        <w:tc>
          <w:tcPr>
            <w:tcW w:w="340" w:type="dxa"/>
            <w:vAlign w:val="bottom"/>
          </w:tcPr>
          <w:p>
            <w:pPr>
              <w:spacing w:after="0"/>
              <w:rPr>
                <w:sz w:val="20"/>
                <w:szCs w:val="20"/>
                <w:color w:val="auto"/>
              </w:rPr>
            </w:pPr>
          </w:p>
        </w:tc>
      </w:tr>
      <w:tr>
        <w:trPr>
          <w:trHeight w:val="216"/>
        </w:trPr>
        <w:tc>
          <w:tcPr>
            <w:tcW w:w="23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39 %</w:t>
            </w: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45 %</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40 %</w:t>
            </w: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45 %</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38 %</w:t>
            </w: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34 %</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46 %</w:t>
            </w: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34 %</w:t>
            </w:r>
          </w:p>
        </w:tc>
      </w:tr>
      <w:tr>
        <w:trPr>
          <w:trHeight w:val="198"/>
        </w:trPr>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fair value</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34"/>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(in dollars)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36.73</w:t>
            </w:r>
          </w:p>
        </w:tc>
        <w:tc>
          <w:tcPr>
            <w:tcW w:w="26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34.83</w:t>
            </w:r>
          </w:p>
        </w:tc>
        <w:tc>
          <w:tcPr>
            <w:tcW w:w="24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32.79</w:t>
            </w:r>
          </w:p>
        </w:tc>
        <w:tc>
          <w:tcPr>
            <w:tcW w:w="24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32.38</w:t>
            </w:r>
          </w:p>
        </w:tc>
        <w:tc>
          <w:tcPr>
            <w:tcW w:w="28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22.83</w:t>
            </w:r>
          </w:p>
        </w:tc>
        <w:tc>
          <w:tcPr>
            <w:tcW w:w="24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15.04</w:t>
            </w:r>
          </w:p>
        </w:tc>
        <w:tc>
          <w:tcPr>
            <w:tcW w:w="24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19.07</w:t>
            </w:r>
          </w:p>
        </w:tc>
        <w:tc>
          <w:tcPr>
            <w:tcW w:w="24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14.53</w:t>
            </w:r>
          </w:p>
        </w:tc>
        <w:tc>
          <w:tcPr>
            <w:tcW w:w="340" w:type="dxa"/>
            <w:vAlign w:val="bottom"/>
          </w:tcPr>
          <w:p>
            <w:pPr>
              <w:spacing w:after="0"/>
              <w:rPr>
                <w:sz w:val="20"/>
                <w:szCs w:val="20"/>
                <w:color w:val="auto"/>
              </w:rPr>
            </w:pPr>
          </w:p>
        </w:tc>
      </w:tr>
    </w:tbl>
    <w:p>
      <w:pPr>
        <w:spacing w:after="0" w:line="157" w:lineRule="exact"/>
        <w:rPr>
          <w:sz w:val="20"/>
          <w:szCs w:val="20"/>
          <w:color w:val="auto"/>
        </w:rPr>
      </w:pPr>
    </w:p>
    <w:p>
      <w:pPr>
        <w:jc w:val="both"/>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The risk-free interest rate is derived from the U.S. Federal Reserve rate in effect at the time of grant. The expected life calculation is based on the observed and expected time to the exercise of options by our employees based on historical exercise patterns for similar type options. Expected volatility is based on the historical volatility of our common stock over the period commensurate with the expected life of the options. A dividend yield of zero is assumed based on the fact that we have never paid cash dividends and have no present intention to pay cash dividends. Nonemployee awards are measured on the grant date by estimating the fair value of the equity instruments to be issued using the expected term, similar to our employee awards.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Option activity under our 2010 Amended and Restated Stock Incentive Plan (the “2010 Stock Plan”) was as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follows: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1760" w:type="dxa"/>
            <w:vAlign w:val="bottom"/>
            <w:gridSpan w:val="3"/>
          </w:tcPr>
          <w:p>
            <w:pPr>
              <w:jc w:val="center"/>
              <w:ind w:left="377"/>
              <w:spacing w:after="0"/>
              <w:rPr>
                <w:sz w:val="20"/>
                <w:szCs w:val="20"/>
                <w:color w:val="auto"/>
              </w:rPr>
            </w:pPr>
            <w:r>
              <w:rPr>
                <w:rFonts w:ascii="Times New Roman" w:cs="Times New Roman" w:eastAsia="Times New Roman" w:hAnsi="Times New Roman"/>
                <w:sz w:val="14"/>
                <w:szCs w:val="14"/>
                <w:b w:val="1"/>
                <w:bCs w:val="1"/>
                <w:color w:val="auto"/>
              </w:rPr>
              <w:t>Shares Subject to</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00" w:type="dxa"/>
            <w:vAlign w:val="bottom"/>
          </w:tcPr>
          <w:p>
            <w:pPr>
              <w:spacing w:after="0"/>
              <w:rPr>
                <w:sz w:val="15"/>
                <w:szCs w:val="15"/>
                <w:color w:val="auto"/>
              </w:rPr>
            </w:pPr>
          </w:p>
        </w:tc>
        <w:tc>
          <w:tcPr>
            <w:tcW w:w="1760" w:type="dxa"/>
            <w:vAlign w:val="bottom"/>
            <w:tcBorders>
              <w:bottom w:val="single" w:sz="8" w:color="auto"/>
            </w:tcBorders>
            <w:gridSpan w:val="3"/>
          </w:tcPr>
          <w:p>
            <w:pPr>
              <w:jc w:val="center"/>
              <w:ind w:left="377"/>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600" w:type="dxa"/>
            <w:vAlign w:val="bottom"/>
          </w:tcPr>
          <w:p>
            <w:pPr>
              <w:spacing w:after="0"/>
              <w:rPr>
                <w:sz w:val="10"/>
                <w:szCs w:val="10"/>
                <w:color w:val="auto"/>
              </w:rPr>
            </w:pPr>
          </w:p>
        </w:tc>
        <w:tc>
          <w:tcPr>
            <w:tcW w:w="10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6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09"/>
        </w:trPr>
        <w:tc>
          <w:tcPr>
            <w:tcW w:w="6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12,632,657</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ind w:right="5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81.42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2,068,098</w:t>
            </w:r>
          </w:p>
        </w:tc>
        <w:tc>
          <w:tcPr>
            <w:tcW w:w="160" w:type="dxa"/>
            <w:vAlign w:val="bottom"/>
          </w:tcPr>
          <w:p>
            <w:pPr>
              <w:spacing w:after="0"/>
              <w:rPr>
                <w:sz w:val="18"/>
                <w:szCs w:val="18"/>
                <w:color w:val="auto"/>
              </w:rPr>
            </w:pPr>
          </w:p>
        </w:tc>
        <w:tc>
          <w:tcPr>
            <w:tcW w:w="680" w:type="dxa"/>
            <w:vAlign w:val="bottom"/>
          </w:tcPr>
          <w:p>
            <w:pPr>
              <w:jc w:val="center"/>
              <w:ind w:right="5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93.24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(1,975,908)</w:t>
            </w:r>
          </w:p>
        </w:tc>
        <w:tc>
          <w:tcPr>
            <w:tcW w:w="680" w:type="dxa"/>
            <w:vAlign w:val="bottom"/>
            <w:shd w:val="clear" w:color="auto" w:fill="CCEEFF"/>
          </w:tcPr>
          <w:p>
            <w:pPr>
              <w:jc w:val="center"/>
              <w:ind w:right="5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52.78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(444,654)</w:t>
            </w:r>
          </w:p>
        </w:tc>
        <w:tc>
          <w:tcPr>
            <w:tcW w:w="680" w:type="dxa"/>
            <w:vAlign w:val="bottom"/>
          </w:tcPr>
          <w:p>
            <w:pPr>
              <w:jc w:val="center"/>
              <w:ind w:right="5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91.72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2020</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12,280,193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jc w:val="center"/>
              <w:ind w:right="5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87.65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In July 2016, we revised the terms of our annual stock option grants to provide that new option grants would generally have a 10-year term and vest over four years, with 25% vesting after one year and the remainder vesting in 36 equal monthly installments. Previously, our option grants generally had 7-year terms and vested over three years, with 33% vesting after one year and the remainder vesting in 24 equal monthly installments.</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Restricted stock unit (“RSU”) and performance share (“PSU”) award activity under the 2010 Stock Plan was as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follows: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1620" w:type="dxa"/>
            <w:vAlign w:val="bottom"/>
            <w:gridSpan w:val="4"/>
          </w:tcPr>
          <w:p>
            <w:pPr>
              <w:jc w:val="center"/>
              <w:ind w:left="475"/>
              <w:spacing w:after="0"/>
              <w:rPr>
                <w:sz w:val="20"/>
                <w:szCs w:val="20"/>
                <w:color w:val="auto"/>
              </w:rPr>
            </w:pPr>
            <w:r>
              <w:rPr>
                <w:rFonts w:ascii="Times New Roman" w:cs="Times New Roman" w:eastAsia="Times New Roman" w:hAnsi="Times New Roman"/>
                <w:sz w:val="14"/>
                <w:szCs w:val="14"/>
                <w:b w:val="1"/>
                <w:bCs w:val="1"/>
                <w:color w:val="auto"/>
              </w:rPr>
              <w:t>Shares Subject to</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6640" w:type="dxa"/>
            <w:vAlign w:val="bottom"/>
          </w:tcPr>
          <w:p>
            <w:pPr>
              <w:spacing w:after="0"/>
              <w:rPr>
                <w:sz w:val="15"/>
                <w:szCs w:val="15"/>
                <w:color w:val="auto"/>
              </w:rPr>
            </w:pPr>
          </w:p>
        </w:tc>
        <w:tc>
          <w:tcPr>
            <w:tcW w:w="228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 Awards</w:t>
            </w:r>
          </w:p>
        </w:tc>
      </w:tr>
      <w:tr>
        <w:trPr>
          <w:trHeight w:val="142"/>
        </w:trPr>
        <w:tc>
          <w:tcPr>
            <w:tcW w:w="6640" w:type="dxa"/>
            <w:vAlign w:val="bottom"/>
          </w:tcPr>
          <w:p>
            <w:pPr>
              <w:spacing w:after="0"/>
              <w:rPr>
                <w:sz w:val="12"/>
                <w:szCs w:val="12"/>
                <w:color w:val="auto"/>
              </w:rPr>
            </w:pPr>
          </w:p>
        </w:tc>
        <w:tc>
          <w:tcPr>
            <w:tcW w:w="1000" w:type="dxa"/>
            <w:vAlign w:val="bottom"/>
            <w:tcBorders>
              <w:top w:val="single" w:sz="8" w:color="auto"/>
            </w:tcBorders>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Grant Date Value</w:t>
            </w:r>
          </w:p>
        </w:tc>
        <w:tc>
          <w:tcPr>
            <w:tcW w:w="100" w:type="dxa"/>
            <w:vAlign w:val="bottom"/>
          </w:tcPr>
          <w:p>
            <w:pPr>
              <w:spacing w:after="0"/>
              <w:rPr>
                <w:sz w:val="12"/>
                <w:szCs w:val="12"/>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2,602,376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1,313,820</w:t>
            </w:r>
          </w:p>
        </w:tc>
        <w:tc>
          <w:tcPr>
            <w:tcW w:w="8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98.44</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PSUs granted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92,347</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106.47</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RSUs released</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(549,051)</w:t>
            </w: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86.14</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PSUs released</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(35,455)</w:t>
            </w:r>
          </w:p>
        </w:tc>
        <w:tc>
          <w:tcPr>
            <w:tcW w:w="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78.85</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RSUs cancelled</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(114,591)</w:t>
            </w: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PSUs cancelled</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(142,250)</w:t>
            </w:r>
          </w:p>
        </w:tc>
        <w:tc>
          <w:tcPr>
            <w:tcW w:w="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68.79</w:t>
            </w:r>
          </w:p>
        </w:tc>
        <w:tc>
          <w:tcPr>
            <w:tcW w:w="100" w:type="dxa"/>
            <w:vAlign w:val="bottom"/>
            <w:shd w:val="clear" w:color="auto" w:fill="CCEEFF"/>
          </w:tcPr>
          <w:p>
            <w:pPr>
              <w:spacing w:after="0"/>
              <w:rPr>
                <w:sz w:val="18"/>
                <w:szCs w:val="18"/>
                <w:color w:val="auto"/>
              </w:rPr>
            </w:pPr>
          </w:p>
        </w:tc>
      </w:tr>
      <w:tr>
        <w:trPr>
          <w:trHeight w:val="20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2020</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3,167,196</w:t>
            </w:r>
          </w:p>
        </w:tc>
        <w:tc>
          <w:tcPr>
            <w:tcW w:w="8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87.45</w:t>
            </w:r>
          </w:p>
        </w:tc>
        <w:tc>
          <w:tcPr>
            <w:tcW w:w="10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In January 2014, we began granting RSUs and PSUs to our employees at the share price on the date of grant. Each RSU represents the right to acquire one share of our common stock. Each RSU granted prior to July 2016 was subject to cliff vesting after three years. In July 2016, we revised the terms of our RSU grants to provide that the awards will vest 25% annually over four years.</w:t>
      </w:r>
    </w:p>
    <w:p>
      <w:pPr>
        <w:spacing w:after="0" w:line="180" w:lineRule="exact"/>
        <w:rPr>
          <w:sz w:val="20"/>
          <w:szCs w:val="20"/>
          <w:color w:val="auto"/>
        </w:rPr>
      </w:pPr>
    </w:p>
    <w:p>
      <w:pPr>
        <w:jc w:val="both"/>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In June 2018, we granted 190,000 RSUs and 446,500 PSUs under long term incentive plans with performance and/or service-based milestones with graded and/or cliff vesting over three to four years. In April 2019, we granted an additional 100,000 PSUs under one of the existing long term incentive plans with performance based milestones and cliff vesting. For one of the existing long term incentive plans, under which 106,500 PSUs were granted, the actual number of shares of our common stock into which each PSU may convert was subject to a multiplier of up to 267% based on the level at which the performance conditions were achieved. The actual number of shares of our common stock into which each PSU will convert is at a multiplier of 142% based on the performance conditions being achieved as of March 31, 2019 and will continue to vest through June 2022. For an existing long term incentive plan, under which 150,000 PSUs were granted, the actual number of shares of our common stock into which each PSU may convert was subject to a multiplier of up to 100% if all performance conditions were achieved or 0% if no performance conditions were achieved. The actual number of shares of our common stock into which each PSU will convert is at a multiplier of 100% based on the performance conditions being achieved as of December 31, 2019 and will cliff vest in June 2021.</w:t>
      </w:r>
    </w:p>
    <w:p>
      <w:pPr>
        <w:spacing w:after="0" w:line="190" w:lineRule="exact"/>
        <w:rPr>
          <w:sz w:val="20"/>
          <w:szCs w:val="20"/>
          <w:color w:val="auto"/>
        </w:rPr>
      </w:pPr>
    </w:p>
    <w:p>
      <w:pPr>
        <w:jc w:val="both"/>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Compensation expense for the performance-based awards is recorded over the estimated service period for each milestone when the performance conditions are deemed probable of achievement. For the period ended September 30, 2020, the stock compensation expense recorded during the period was for service-based awards and performance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82" w:lineRule="auto"/>
        <w:rPr>
          <w:sz w:val="20"/>
          <w:szCs w:val="20"/>
          <w:color w:val="auto"/>
        </w:rPr>
      </w:pPr>
      <w:r>
        <w:rPr>
          <w:rFonts w:ascii="Times New Roman" w:cs="Times New Roman" w:eastAsia="Times New Roman" w:hAnsi="Times New Roman"/>
          <w:sz w:val="18"/>
          <w:szCs w:val="18"/>
          <w:color w:val="auto"/>
        </w:rPr>
        <w:t>conditions deemed probable of achievement and/or achieved. For PSUs containing performance conditions which were not deemed probable of achievement at September 30, 2020, no stock compensation expense was recognized.</w:t>
      </w:r>
    </w:p>
    <w:p>
      <w:pPr>
        <w:spacing w:after="0" w:line="162"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In July 2018, we granted 77,243 PSUs to executives with performance milestones and graded vesting over four years. The shares of our common stock into which each PSU may convert is subject to a multiplier up to 150% based on the level at which the performance condition is achieved. Compensation expense for the performance-based awards is recorded over the estimated service period when the performance condition is deemed probable of achievement. The actual number of shares of our common stock into which each PSU converted was at a multiplier of 83% based on the performance condition being achieved as of December 31, 2018. These PSUs will continue to vest through July 2022.</w:t>
      </w:r>
    </w:p>
    <w:p>
      <w:pPr>
        <w:spacing w:after="0" w:line="187"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In July 2019, we granted 86,975 PSUs to executives with a performance milestone and graded vesting over four years. The shares of our common stock into which each PSU may convert is subject to a multiplier up to 125% based on the level at which the performance condition is achieved. Compensation expense for the performance-based awards is recorded over the estimated service period when the performance condition is deemed probable of achievement. The actual number of shares of our common stock into which each PSU will convert is at a multiplier of 101.8% based on the performance condition being achieved as of December 31, 2019. These PSUs will continue to vest through July 2023.</w:t>
      </w:r>
    </w:p>
    <w:p>
      <w:pPr>
        <w:spacing w:after="0" w:line="187" w:lineRule="exact"/>
        <w:rPr>
          <w:sz w:val="20"/>
          <w:szCs w:val="20"/>
          <w:color w:val="auto"/>
        </w:rPr>
      </w:pPr>
    </w:p>
    <w:p>
      <w:pPr>
        <w:jc w:val="both"/>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In July 2020, we granted 92,347 PSUs to executives with performance milestones and cliff vesting on the third anniversary from date of grant. The shares of our common stock into which each PSU may convert is subject to a multiplier up to 200% based on the level at which the financial and developmental performance conditions are achieved over the service period which ends December 31, 2022. Compensation expense for the performance-based awards is recorded over the estimated service period for each milestone when the performance conditions are deemed probable of achievement. For the period ended September 30, 2020, the stock compensation expense recorded during the period was for service-based awards and performance conditions deemed probable of achievement and/or achieved. For PSUs containing performance conditions which were not deemed probable of achievement at September 30, 2020, no stock compensation expense was recognized.</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our shares available for grant under the 2010 Stock Plan:</w:t>
      </w:r>
    </w:p>
    <w:p>
      <w:pPr>
        <w:spacing w:after="0" w:line="232"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4"/>
          <w:szCs w:val="14"/>
          <w:b w:val="1"/>
          <w:bCs w:val="1"/>
          <w:color w:val="auto"/>
        </w:rPr>
        <w:t>Shares Available</w:t>
      </w:r>
    </w:p>
    <w:p>
      <w:pPr>
        <w:spacing w:after="0" w:line="6"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4"/>
          <w:szCs w:val="14"/>
          <w:b w:val="1"/>
          <w:bCs w:val="1"/>
          <w:color w:val="auto"/>
        </w:rPr>
        <w:t>for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wp:posOffset>
            </wp:positionV>
            <wp:extent cx="565785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4605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Balance at December 31, 2019</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Options, RSUs and PSUs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Options, RSUs and PSUs cancelled</w:t>
      </w:r>
    </w:p>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Balance at September 30, 2020</w:t>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Times New Roman" w:cs="Times New Roman" w:eastAsia="Times New Roman" w:hAnsi="Times New Roman"/>
          <w:sz w:val="18"/>
          <w:szCs w:val="18"/>
          <w:color w:val="auto"/>
        </w:rPr>
        <w:t>9,882,122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(4,755,820)</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641,542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5715</wp:posOffset>
            </wp:positionV>
            <wp:extent cx="8661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66140" cy="825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5,767,844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14605</wp:posOffset>
            </wp:positionV>
            <wp:extent cx="8661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66140" cy="8255"/>
                    </a:xfrm>
                    <a:prstGeom prst="rect">
                      <a:avLst/>
                    </a:prstGeom>
                    <a:noFill/>
                  </pic:spPr>
                </pic:pic>
              </a:graphicData>
            </a:graphic>
          </wp:anchor>
        </w:drawing>
        <w:drawing>
          <wp:anchor simplePos="0" relativeHeight="251657728" behindDoc="1" locked="0" layoutInCell="0" allowOverlap="1">
            <wp:simplePos x="0" y="0"/>
            <wp:positionH relativeFrom="column">
              <wp:posOffset>-325120</wp:posOffset>
            </wp:positionH>
            <wp:positionV relativeFrom="paragraph">
              <wp:posOffset>31750</wp:posOffset>
            </wp:positionV>
            <wp:extent cx="8661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7240" w:space="720"/>
            <w:col w:w="1059"/>
          </w:cols>
          <w:pgMar w:left="1440" w:top="513" w:right="1440" w:bottom="1440" w:gutter="0" w:footer="0" w:header="0"/>
          <w:type w:val="continuous"/>
        </w:sectPr>
      </w:pPr>
    </w:p>
    <w:p>
      <w:pPr>
        <w:spacing w:after="0" w:line="52"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Based on our historical experience of employee turnover, we have assumed an annualized forfeiture rate of 5% for our options, RSUs and PSUs. Under the true-up provisions of the stock compensation guidance, we will record additional expense if the actual forfeiture rate is lower than we estimated, and will record a recovery of prior expense if the actual forfeiture is higher than we estimated.</w:t>
      </w:r>
    </w:p>
    <w:p>
      <w:pPr>
        <w:spacing w:after="0" w:line="180"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Total compensation cost of options granted but not yet vested, as of September 30, 2020, was $89.6 million, which is expected to be recognized over the weighted average period of approximately 1.3 years. Total compensation cost of RSUs granted but not yet vested, as of September 30, 2020, was $139.0 million, which is expected to be recognized over the weighted average period of approximately 1.9 years. Total compensation cost of PSUs granted but not yet vested, as of September 30, 2020, was $26.9 million, which is expected to be recognized over the weighted average period of 1.6 years, should the underlying performance conditions be deemed probable of achievement.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80" w:hanging="436"/>
        <w:spacing w:after="0"/>
        <w:tabs>
          <w:tab w:leader="none" w:pos="4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and other current liabilities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Accrued and other current liabilities consisted of the following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3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Royalties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92,149</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73,221</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Clinical related costs</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95,451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88,710</w:t>
            </w: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allowances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73,610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59,924</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12,732</w:t>
            </w: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10,713</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9,343</w:t>
            </w:r>
          </w:p>
        </w:tc>
      </w:tr>
      <w:tr>
        <w:trPr>
          <w:trHeight w:val="216"/>
        </w:trPr>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49,557</w:t>
            </w:r>
          </w:p>
        </w:tc>
        <w:tc>
          <w:tcPr>
            <w:tcW w:w="3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42,020</w:t>
            </w:r>
          </w:p>
        </w:tc>
      </w:tr>
      <w:tr>
        <w:trPr>
          <w:trHeight w:val="209"/>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334,315</w:t>
            </w:r>
          </w:p>
        </w:tc>
        <w:tc>
          <w:tcPr>
            <w:tcW w:w="3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285,950</w:t>
            </w:r>
          </w:p>
        </w:tc>
      </w:tr>
      <w:tr>
        <w:trPr>
          <w:trHeight w:val="20"/>
        </w:trPr>
        <w:tc>
          <w:tcPr>
            <w:tcW w:w="5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500" w:hanging="456"/>
        <w:spacing w:after="0"/>
        <w:tabs>
          <w:tab w:leader="none" w:pos="5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components of the convertible senior notes are as follows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vMerge w:val="restart"/>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Interest Rates</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4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0" w:type="dxa"/>
            <w:vAlign w:val="bottom"/>
          </w:tcPr>
          <w:p>
            <w:pPr>
              <w:spacing w:after="0"/>
              <w:rPr>
                <w:sz w:val="1"/>
                <w:szCs w:val="1"/>
                <w:color w:val="auto"/>
              </w:rPr>
            </w:pPr>
          </w:p>
        </w:tc>
      </w:tr>
      <w:tr>
        <w:trPr>
          <w:trHeight w:val="117"/>
        </w:trPr>
        <w:tc>
          <w:tcPr>
            <w:tcW w:w="4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Debt</w:t>
            </w:r>
          </w:p>
        </w:tc>
        <w:tc>
          <w:tcPr>
            <w:tcW w:w="1460" w:type="dxa"/>
            <w:vAlign w:val="bottom"/>
            <w:gridSpan w:val="2"/>
            <w:vMerge w:val="continue"/>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Maturities</w:t>
            </w:r>
          </w:p>
        </w:tc>
        <w:tc>
          <w:tcPr>
            <w:tcW w:w="140" w:type="dxa"/>
            <w:vAlign w:val="bottom"/>
          </w:tcPr>
          <w:p>
            <w:pPr>
              <w:spacing w:after="0"/>
              <w:rPr>
                <w:sz w:val="10"/>
                <w:szCs w:val="10"/>
                <w:color w:val="auto"/>
              </w:rPr>
            </w:pPr>
          </w:p>
        </w:tc>
        <w:tc>
          <w:tcPr>
            <w:tcW w:w="104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60" w:type="dxa"/>
            <w:vAlign w:val="bottom"/>
            <w:tcBorders>
              <w:top w:val="single" w:sz="8" w:color="auto"/>
            </w:tcBorders>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740" w:type="dxa"/>
            <w:vAlign w:val="bottom"/>
            <w:gridSpan w:val="2"/>
            <w:vMerge w:val="continue"/>
          </w:tcPr>
          <w:p>
            <w:pPr>
              <w:spacing w:after="0"/>
              <w:rPr>
                <w:sz w:val="15"/>
                <w:szCs w:val="15"/>
                <w:color w:val="auto"/>
              </w:rPr>
            </w:pPr>
          </w:p>
        </w:tc>
        <w:tc>
          <w:tcPr>
            <w:tcW w:w="1460" w:type="dxa"/>
            <w:vAlign w:val="bottom"/>
            <w:gridSpan w:val="2"/>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640" w:type="dxa"/>
            <w:vAlign w:val="bottom"/>
            <w:vMerge w:val="continue"/>
          </w:tcPr>
          <w:p>
            <w:pPr>
              <w:spacing w:after="0"/>
              <w:rPr>
                <w:sz w:val="15"/>
                <w:szCs w:val="15"/>
                <w:color w:val="auto"/>
              </w:rPr>
            </w:pPr>
          </w:p>
        </w:tc>
        <w:tc>
          <w:tcPr>
            <w:tcW w:w="1040" w:type="dxa"/>
            <w:vAlign w:val="bottom"/>
            <w:gridSpan w:val="2"/>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5"/>
                <w:szCs w:val="15"/>
                <w:color w:val="auto"/>
              </w:rPr>
            </w:pPr>
          </w:p>
        </w:tc>
        <w:tc>
          <w:tcPr>
            <w:tcW w:w="86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1.25% Convertible Senior Notes due 2020</w:t>
            </w: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11,900</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18,300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carrying amount and fair value of our convertible senior notes are as follows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160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60" w:type="dxa"/>
            <w:vAlign w:val="bottom"/>
          </w:tcPr>
          <w:p>
            <w:pPr>
              <w:spacing w:after="0"/>
              <w:rPr>
                <w:sz w:val="15"/>
                <w:szCs w:val="15"/>
                <w:color w:val="auto"/>
              </w:rPr>
            </w:pPr>
          </w:p>
        </w:tc>
        <w:tc>
          <w:tcPr>
            <w:tcW w:w="1640" w:type="dxa"/>
            <w:vAlign w:val="bottom"/>
            <w:tcBorders>
              <w:bottom w:val="single" w:sz="8" w:color="auto"/>
            </w:tcBorders>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460" w:type="dxa"/>
            <w:vAlign w:val="bottom"/>
          </w:tcPr>
          <w:p>
            <w:pPr>
              <w:spacing w:after="0"/>
              <w:rPr>
                <w:sz w:val="10"/>
                <w:szCs w:val="10"/>
                <w:color w:val="auto"/>
              </w:rPr>
            </w:pP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40" w:type="dxa"/>
            <w:vAlign w:val="bottom"/>
          </w:tcPr>
          <w:p>
            <w:pPr>
              <w:spacing w:after="0"/>
              <w:rPr>
                <w:sz w:val="10"/>
                <w:szCs w:val="10"/>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8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4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1.25% Convertible Senior Notes due 2020</w:t>
            </w:r>
          </w:p>
        </w:tc>
        <w:tc>
          <w:tcPr>
            <w:tcW w:w="74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$ 11,900</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$ 20,747</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$ 18,300</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$ 32,511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The fair value of the 1.25% Convertible Senior Notes due November 15, 2020 (the “2020 Notes”) is based on data from readily available pricing sources which utilize market observable inputs and other characteristics for similar types of instruments, and, therefore, is classified within Level 2 in the fair value hierarchy.</w:t>
      </w:r>
    </w:p>
    <w:p>
      <w:pPr>
        <w:spacing w:after="0" w:line="176" w:lineRule="exact"/>
        <w:rPr>
          <w:sz w:val="20"/>
          <w:szCs w:val="20"/>
          <w:color w:val="auto"/>
        </w:rPr>
      </w:pPr>
    </w:p>
    <w:p>
      <w:pPr>
        <w:jc w:val="both"/>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Prior to May 14, 2014, the 2020 Notes were not convertible except in connection with a make-whole fundamental change, as defined in the indenture. Beginning on, and including, May 15, 2014, the 2020 Notes are convertible prior to the close of business on the business day immediately preceding May 15, 2020 only under the following circumstances: (i) during any calendar quarter commencing after the calendar quarter ending on March 31, 2014 (and only during such calendar quarter), if the last reported sale price of our common stock for at least 20 trading days (whether or not consecutive) during a period of 30 consecutive trading days ending on the last trading day of the immediately preceding calendar quarter is greater than or equal to 130% of the conversion price for the 2020 Notes on each applicable trading day;</w:t>
      </w:r>
    </w:p>
    <w:p>
      <w:pPr>
        <w:spacing w:after="0" w:line="3" w:lineRule="exact"/>
        <w:rPr>
          <w:sz w:val="20"/>
          <w:szCs w:val="20"/>
          <w:color w:val="auto"/>
        </w:rPr>
      </w:pPr>
    </w:p>
    <w:p>
      <w:pPr>
        <w:jc w:val="both"/>
        <w:ind w:left="40" w:right="59" w:firstLine="4"/>
        <w:spacing w:after="0" w:line="252" w:lineRule="auto"/>
        <w:tabs>
          <w:tab w:leader="none" w:pos="31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five consecutive trading day period (the “measurement period”) in which the trading price per $1,000 principal amount of the 2020 Notes for each trading day of the measurement period was less than 98% of the product of the last reported sale price of our common stock and the conversion rate for the 2020 Notes on each such trading day; or (iii) upon the occurrence of specified corporate events. On or after May 15, 2020 until the close of business on the second scheduled trading day immediately preceding the relevant maturity date, the 2020 Notes are convertible at any time, regardless of the foregoing circumstances. Upon conversion we will pay or deliver, as the case may be, cash, shares of common stock or a combination of cash and shares of common stock, at our election.</w:t>
      </w:r>
    </w:p>
    <w:p>
      <w:pPr>
        <w:spacing w:after="0" w:line="188" w:lineRule="exact"/>
        <w:rPr>
          <w:sz w:val="20"/>
          <w:szCs w:val="20"/>
          <w:color w:val="auto"/>
        </w:rPr>
      </w:pPr>
    </w:p>
    <w:p>
      <w:pPr>
        <w:ind w:left="40" w:right="59" w:firstLine="648"/>
        <w:spacing w:after="0" w:line="282" w:lineRule="auto"/>
        <w:rPr>
          <w:sz w:val="20"/>
          <w:szCs w:val="20"/>
          <w:color w:val="auto"/>
        </w:rPr>
      </w:pPr>
      <w:r>
        <w:rPr>
          <w:rFonts w:ascii="Times New Roman" w:cs="Times New Roman" w:eastAsia="Times New Roman" w:hAnsi="Times New Roman"/>
          <w:sz w:val="18"/>
          <w:szCs w:val="18"/>
          <w:color w:val="auto"/>
        </w:rPr>
        <w:t>The 2020 Notes are reflected in current liabilities on the condensed consolidated balance sheet as of September 30, 2020 due to their maturity date of November 15, 2020, unless earlier purchased or converted.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00" w:hanging="456"/>
        <w:spacing w:after="0"/>
        <w:tabs>
          <w:tab w:leader="none" w:pos="5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Defined Contribution Plans</w:t>
      </w:r>
    </w:p>
    <w:p>
      <w:pPr>
        <w:spacing w:after="0" w:line="227"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We have a defined contribution plan qualified under Section 401(k) of the Internal Revenue Code covering all U.S. employees and defined contribution plans for other Incyte employees in Europe and Japan. Employees may contribute a portion of their compensation, which is then matched by us, subject to certain limitations. Defined contribution expense for the three and nine months ended September 30, 2020 was $3.5 million and $10.1 million, respectively. Defined contribution expense for the three and nine months ended September 30, 2019 was $3.0 million and $9.0 million, respectively.</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Defined Benefit Pension Plans</w:t>
      </w:r>
    </w:p>
    <w:p>
      <w:pPr>
        <w:spacing w:after="0" w:line="227" w:lineRule="exact"/>
        <w:rPr>
          <w:sz w:val="20"/>
          <w:szCs w:val="20"/>
          <w:color w:val="auto"/>
        </w:rPr>
      </w:pPr>
    </w:p>
    <w:p>
      <w:pPr>
        <w:jc w:val="both"/>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We have defined benefit pension plans for our employees in Europe which provide benefits to employees upon retirement, death or disability. The assets of the pension plans are held in collective investment accounts represented by the cash surrender value of an insurance policy and are classified as Level 2 within the fair value hierarchy.</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net periodic benefit cost was as follows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4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0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2"/>
        </w:trPr>
        <w:tc>
          <w:tcPr>
            <w:tcW w:w="40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140" w:type="dxa"/>
            <w:vAlign w:val="bottom"/>
            <w:tcBorders>
              <w:bottom w:val="single" w:sz="8" w:color="CCEEFF"/>
            </w:tcBorders>
          </w:tcPr>
          <w:p>
            <w:pPr>
              <w:spacing w:after="0"/>
              <w:rPr>
                <w:sz w:val="12"/>
                <w:szCs w:val="12"/>
                <w:color w:val="auto"/>
              </w:rPr>
            </w:pPr>
          </w:p>
        </w:tc>
      </w:tr>
      <w:tr>
        <w:trPr>
          <w:trHeight w:val="21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14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actuarial losses</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shd w:val="clear" w:color="auto" w:fill="CCEEFF"/>
          </w:tcPr>
          <w:p>
            <w:pPr>
              <w:spacing w:after="0"/>
              <w:rPr>
                <w:sz w:val="18"/>
                <w:szCs w:val="18"/>
                <w:color w:val="auto"/>
              </w:rPr>
            </w:pPr>
          </w:p>
        </w:tc>
      </w:tr>
      <w:tr>
        <w:trPr>
          <w:trHeight w:val="21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5,167</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140" w:type="dxa"/>
            <w:vAlign w:val="bottom"/>
          </w:tcPr>
          <w:p>
            <w:pPr>
              <w:spacing w:after="0"/>
              <w:rPr>
                <w:sz w:val="18"/>
                <w:szCs w:val="18"/>
                <w:color w:val="auto"/>
              </w:rPr>
            </w:pPr>
          </w:p>
        </w:tc>
      </w:tr>
      <w:tr>
        <w:trPr>
          <w:trHeight w:val="20"/>
        </w:trPr>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The components of net periodic benefit cost other than the service cost component are included in other income (expense), net on the condensed consolidated statements of operations. We expect to contribute a total of $4.0 million to the pension plans in 2020 inclusive of the amounts contributed to the plan during the current period. As of September 30, 2020 and December 31, 2019, $26.2 million and $24.1 million, respectively, of accrued pension obligation is recorded in other long term liabilities on the condensed consolidated balance sheets.</w:t>
      </w:r>
    </w:p>
    <w:p>
      <w:pPr>
        <w:spacing w:after="0" w:line="179" w:lineRule="exact"/>
        <w:rPr>
          <w:sz w:val="20"/>
          <w:szCs w:val="20"/>
          <w:color w:val="auto"/>
        </w:rPr>
      </w:pPr>
    </w:p>
    <w:p>
      <w:pPr>
        <w:ind w:left="500" w:hanging="456"/>
        <w:spacing w:after="0"/>
        <w:tabs>
          <w:tab w:leader="none" w:pos="5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 is subject to U.S. federal, state and foreign income taxes. For the three and nine months ended September 30, 2020, we recorded income tax expense of approximately $11.7 million and $45.2 million, respectively. For the three and nine months ended September 30, 2019, we recorded income tax expense of approximately $19.7 million and $24.9 million, respectively. The decrease in tax expense for the three months ended September 30, 2020 was primarily driven by increased tax benefits for stock-based compensation and foreign derived intangible income. The increase in tax expense for the nine months ended September 30, 2020 was primarily driven by increased federal and state tax liabilities that are not fully sheltered by net operating losses or research and development tax credit carryforwards.</w:t>
      </w:r>
    </w:p>
    <w:p>
      <w:pPr>
        <w:spacing w:after="0" w:line="189" w:lineRule="exact"/>
        <w:rPr>
          <w:sz w:val="20"/>
          <w:szCs w:val="20"/>
          <w:color w:val="auto"/>
        </w:rPr>
      </w:pPr>
    </w:p>
    <w:p>
      <w:pPr>
        <w:jc w:val="both"/>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As of September 30, 2020, a full valuation allowance continues to be recorded against our U.S. and Swiss net deferred tax assets. Based upon our analysis of our historical operating results, as well as projections of our future taxable income (losses) during the periods in which the temporary differences will be recoverable, we believe the uncertainty regarding the realization of our U.S. and Swiss net deferred tax assets requires a full valuation allowance against such net assets as of September 30, 2020. When performing our assessment on projections of future taxable income (losses), we consider factors such as the likelihood of regulatory approval and commercial success of products currently under development, among other factors.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The balance of our unrecognized tax benefits (including penalties and interest) increased by approximately $1.5 million during the nine months ended September 30, 2020. The overall net increase is primarily driven by unrecognized tax benefits related to current year operations and research and development tax credits offset by audit settlements in Wisconsin and Italy. After considering valuation allowance impacts, the change in unrecognized tax benefits resulted in a $0.1 million decrease to noncurrent other liabilities on the condensed consolidated balance sheet.</w:t>
      </w:r>
    </w:p>
    <w:p>
      <w:pPr>
        <w:spacing w:after="0" w:line="179" w:lineRule="exact"/>
        <w:rPr>
          <w:sz w:val="20"/>
          <w:szCs w:val="20"/>
          <w:color w:val="auto"/>
        </w:rPr>
      </w:pPr>
    </w:p>
    <w:p>
      <w:pPr>
        <w:ind w:left="440" w:hanging="396"/>
        <w:spacing w:after="0"/>
        <w:tabs>
          <w:tab w:leader="none" w:pos="4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(loss) per share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Net income (loss) per share was calculated as follows for the periods indicated below:</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7"/>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1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6"/>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180" w:type="dxa"/>
            <w:vAlign w:val="bottom"/>
            <w:tcBorders>
              <w:bottom w:val="single" w:sz="8" w:color="auto"/>
            </w:tcBorders>
            <w:gridSpan w:val="4"/>
            <w:vMerge w:val="continue"/>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3"/>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0" w:type="dxa"/>
            <w:vAlign w:val="bottom"/>
            <w:tcBorders>
              <w:bottom w:val="single" w:sz="8" w:color="CCEEFF"/>
            </w:tcBorders>
            <w:shd w:val="clear" w:color="auto" w:fill="CCEEFF"/>
          </w:tcPr>
          <w:p>
            <w:pPr>
              <w:spacing w:after="0"/>
              <w:rPr>
                <w:sz w:val="16"/>
                <w:szCs w:val="16"/>
                <w:color w:val="auto"/>
              </w:rPr>
            </w:pPr>
          </w:p>
        </w:tc>
        <w:tc>
          <w:tcPr>
            <w:tcW w:w="2660" w:type="dxa"/>
            <w:vAlign w:val="bottom"/>
            <w:tcBorders>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Basic Net Income (Loss) Per Share</w:t>
            </w:r>
          </w:p>
        </w:tc>
        <w:tc>
          <w:tcPr>
            <w:tcW w:w="1400" w:type="dxa"/>
            <w:vAlign w:val="bottom"/>
            <w:tcBorders>
              <w:bottom w:val="single" w:sz="8" w:color="CCEEFF"/>
            </w:tcBorders>
            <w:gridSpan w:val="2"/>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128,271</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(445,547)</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335,901</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218,784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215,199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217,684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214,628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0" w:type="dxa"/>
            <w:vAlign w:val="bottom"/>
            <w:tcBorders>
              <w:bottom w:val="single" w:sz="8" w:color="CCEEFF"/>
            </w:tcBorders>
            <w:shd w:val="clear" w:color="auto" w:fill="CCEEFF"/>
          </w:tcPr>
          <w:p>
            <w:pPr>
              <w:spacing w:after="0"/>
              <w:rPr>
                <w:sz w:val="17"/>
                <w:szCs w:val="17"/>
                <w:color w:val="auto"/>
              </w:rPr>
            </w:pPr>
          </w:p>
        </w:tc>
        <w:tc>
          <w:tcPr>
            <w:tcW w:w="282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Diluted Net Income (Loss) Per Share</w:t>
            </w:r>
          </w:p>
        </w:tc>
        <w:tc>
          <w:tcPr>
            <w:tcW w:w="1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Diluted net income (loss)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128,271</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(445,547)</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335,901</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218,784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215,199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217,684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214,628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stock options and awards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2,765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0" w:type="dxa"/>
            <w:vAlign w:val="bottom"/>
            <w:shd w:val="clear" w:color="auto" w:fill="CCEEFF"/>
          </w:tcPr>
          <w:p>
            <w:pPr>
              <w:spacing w:after="0"/>
              <w:rPr>
                <w:sz w:val="17"/>
                <w:szCs w:val="17"/>
                <w:color w:val="auto"/>
              </w:rPr>
            </w:pPr>
          </w:p>
        </w:tc>
        <w:tc>
          <w:tcPr>
            <w:tcW w:w="5080" w:type="dxa"/>
            <w:vAlign w:val="bottom"/>
            <w:gridSpan w:val="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used to compute diluted net income (loss)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0" w:type="dxa"/>
            <w:vAlign w:val="bottom"/>
            <w:shd w:val="clear" w:color="auto" w:fill="CCEEFF"/>
          </w:tcPr>
          <w:p>
            <w:pPr>
              <w:spacing w:after="0"/>
              <w:rPr>
                <w:sz w:val="20"/>
                <w:szCs w:val="20"/>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218,784</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217,791</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217,684</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217,393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07)</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20" w:type="dxa"/>
            <w:vAlign w:val="bottom"/>
          </w:tcPr>
          <w:p>
            <w:pPr>
              <w:spacing w:after="0"/>
              <w:rPr>
                <w:sz w:val="24"/>
                <w:szCs w:val="24"/>
                <w:color w:val="auto"/>
              </w:rPr>
            </w:pPr>
          </w:p>
        </w:tc>
        <w:tc>
          <w:tcPr>
            <w:tcW w:w="8800" w:type="dxa"/>
            <w:vAlign w:val="bottom"/>
            <w:gridSpan w:val="23"/>
          </w:tcPr>
          <w:p>
            <w:pPr>
              <w:ind w:left="540"/>
              <w:spacing w:after="0"/>
              <w:rPr>
                <w:sz w:val="20"/>
                <w:szCs w:val="20"/>
                <w:color w:val="auto"/>
              </w:rPr>
            </w:pPr>
            <w:r>
              <w:rPr>
                <w:rFonts w:ascii="Times New Roman" w:cs="Times New Roman" w:eastAsia="Times New Roman" w:hAnsi="Times New Roman"/>
                <w:sz w:val="18"/>
                <w:szCs w:val="18"/>
                <w:color w:val="auto"/>
              </w:rPr>
              <w:t>The potential common shares that were excluded from the diluted net income (loss) per share computation are as</w:t>
            </w:r>
          </w:p>
        </w:tc>
        <w:tc>
          <w:tcPr>
            <w:tcW w:w="0" w:type="dxa"/>
            <w:vAlign w:val="bottom"/>
          </w:tcPr>
          <w:p>
            <w:pPr>
              <w:spacing w:after="0"/>
              <w:rPr>
                <w:sz w:val="1"/>
                <w:szCs w:val="1"/>
                <w:color w:val="auto"/>
              </w:rPr>
            </w:pPr>
          </w:p>
        </w:tc>
      </w:tr>
      <w:tr>
        <w:trPr>
          <w:trHeight w:val="234"/>
        </w:trPr>
        <w:tc>
          <w:tcPr>
            <w:tcW w:w="4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follows:</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40" w:type="dxa"/>
            <w:vAlign w:val="bottom"/>
            <w:gridSpan w:val="5"/>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40" w:type="dxa"/>
            <w:vAlign w:val="bottom"/>
            <w:tcBorders>
              <w:bottom w:val="single" w:sz="8" w:color="auto"/>
            </w:tcBorders>
            <w:gridSpan w:val="5"/>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0" w:type="dxa"/>
            <w:vAlign w:val="bottom"/>
            <w:tcBorders>
              <w:bottom w:val="single" w:sz="8" w:color="CCEEFF"/>
            </w:tcBorders>
          </w:tcPr>
          <w:p>
            <w:pPr>
              <w:spacing w:after="0"/>
              <w:rPr>
                <w:sz w:val="12"/>
                <w:szCs w:val="12"/>
                <w:color w:val="auto"/>
              </w:rPr>
            </w:pPr>
          </w:p>
        </w:tc>
        <w:tc>
          <w:tcPr>
            <w:tcW w:w="26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4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2020</w:t>
            </w:r>
          </w:p>
        </w:tc>
        <w:tc>
          <w:tcPr>
            <w:tcW w:w="36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stock options and awards</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15,447,389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8,893,596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15,447,389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9,457,441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8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Common shares issuable upon conversion of the 2020</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Notes</w:t>
            </w:r>
          </w:p>
        </w:tc>
        <w:tc>
          <w:tcPr>
            <w:tcW w:w="10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231,339</w:t>
            </w: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368,939</w:t>
            </w: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9"/>
              </w:rPr>
              <w:t>231,339</w:t>
            </w: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368,939</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180" w:type="dxa"/>
            <w:vAlign w:val="bottom"/>
            <w:gridSpan w:val="4"/>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Total potential common shares excluded from diluted</w:t>
            </w:r>
          </w:p>
        </w:tc>
        <w:tc>
          <w:tcPr>
            <w:tcW w:w="10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15,678,728</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9,262,535</w:t>
            </w:r>
          </w:p>
        </w:tc>
        <w:tc>
          <w:tcPr>
            <w:tcW w:w="1260" w:type="dxa"/>
            <w:vAlign w:val="bottom"/>
            <w:gridSpan w:val="7"/>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15,678,728</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9,826,380</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 computation</w:t>
            </w:r>
          </w:p>
        </w:tc>
        <w:tc>
          <w:tcPr>
            <w:tcW w:w="102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3"/>
            <w:vMerge w:val="continue"/>
            <w:shd w:val="clear" w:color="auto" w:fill="CCEEFF"/>
          </w:tcPr>
          <w:p>
            <w:pPr>
              <w:spacing w:after="0"/>
              <w:rPr>
                <w:sz w:val="19"/>
                <w:szCs w:val="19"/>
                <w:color w:val="auto"/>
              </w:rPr>
            </w:pPr>
          </w:p>
        </w:tc>
        <w:tc>
          <w:tcPr>
            <w:tcW w:w="1260" w:type="dxa"/>
            <w:vAlign w:val="bottom"/>
            <w:gridSpan w:val="7"/>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gridSpan w:val="3"/>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440" w:hanging="396"/>
        <w:spacing w:after="0"/>
        <w:tabs>
          <w:tab w:leader="none" w:pos="4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270" w:lineRule="exact"/>
        <w:rPr>
          <w:sz w:val="20"/>
          <w:szCs w:val="20"/>
          <w:color w:val="auto"/>
        </w:rPr>
      </w:pPr>
    </w:p>
    <w:p>
      <w:pPr>
        <w:jc w:val="both"/>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December 2018, we received a civil investigative demand from the U.S. Department of Justice (“DOJ”) for documents and information relating to our speaker programs and patient assistance programs, including our support of non-profit organizations that provide financial assistance to eligible patients. We have cooperated with this inquiry. In November 2019, the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complaint underlying the DOJ inquiry was unsealed (“Complaint”), at which time we learned that a former employee whom we had terminated had made certain allegations relating to the programs described above. We then became aware that the DOJ had not intervened in the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 and, to our knowledge, the DOJ has not intervened to date. We filed an answer to the Complaint on January 22, 2020, and the action is proceeding. We cannot predict the outcome or the timing of the ultimate resolution of the investigation or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 or reasonably estimate the possible range of loss, if any, that may result from these matters. Accordingly, no reserve has been made with respect to these matters as of September 30, 2020.</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In the ordinary course of our business, we may become involved in lawsuits, proceedings, and other disputes, including commercial, intellectual property, regulatory, employment, and other matters. We record a reserve for these matters when it is both probable that a liability has been incurred and the amount of the loss can be reasonably estimated.</w:t>
      </w:r>
    </w:p>
    <w:p>
      <w:pPr>
        <w:spacing w:after="0" w:line="172" w:lineRule="exact"/>
        <w:rPr>
          <w:sz w:val="20"/>
          <w:szCs w:val="20"/>
          <w:color w:val="auto"/>
        </w:rPr>
      </w:pPr>
    </w:p>
    <w:p>
      <w:pPr>
        <w:ind w:left="440" w:hanging="396"/>
        <w:spacing w:after="0"/>
        <w:tabs>
          <w:tab w:leader="none" w:pos="4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w:t>
      </w:r>
    </w:p>
    <w:p>
      <w:pPr>
        <w:spacing w:after="0" w:line="229" w:lineRule="exact"/>
        <w:rPr>
          <w:sz w:val="20"/>
          <w:szCs w:val="20"/>
          <w:color w:val="auto"/>
        </w:rPr>
      </w:pPr>
    </w:p>
    <w:p>
      <w:pPr>
        <w:jc w:val="both"/>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In October 2020, Lilly announced that the European Commission approved baricitinib as OLUMIANT for the treatment of moderate-to-severe atopic dermatitis in adult patients who are candidates for systemic therapy. We expect to recognize a $20.0 million milestone payment from Lilly during the fourth quarter of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left="4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as of and for the three and nine months ended September 30, 2020 should be read in conjunction with the unaudited condensed consolidated financial statements and notes to those statements included elsewhere in this Quarterly Report on Form 10-Q and our audited consolidated financial statements as of and for the year ended December 31, 2019 included in our Annual Report on Form 10-K for the year ended December 31, 2019 previously filed with the SEC.</w:t>
      </w:r>
    </w:p>
    <w:p>
      <w:pPr>
        <w:spacing w:after="0" w:line="183" w:lineRule="exact"/>
        <w:rPr>
          <w:sz w:val="20"/>
          <w:szCs w:val="20"/>
          <w:color w:val="auto"/>
        </w:rPr>
      </w:pPr>
    </w:p>
    <w:p>
      <w:pPr>
        <w:jc w:val="both"/>
        <w:ind w:left="4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that involve risks and uncertainties. These statements relate to future periods, future events or our future operating or financial plans or performance. Often, these statements include the words “believe,” “expect,” “target,” “anticipate,” “intend,” “plan,” “seek,” “estimate,” “potential,” or words of similar meaning, or future or conditional verbs such as “will,” “would,” “should,” “could,” “might,” or “may,” or the negative of these terms, and other similar expressions. These forward-looking statements include statements as to:</w:t>
      </w:r>
    </w:p>
    <w:p>
      <w:pPr>
        <w:spacing w:after="0" w:line="170" w:lineRule="exact"/>
        <w:rPr>
          <w:sz w:val="20"/>
          <w:szCs w:val="20"/>
          <w:color w:val="auto"/>
        </w:rPr>
      </w:pPr>
    </w:p>
    <w:p>
      <w:pPr>
        <w:jc w:val="both"/>
        <w:ind w:left="1040" w:right="79" w:hanging="321"/>
        <w:spacing w:after="0" w:line="19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discovery, development, formulation, manufacturing and commercialization of our compounds, our drug candidates and JAKAFI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i w:val="1"/>
          <w:iCs w:val="1"/>
          <w:color w:val="auto"/>
        </w:rPr>
        <w:t>/JAKAVI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i w:val="1"/>
          <w:iCs w:val="1"/>
          <w:color w:val="auto"/>
        </w:rPr>
        <w:t xml:space="preserve"> (ruxolitinib), PEMAZYRE </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xml:space="preserve"> (pemigatinib), ICLUSIG</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i w:val="1"/>
          <w:iCs w:val="1"/>
          <w:color w:val="auto"/>
        </w:rPr>
        <w:t xml:space="preserve"> (ponatinib) and MONJUVI® (tafasitamab);</w:t>
      </w:r>
    </w:p>
    <w:p>
      <w:pPr>
        <w:spacing w:after="0" w:line="116"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plans to further develop our operations outside of the United States;</w:t>
      </w:r>
    </w:p>
    <w:p>
      <w:pPr>
        <w:spacing w:after="0" w:line="157"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conducting clinical trials internally, with collaborators, or with clinical research organizations;</w:t>
      </w:r>
    </w:p>
    <w:p>
      <w:pPr>
        <w:spacing w:after="0" w:line="225" w:lineRule="exact"/>
        <w:rPr>
          <w:rFonts w:ascii="Times New Roman" w:cs="Times New Roman" w:eastAsia="Times New Roman" w:hAnsi="Times New Roman"/>
          <w:sz w:val="18"/>
          <w:szCs w:val="18"/>
          <w:color w:val="auto"/>
        </w:rPr>
      </w:pPr>
    </w:p>
    <w:p>
      <w:pPr>
        <w:ind w:left="1040" w:right="79" w:hanging="321"/>
        <w:spacing w:after="0" w:line="284"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collaboration and strategic relationship strategy, and anticipated benefits and disadvantages of entering into collaboration agreements;</w:t>
      </w:r>
    </w:p>
    <w:p>
      <w:pPr>
        <w:spacing w:after="0" w:line="158" w:lineRule="exact"/>
        <w:rPr>
          <w:rFonts w:ascii="Times New Roman" w:cs="Times New Roman" w:eastAsia="Times New Roman" w:hAnsi="Times New Roman"/>
          <w:sz w:val="18"/>
          <w:szCs w:val="18"/>
          <w:color w:val="auto"/>
        </w:rPr>
      </w:pPr>
    </w:p>
    <w:p>
      <w:pPr>
        <w:ind w:left="1040" w:right="59" w:hanging="321"/>
        <w:spacing w:after="0" w:line="284"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licensing, investment and commercialization strategies, including our plans to commercialize JAKAFI, PEMAZYRE, ICLUSIG and MONJUVI;</w:t>
      </w:r>
    </w:p>
    <w:p>
      <w:pPr>
        <w:spacing w:after="0" w:line="158" w:lineRule="exact"/>
        <w:rPr>
          <w:rFonts w:ascii="Times New Roman" w:cs="Times New Roman" w:eastAsia="Times New Roman" w:hAnsi="Times New Roman"/>
          <w:sz w:val="18"/>
          <w:szCs w:val="18"/>
          <w:color w:val="auto"/>
        </w:rPr>
      </w:pPr>
    </w:p>
    <w:p>
      <w:pPr>
        <w:ind w:left="1040" w:right="59" w:hanging="321"/>
        <w:spacing w:after="0" w:line="284"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regulatory approval process, including obtaining U.S. Food and Drug Administration and other international health authorities approval for our products in the United States and abroad;</w:t>
      </w:r>
    </w:p>
    <w:p>
      <w:pPr>
        <w:spacing w:after="0" w:line="158" w:lineRule="exact"/>
        <w:rPr>
          <w:rFonts w:ascii="Times New Roman" w:cs="Times New Roman" w:eastAsia="Times New Roman" w:hAnsi="Times New Roman"/>
          <w:sz w:val="18"/>
          <w:szCs w:val="18"/>
          <w:color w:val="auto"/>
        </w:rPr>
      </w:pPr>
    </w:p>
    <w:p>
      <w:pPr>
        <w:ind w:left="1040" w:right="79" w:hanging="321"/>
        <w:spacing w:after="0" w:line="284"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safety, effectiveness and potential benefits and indications of our drug candidates and other compounds under development;</w:t>
      </w:r>
    </w:p>
    <w:p>
      <w:pPr>
        <w:spacing w:after="0" w:line="158" w:lineRule="exact"/>
        <w:rPr>
          <w:rFonts w:ascii="Times New Roman" w:cs="Times New Roman" w:eastAsia="Times New Roman" w:hAnsi="Times New Roman"/>
          <w:sz w:val="18"/>
          <w:szCs w:val="18"/>
          <w:color w:val="auto"/>
        </w:rPr>
      </w:pPr>
    </w:p>
    <w:p>
      <w:pPr>
        <w:ind w:left="1040" w:right="59" w:hanging="321"/>
        <w:spacing w:after="0" w:line="284"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timing and size of our clinical trials; the compounds expected to enter clinical trials; timing of clinical trial results;</w:t>
      </w:r>
    </w:p>
    <w:p>
      <w:pPr>
        <w:spacing w:after="0" w:line="15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manage expansion of our drug discovery and development operations;</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future required expertise relating to clinical trials, manufacturing, sales and marketing;</w:t>
      </w:r>
    </w:p>
    <w:p>
      <w:pPr>
        <w:spacing w:after="0" w:line="225" w:lineRule="exact"/>
        <w:rPr>
          <w:rFonts w:ascii="Times New Roman" w:cs="Times New Roman" w:eastAsia="Times New Roman" w:hAnsi="Times New Roman"/>
          <w:sz w:val="18"/>
          <w:szCs w:val="18"/>
          <w:color w:val="auto"/>
        </w:rPr>
      </w:pPr>
    </w:p>
    <w:p>
      <w:pPr>
        <w:ind w:left="1040" w:right="59" w:hanging="321"/>
        <w:spacing w:after="0" w:line="284"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obtaining and terminating licenses to products, drug candidates or technology, or other intellectual property rights;</w:t>
      </w:r>
    </w:p>
    <w:p>
      <w:pPr>
        <w:spacing w:after="0" w:line="158" w:lineRule="exact"/>
        <w:rPr>
          <w:rFonts w:ascii="Times New Roman" w:cs="Times New Roman" w:eastAsia="Times New Roman" w:hAnsi="Times New Roman"/>
          <w:sz w:val="18"/>
          <w:szCs w:val="18"/>
          <w:color w:val="auto"/>
        </w:rPr>
      </w:pPr>
    </w:p>
    <w:p>
      <w:pPr>
        <w:ind w:left="1040" w:right="79" w:hanging="321"/>
        <w:spacing w:after="0" w:line="284"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receipt from or payments pursuant to collaboration or license agreements resulting from milestones or royalties;</w:t>
      </w:r>
    </w:p>
    <w:p>
      <w:pPr>
        <w:spacing w:after="0" w:line="15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plans to develop and commercialize products on our own;</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plans to use third-party manufacturers;</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plans for our manufacturing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40" w:right="59" w:hanging="321"/>
        <w:spacing w:after="0" w:line="238"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expenses and expenditure levels; expected uses of cash; expected revenues and sources of revenues, including milestone payments; expectations with respect to inventory;</w:t>
      </w:r>
    </w:p>
    <w:p>
      <w:pPr>
        <w:spacing w:after="0" w:line="156"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expectations with respect to reimbursement for our products;</w:t>
      </w:r>
    </w:p>
    <w:p>
      <w:pPr>
        <w:spacing w:after="0" w:line="184"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expected impact of recent accounting pronouncements and changes in tax laws;</w:t>
      </w:r>
    </w:p>
    <w:p>
      <w:pPr>
        <w:spacing w:after="0" w:line="157"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losses; fluctuation of losses; currency translation impact associated with collaboration royalties;</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profitability; the adequacy of our capital resources to continue operations;</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need to raise additional capital;</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costs associated with resolving matters in litigation;</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expectations regarding competition;</w:t>
      </w:r>
    </w:p>
    <w:p>
      <w:pPr>
        <w:spacing w:after="0" w:line="225" w:lineRule="exact"/>
        <w:rPr>
          <w:rFonts w:ascii="Times New Roman" w:cs="Times New Roman" w:eastAsia="Times New Roman" w:hAnsi="Times New Roman"/>
          <w:sz w:val="18"/>
          <w:szCs w:val="18"/>
          <w:color w:val="auto"/>
        </w:rPr>
      </w:pPr>
    </w:p>
    <w:p>
      <w:pPr>
        <w:ind w:left="1040" w:right="79" w:hanging="321"/>
        <w:spacing w:after="0" w:line="284"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expectations relating to our new European headquarters and the anticipated completion date for our large molecule production facility;</w:t>
      </w:r>
    </w:p>
    <w:p>
      <w:pPr>
        <w:spacing w:after="0" w:line="15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investments, including anticipated expenditures, losses and expenses;</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patent prosecution and maintenance efforts; and</w:t>
      </w:r>
    </w:p>
    <w:p>
      <w:pPr>
        <w:spacing w:after="0" w:line="225" w:lineRule="exact"/>
        <w:rPr>
          <w:rFonts w:ascii="Times New Roman" w:cs="Times New Roman" w:eastAsia="Times New Roman" w:hAnsi="Times New Roman"/>
          <w:sz w:val="18"/>
          <w:szCs w:val="18"/>
          <w:color w:val="auto"/>
        </w:rPr>
      </w:pPr>
    </w:p>
    <w:p>
      <w:pPr>
        <w:jc w:val="both"/>
        <w:ind w:left="1040" w:right="79" w:hanging="321"/>
        <w:spacing w:after="0" w:line="267"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potential effects of the COVID-19 pandemic and efforts undertaken or to be undertaken by us or applicable governmental authorities on local and global economic conditions, and on our business, results of operations and financial condition.</w:t>
      </w:r>
    </w:p>
    <w:p>
      <w:pPr>
        <w:spacing w:after="0" w:line="173" w:lineRule="exact"/>
        <w:rPr>
          <w:sz w:val="20"/>
          <w:szCs w:val="20"/>
          <w:color w:val="auto"/>
        </w:rPr>
      </w:pPr>
    </w:p>
    <w:p>
      <w:pPr>
        <w:jc w:val="both"/>
        <w:ind w:left="40" w:right="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These forward-looking statements reflect our current views with respect to future events, are based on assumptions and are subject to risks and uncertainties. These risks and uncertainties could cause actual results to differ materially from those projected and include, but are not limited to:</w:t>
      </w:r>
    </w:p>
    <w:p>
      <w:pPr>
        <w:spacing w:after="0" w:line="173" w:lineRule="exact"/>
        <w:rPr>
          <w:sz w:val="20"/>
          <w:szCs w:val="20"/>
          <w:color w:val="auto"/>
        </w:rPr>
      </w:pPr>
    </w:p>
    <w:p>
      <w:pPr>
        <w:ind w:left="1040" w:hanging="321"/>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successfully commercialize JAKAFI, ICLUSIG, PEMAZYRE and MONJUVI;</w:t>
      </w:r>
    </w:p>
    <w:p>
      <w:pPr>
        <w:spacing w:after="0" w:line="211" w:lineRule="exact"/>
        <w:rPr>
          <w:rFonts w:ascii="Times New Roman" w:cs="Times New Roman" w:eastAsia="Times New Roman" w:hAnsi="Times New Roman"/>
          <w:sz w:val="18"/>
          <w:szCs w:val="18"/>
          <w:color w:val="auto"/>
        </w:rPr>
      </w:pPr>
    </w:p>
    <w:p>
      <w:pPr>
        <w:ind w:left="1040" w:right="59" w:hanging="321"/>
        <w:spacing w:after="0" w:line="238"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maintain at anticipated levels reimbursement for our products from government health administration authorities, private health insurers and other organizations;</w:t>
      </w:r>
    </w:p>
    <w:p>
      <w:pPr>
        <w:spacing w:after="0" w:line="11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establish and maintain effective sales, marketing and distribution capabilities;</w:t>
      </w:r>
    </w:p>
    <w:p>
      <w:pPr>
        <w:spacing w:after="0" w:line="144" w:lineRule="exact"/>
        <w:rPr>
          <w:rFonts w:ascii="Times New Roman" w:cs="Times New Roman" w:eastAsia="Times New Roman" w:hAnsi="Times New Roman"/>
          <w:sz w:val="18"/>
          <w:szCs w:val="18"/>
          <w:color w:val="auto"/>
        </w:rPr>
      </w:pPr>
    </w:p>
    <w:p>
      <w:pPr>
        <w:ind w:left="1040" w:right="79" w:hanging="321"/>
        <w:spacing w:after="0" w:line="238"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reliance on other parties to manufacture our products, which could result in a short supply of our products, increased costs, and withdrawal of regulatory approval;</w:t>
      </w:r>
    </w:p>
    <w:p>
      <w:pPr>
        <w:spacing w:after="0" w:line="11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maintain regulatory approvals to market our products;</w:t>
      </w:r>
    </w:p>
    <w:p>
      <w:pPr>
        <w:spacing w:after="0" w:line="144"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achieve a significant market share in order to achieve or maintain profitability;</w:t>
      </w:r>
    </w:p>
    <w:p>
      <w:pPr>
        <w:spacing w:after="0" w:line="144" w:lineRule="exact"/>
        <w:rPr>
          <w:rFonts w:ascii="Times New Roman" w:cs="Times New Roman" w:eastAsia="Times New Roman" w:hAnsi="Times New Roman"/>
          <w:sz w:val="18"/>
          <w:szCs w:val="18"/>
          <w:color w:val="auto"/>
        </w:rPr>
      </w:pPr>
    </w:p>
    <w:p>
      <w:pPr>
        <w:ind w:left="1040" w:right="79" w:hanging="321"/>
        <w:spacing w:after="0" w:line="238"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civil or criminal penalties if we market our products in a manner that violates health care fraud and abuse and other applicable laws, rules and regulations;</w:t>
      </w:r>
    </w:p>
    <w:p>
      <w:pPr>
        <w:spacing w:after="0" w:line="129"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discover, develop, formulate, manufacture and commercialize our drug candidates;</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unanticipated delays in, or discontinuations of, research and development efforts;</w:t>
      </w:r>
    </w:p>
    <w:p>
      <w:pPr>
        <w:spacing w:after="0" w:line="225" w:lineRule="exact"/>
        <w:rPr>
          <w:rFonts w:ascii="Times New Roman" w:cs="Times New Roman" w:eastAsia="Times New Roman" w:hAnsi="Times New Roman"/>
          <w:sz w:val="18"/>
          <w:szCs w:val="18"/>
          <w:color w:val="auto"/>
        </w:rPr>
      </w:pPr>
    </w:p>
    <w:p>
      <w:pPr>
        <w:ind w:left="1040" w:right="79" w:hanging="321"/>
        <w:spacing w:after="0" w:line="284"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that previous preclinical testing or clinical trial results are not necessarily indicative of future clinical trial results;</w:t>
      </w:r>
    </w:p>
    <w:p>
      <w:pPr>
        <w:sectPr>
          <w:pgSz w:w="11900" w:h="16838" w:orient="portrait"/>
          <w:cols w:equalWidth="0" w:num="1">
            <w:col w:w="9019"/>
          </w:cols>
          <w:pgMar w:left="1440" w:top="513" w:right="1440"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040" w:hanging="321"/>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the conduct of our clinical trials;</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changing regulatory requirements;</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adverse safety findings;</w:t>
      </w:r>
    </w:p>
    <w:p>
      <w:pPr>
        <w:spacing w:after="0" w:line="225" w:lineRule="exact"/>
        <w:rPr>
          <w:rFonts w:ascii="Times New Roman" w:cs="Times New Roman" w:eastAsia="Times New Roman" w:hAnsi="Times New Roman"/>
          <w:sz w:val="18"/>
          <w:szCs w:val="18"/>
          <w:color w:val="auto"/>
        </w:rPr>
      </w:pPr>
    </w:p>
    <w:p>
      <w:pPr>
        <w:ind w:left="1040" w:right="59" w:hanging="321"/>
        <w:spacing w:after="0" w:line="284"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that results of our clinical trials do not support submission of a marketing approval application for our drug candidates;</w:t>
      </w:r>
    </w:p>
    <w:p>
      <w:pPr>
        <w:spacing w:after="0" w:line="15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significant delays or costs in obtaining regulatory approvals;</w:t>
      </w:r>
    </w:p>
    <w:p>
      <w:pPr>
        <w:spacing w:after="0" w:line="225" w:lineRule="exact"/>
        <w:rPr>
          <w:rFonts w:ascii="Times New Roman" w:cs="Times New Roman" w:eastAsia="Times New Roman" w:hAnsi="Times New Roman"/>
          <w:sz w:val="18"/>
          <w:szCs w:val="18"/>
          <w:color w:val="auto"/>
        </w:rPr>
      </w:pPr>
    </w:p>
    <w:p>
      <w:pPr>
        <w:ind w:left="1040" w:right="59" w:hanging="321"/>
        <w:spacing w:after="0" w:line="284"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our reliance on third-party manufacturers, collaborators, and clinical research organizations;</w:t>
      </w:r>
    </w:p>
    <w:p>
      <w:pPr>
        <w:spacing w:after="0" w:line="158" w:lineRule="exact"/>
        <w:rPr>
          <w:rFonts w:ascii="Times New Roman" w:cs="Times New Roman" w:eastAsia="Times New Roman" w:hAnsi="Times New Roman"/>
          <w:sz w:val="18"/>
          <w:szCs w:val="18"/>
          <w:color w:val="auto"/>
        </w:rPr>
      </w:pPr>
    </w:p>
    <w:p>
      <w:pPr>
        <w:ind w:left="1040" w:right="79" w:hanging="321"/>
        <w:spacing w:after="0" w:line="284"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the development of new products and their use by us and our current and potential collaborators;</w:t>
      </w:r>
    </w:p>
    <w:p>
      <w:pPr>
        <w:spacing w:after="0" w:line="15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our inability to control the development of out-licensed compounds or drug candidates;</w:t>
      </w:r>
    </w:p>
    <w:p>
      <w:pPr>
        <w:spacing w:after="0" w:line="225" w:lineRule="exact"/>
        <w:rPr>
          <w:rFonts w:ascii="Times New Roman" w:cs="Times New Roman" w:eastAsia="Times New Roman" w:hAnsi="Times New Roman"/>
          <w:sz w:val="18"/>
          <w:szCs w:val="18"/>
          <w:color w:val="auto"/>
        </w:rPr>
      </w:pPr>
    </w:p>
    <w:p>
      <w:pPr>
        <w:ind w:left="1040" w:right="79" w:hanging="321"/>
        <w:spacing w:after="0" w:line="284"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our collaborators’ ability to develop and commercialize JAKAVI, OLUMIANT, TABRECTA and the drug candidates licensed from us;</w:t>
      </w:r>
    </w:p>
    <w:p>
      <w:pPr>
        <w:spacing w:after="0" w:line="158" w:lineRule="exact"/>
        <w:rPr>
          <w:rFonts w:ascii="Times New Roman" w:cs="Times New Roman" w:eastAsia="Times New Roman" w:hAnsi="Times New Roman"/>
          <w:sz w:val="18"/>
          <w:szCs w:val="18"/>
          <w:color w:val="auto"/>
        </w:rPr>
      </w:pPr>
    </w:p>
    <w:p>
      <w:pPr>
        <w:ind w:left="1040" w:right="59" w:hanging="321"/>
        <w:spacing w:after="0" w:line="284"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costs associated with prosecuting, maintaining, defending and enforcing patent claims and other intellectual property rights;</w:t>
      </w:r>
    </w:p>
    <w:p>
      <w:pPr>
        <w:spacing w:after="0" w:line="15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maintain or obtain adequate product liability and other insurance coverage;</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that our drug candidates may not obtain or maintain regulatory approval;</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technological advances and competition, including potential generic competition;</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compete against third parties with greater resources than ours;</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changes in pricing and reimbursement in the markets in which we may compete;</w:t>
      </w:r>
    </w:p>
    <w:p>
      <w:pPr>
        <w:spacing w:after="0" w:line="225" w:lineRule="exact"/>
        <w:rPr>
          <w:rFonts w:ascii="Times New Roman" w:cs="Times New Roman" w:eastAsia="Times New Roman" w:hAnsi="Times New Roman"/>
          <w:sz w:val="18"/>
          <w:szCs w:val="18"/>
          <w:color w:val="auto"/>
        </w:rPr>
      </w:pPr>
    </w:p>
    <w:p>
      <w:pPr>
        <w:ind w:left="1040" w:right="79" w:hanging="321"/>
        <w:spacing w:after="0" w:line="284"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governmental healthcare reform efforts, including efforts to control, set or cap pricing for our commercial drugs in the U.S and abroad;</w:t>
      </w:r>
    </w:p>
    <w:p>
      <w:pPr>
        <w:spacing w:after="0" w:line="15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competition to develop and commercialize similar drug products;</w:t>
      </w:r>
    </w:p>
    <w:p>
      <w:pPr>
        <w:spacing w:after="0" w:line="225" w:lineRule="exact"/>
        <w:rPr>
          <w:rFonts w:ascii="Times New Roman" w:cs="Times New Roman" w:eastAsia="Times New Roman" w:hAnsi="Times New Roman"/>
          <w:sz w:val="18"/>
          <w:szCs w:val="18"/>
          <w:color w:val="auto"/>
        </w:rPr>
      </w:pPr>
    </w:p>
    <w:p>
      <w:pPr>
        <w:ind w:left="1040" w:right="59" w:hanging="321"/>
        <w:spacing w:after="0" w:line="284"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obtain and maintain patent protection and freedom to operate for our discoveries and to continue to be effective in expanding our patent coverage;</w:t>
      </w:r>
    </w:p>
    <w:p>
      <w:pPr>
        <w:spacing w:after="0" w:line="15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changing laws on our patent portfolio;</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developments in and expenses relating to litigation;</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in-license drug candidates or other technology;</w:t>
      </w:r>
    </w:p>
    <w:p>
      <w:pPr>
        <w:spacing w:after="0" w:line="225" w:lineRule="exact"/>
        <w:rPr>
          <w:rFonts w:ascii="Times New Roman" w:cs="Times New Roman" w:eastAsia="Times New Roman" w:hAnsi="Times New Roman"/>
          <w:sz w:val="18"/>
          <w:szCs w:val="18"/>
          <w:color w:val="auto"/>
        </w:rPr>
      </w:pPr>
    </w:p>
    <w:p>
      <w:pPr>
        <w:ind w:left="1040" w:right="79" w:hanging="321"/>
        <w:spacing w:after="0" w:line="284"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unanticipated construction, other delays or changes in plans relating to our new European headquarters and large molecule production facility;</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040" w:hanging="321"/>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integrate successfully acquired businesses, development programs or technology;</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obtain additional capital when needed;</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fluctuations in net cash provided and used by operating, financing and investing activities;</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analyze the effects of new accounting pronouncements and apply new accounting rules;</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history of operating losses;</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related to public health pandemics such as the COVID-19 pandemic; and</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risks set forth under “Risk Factors.”</w:t>
      </w:r>
    </w:p>
    <w:p>
      <w:pPr>
        <w:spacing w:after="0" w:line="225" w:lineRule="exact"/>
        <w:rPr>
          <w:sz w:val="20"/>
          <w:szCs w:val="20"/>
          <w:color w:val="auto"/>
        </w:rPr>
      </w:pPr>
    </w:p>
    <w:p>
      <w:pPr>
        <w:jc w:val="both"/>
        <w:ind w:left="40" w:right="59" w:firstLine="706"/>
        <w:spacing w:after="0" w:line="267" w:lineRule="auto"/>
        <w:rPr>
          <w:sz w:val="20"/>
          <w:szCs w:val="20"/>
          <w:color w:val="auto"/>
        </w:rPr>
      </w:pPr>
      <w:r>
        <w:rPr>
          <w:rFonts w:ascii="Times New Roman" w:cs="Times New Roman" w:eastAsia="Times New Roman" w:hAnsi="Times New Roman"/>
          <w:sz w:val="18"/>
          <w:szCs w:val="18"/>
          <w:i w:val="1"/>
          <w:iCs w:val="1"/>
          <w:color w:val="auto"/>
        </w:rPr>
        <w:t>Given these risks and uncertainties, you should not place undue reliance on these forward-looking statements. Except as required by federal securities laws, we undertake no obligation to update any forward-looking statements for any reason, even if new information becomes available or other events occur in the future.</w:t>
      </w:r>
    </w:p>
    <w:p>
      <w:pPr>
        <w:spacing w:after="0" w:line="173" w:lineRule="exact"/>
        <w:rPr>
          <w:sz w:val="20"/>
          <w:szCs w:val="20"/>
          <w:color w:val="auto"/>
        </w:rPr>
      </w:pPr>
    </w:p>
    <w:p>
      <w:pPr>
        <w:jc w:val="both"/>
        <w:ind w:left="40" w:right="5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In this report all references to “Incyte,” “we,” “us,” “our” or the “Company” mean Incyte Corporation and our subsidiaries, except where it is made clear that the term means only the parent company.</w:t>
      </w:r>
    </w:p>
    <w:p>
      <w:pPr>
        <w:spacing w:after="0" w:line="158" w:lineRule="exact"/>
        <w:rPr>
          <w:sz w:val="20"/>
          <w:szCs w:val="20"/>
          <w:color w:val="auto"/>
        </w:rPr>
      </w:pPr>
    </w:p>
    <w:p>
      <w:pPr>
        <w:jc w:val="both"/>
        <w:ind w:left="40" w:right="5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Incyte, JAKAFI and PEMAZYRE are our registered trademarks. We also refer to trademarks of other corporations and organizations in this Quarterly Report on Form 10-Q.</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Incyte is a biopharmaceutical company focused on the discovery, development and commercialization of proprietary therapeutics. Our global headquarters is located in Wilmington, Delaware. We conduct our European clinical development operations from our offices in Morges, Switzerland, our Japanese office is in Tokyo and we have been conducting operations in Canada since April 2020.</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Effects of the COVID-19 Pandemic on Our Business</w:t>
      </w:r>
    </w:p>
    <w:p>
      <w:pPr>
        <w:spacing w:after="0" w:line="229"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In December 2019, coronavirus disease of 2019, or COVID-19, was first reported in Wuhan, China. In March 2020, the World Health Organization declared COVID-19 a pandemic (“the COVID-19 Pandemic”) and certain governments, including the State of Delaware where our primary offices and laboratory spaces are located, enacted stay-at-home orders and sweeping restrictions to travel and business activity were initiated by corporations and governments.</w:t>
      </w:r>
    </w:p>
    <w:p>
      <w:pPr>
        <w:spacing w:after="0" w:line="180" w:lineRule="exact"/>
        <w:rPr>
          <w:sz w:val="20"/>
          <w:szCs w:val="20"/>
          <w:color w:val="auto"/>
        </w:rPr>
      </w:pPr>
    </w:p>
    <w:p>
      <w:pPr>
        <w:jc w:val="both"/>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We took aggressive, proactive actions early on to protect the health of our employees, and their families, including voluntarily requiring almost all personnel across our global enterprise to work remotely and restricting access to our sites to personnel who were required to perform critical business continuity activities. In May 2020, we initiated a return to full laboratory work at our facilities in Wilmington, Delaware, as well as a gradual return to office-based working, where allowed under local guidelines, at our offices in North America, Europe and Asia.</w:t>
      </w:r>
    </w:p>
    <w:p>
      <w:pPr>
        <w:spacing w:after="0" w:line="183" w:lineRule="exact"/>
        <w:rPr>
          <w:sz w:val="20"/>
          <w:szCs w:val="20"/>
          <w:color w:val="auto"/>
        </w:rPr>
      </w:pPr>
    </w:p>
    <w:p>
      <w:pPr>
        <w:jc w:val="both"/>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While we currently believe we are well-positioned to function in a hybrid on-site and virtual or remote fashion, the extent of the COVID-19 Pandemic’s effect on our operational and financial performance will depend on future developments, including the duration, spread and intensity of the pandemic, protective measures, and the reimposition of protective measures, implemented by governmental authorities or by us to protect our employees, and effects of the pandemic and such protective measures on our suppliers, collaborators, services providers and healthcare organizations serving patients, all of which are uncertain and difficult to predict considering the rapidly evolving landscape. As a result, it is not currently possible to ascertain or predict the overall long-term impact of the COVID-19 Pandemic on our business.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52" w:lineRule="auto"/>
        <w:rPr>
          <w:sz w:val="20"/>
          <w:szCs w:val="20"/>
          <w:color w:val="auto"/>
        </w:rPr>
      </w:pPr>
      <w:r>
        <w:rPr>
          <w:rFonts w:ascii="Times New Roman" w:cs="Times New Roman" w:eastAsia="Times New Roman" w:hAnsi="Times New Roman"/>
          <w:sz w:val="18"/>
          <w:szCs w:val="18"/>
          <w:color w:val="auto"/>
        </w:rPr>
        <w:t>To date, we have not seen a material effect on the results of our commercial operations, or our manufacturing supply chain, and we have increased manufacturing efforts of ruxolitinib to respond to the COVID-19 Pandemic and to pre-clinical and clinical study requests. New patient starts for JAKAFI treatment decreased as a result of shelter in place and other protective measures, and if decreases in new patient starts occur in future periods, our revenues in future periods could be adversely affected. We continue to anticipate that short-term effects may continue to emerge across different aspects of our global clinical trial programs. For example, while we expect ongoing monitoring of already-enrolled patients to continue, difficulties in monitoring may result as a consequence of shelter in place orders and other protective measures implemented by governmental authorities or clinical trial sites. In addition, new patient recruitment in certain clinical trials has been and may in the future be impacted, in particular with respect to our earlier stage clinical trials. We also expect the conduct of clinical trials may continue to vary by disease state and by severity of disease, as well as by geography, as some regions are more adversely impacted. Until our return to full laboratory work, our discovery laboratories were staffed by essential personnel, and hence certain discovery programs experienced delays. Still, we caution that the duration and severity of the continuing COVID-19 Pandemic remains uncertain and we may not yet be able to assess its consequences accurately or fully at this time.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Clinical Trials to Address COVID-19</w:t>
      </w:r>
    </w:p>
    <w:p>
      <w:pPr>
        <w:spacing w:after="0" w:line="229" w:lineRule="exact"/>
        <w:rPr>
          <w:sz w:val="20"/>
          <w:szCs w:val="20"/>
          <w:color w:val="auto"/>
        </w:rPr>
      </w:pPr>
    </w:p>
    <w:p>
      <w:pPr>
        <w:jc w:val="both"/>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In April 2020, we announced the initiation of a Phase III clinical trial (RUXCOVID) to evaluate the efficacy and safety of ruxolitinib plus standard-of-care (SoC), compared to SoC therapy alone, in patients not on mechanical ventilation and who have COVID-19 associated cytokine storm. Patient recruitment into RUXCOVID has been completed and we expect results to be available before the end of 2020. We sponsor this collaborative study in the United States and our collaboration partner Novartis International Pharmaceutical Ltd. sponsors the study outside of the United States.</w:t>
      </w:r>
    </w:p>
    <w:p>
      <w:pPr>
        <w:spacing w:after="0" w:line="183" w:lineRule="exact"/>
        <w:rPr>
          <w:sz w:val="20"/>
          <w:szCs w:val="20"/>
          <w:color w:val="auto"/>
        </w:rPr>
      </w:pPr>
    </w:p>
    <w:p>
      <w:pPr>
        <w:jc w:val="both"/>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We are also conducting a second Phase III clinical trial in multiple geographies, including the United States, to evaluate the efficacy and safety of ruxolitinib plus SoC, compared to SoC therapy alone, in COVID-19 patients on mechanical ventilation and who have acute respiratory distress syndrome (ARDS), a type of respiratory failure characterized by rapid onset of widespread inflammation in the lungs. The SoC therapy is currently evolving and could be subject to change.</w:t>
      </w:r>
    </w:p>
    <w:p>
      <w:pPr>
        <w:spacing w:after="0" w:line="183" w:lineRule="exact"/>
        <w:rPr>
          <w:sz w:val="20"/>
          <w:szCs w:val="20"/>
          <w:color w:val="auto"/>
        </w:rPr>
      </w:pPr>
    </w:p>
    <w:p>
      <w:pPr>
        <w:jc w:val="both"/>
        <w:ind w:left="40" w:right="59" w:firstLine="648"/>
        <w:spacing w:after="0" w:line="282" w:lineRule="auto"/>
        <w:rPr>
          <w:sz w:val="20"/>
          <w:szCs w:val="20"/>
          <w:color w:val="auto"/>
        </w:rPr>
      </w:pPr>
      <w:r>
        <w:rPr>
          <w:rFonts w:ascii="Times New Roman" w:cs="Times New Roman" w:eastAsia="Times New Roman" w:hAnsi="Times New Roman"/>
          <w:sz w:val="18"/>
          <w:szCs w:val="18"/>
          <w:color w:val="auto"/>
        </w:rPr>
        <w:t>We have launched an Expanded Access Program in the United States to allow eligible patients with COVID-19 associated cytokine storm to receive ruxolitinib.</w:t>
      </w:r>
    </w:p>
    <w:p>
      <w:pPr>
        <w:spacing w:after="0" w:line="162" w:lineRule="exact"/>
        <w:rPr>
          <w:sz w:val="20"/>
          <w:szCs w:val="20"/>
          <w:color w:val="auto"/>
        </w:rPr>
      </w:pPr>
    </w:p>
    <w:p>
      <w:pPr>
        <w:jc w:val="both"/>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In April 2020, our collaboration partner Eli Lilly and Company announced that it has entered into an agreement with the National Institute of Allergy and Infectious Diseases (NIAID), part of the National Institutes of Health, to study baricitinib as an arm in NIAID's Adaptive COVID-19 Treatment Trial (ACTT-2). The study is investigating the efficacy and safety of baricitinib as a potential treatment for hospitalized patients diagnosed with COVID-19 in the United States, and Lilly is also planning an expansion to include Europe and Asia.</w:t>
      </w:r>
    </w:p>
    <w:p>
      <w:pPr>
        <w:spacing w:after="0" w:line="183"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In September 2020, we and Lilly announced initial results from ACTT-2, where baricitinib in combination with remdesivir reduced the time to recovery in comparison with remdesivir alone. Additional data announced in October 2020 showed that baricitinib plus remdesivir resulted in a numerical decrease in mortality through Day 29 compared to remdesivir alone, with a more pronounced reduction seen in more severely ill patients.</w:t>
      </w:r>
    </w:p>
    <w:p>
      <w:pPr>
        <w:spacing w:after="0" w:line="180" w:lineRule="exact"/>
        <w:rPr>
          <w:sz w:val="20"/>
          <w:szCs w:val="20"/>
          <w:color w:val="auto"/>
        </w:rPr>
      </w:pPr>
    </w:p>
    <w:p>
      <w:pPr>
        <w:jc w:val="both"/>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In addition, in June 2020, Lilly announced that the first patient had been enrolled in a Phase III randomized, double-blind, placebo–controlled study (COV-BARRIER) to evaluate the efficacy and safety of baricitinib in hospitalized adults not on mechanical ventilation and who have COVID-19.</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Marketed Indications - JAKAFI (ruxolitinib)</w:t>
      </w:r>
    </w:p>
    <w:p>
      <w:pPr>
        <w:spacing w:after="0" w:line="229" w:lineRule="exact"/>
        <w:rPr>
          <w:sz w:val="20"/>
          <w:szCs w:val="20"/>
          <w:color w:val="auto"/>
        </w:rPr>
      </w:pPr>
    </w:p>
    <w:p>
      <w:pPr>
        <w:jc w:val="both"/>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JAKAFI (ruxolitinib) is our first product to be approved for sale in the United States. It was approved by the U.S. Food and Drug Administration (FDA) in November 2011 for the treatment of adults with intermediate or high-risk myelofibrosis, in December 2014 for the treatment of adults with polycythemia vera who have had an inadequate response to or are intolerant of hydroxyurea and in May 2019 for the treatment of steroid-refractory acute graft-versus-host disease (GVHD) in adult and pediatric patients 12 years and older. Myelofibrosis and polycythemia vera are both</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8"/>
          <w:szCs w:val="18"/>
          <w:color w:val="auto"/>
        </w:rPr>
        <w:t>myeloproliferative neoplasms (MPNs), a type of rare blood cancer, and GVHD is an adverse immune response to an allogeneic hematopoietic stem cell transplant (HSCT). Under our collaboration agreement with Novartis, Novartis received exclusive development and commercialization rights to ruxolitinib outside of the United States for all hematologic and oncologic indications and sells ruxolitinib outside of the United States under the name JAKAVI.</w:t>
      </w:r>
    </w:p>
    <w:p>
      <w:pPr>
        <w:spacing w:after="0" w:line="180" w:lineRule="exact"/>
        <w:rPr>
          <w:sz w:val="20"/>
          <w:szCs w:val="20"/>
          <w:color w:val="auto"/>
        </w:rPr>
      </w:pPr>
    </w:p>
    <w:p>
      <w:pPr>
        <w:jc w:val="both"/>
        <w:ind w:left="40" w:right="59" w:firstLine="720"/>
        <w:spacing w:after="0" w:line="256" w:lineRule="auto"/>
        <w:rPr>
          <w:sz w:val="20"/>
          <w:szCs w:val="20"/>
          <w:color w:val="auto"/>
        </w:rPr>
      </w:pPr>
      <w:r>
        <w:rPr>
          <w:rFonts w:ascii="Times New Roman" w:cs="Times New Roman" w:eastAsia="Times New Roman" w:hAnsi="Times New Roman"/>
          <w:sz w:val="18"/>
          <w:szCs w:val="18"/>
          <w:color w:val="auto"/>
        </w:rPr>
        <w:t>In 2003, we initiated a research and development program to explore the inhibition of enzymes called janus associated kinases (JAK). The JAK family is composed of four tyrosine kinases—JAK1, JAK2, JAK3 and Tyk2—that are involved in the signaling of a number of cytokines and growth factors. JAKs are central to a number of biologic processes, including the formation and development of blood cells and the regulation of immune functions. Dysregulation of the JAK-STAT signaling pathway has been associated with a number of diseases, including myeloproliferative neoplasms, other hematological malignancies, rheumatoid arthritis and other chronic inflammatory diseases.</w:t>
      </w:r>
    </w:p>
    <w:p>
      <w:pPr>
        <w:spacing w:after="0" w:line="187" w:lineRule="exact"/>
        <w:rPr>
          <w:sz w:val="20"/>
          <w:szCs w:val="20"/>
          <w:color w:val="auto"/>
        </w:rPr>
      </w:pPr>
    </w:p>
    <w:p>
      <w:pPr>
        <w:jc w:val="both"/>
        <w:ind w:left="40" w:right="59" w:firstLine="648"/>
        <w:spacing w:after="0" w:line="282" w:lineRule="auto"/>
        <w:rPr>
          <w:sz w:val="20"/>
          <w:szCs w:val="20"/>
          <w:color w:val="auto"/>
        </w:rPr>
      </w:pPr>
      <w:r>
        <w:rPr>
          <w:rFonts w:ascii="Times New Roman" w:cs="Times New Roman" w:eastAsia="Times New Roman" w:hAnsi="Times New Roman"/>
          <w:sz w:val="18"/>
          <w:szCs w:val="18"/>
          <w:color w:val="auto"/>
        </w:rPr>
        <w:t>We have discovered multiple potent, selective and orally bioavailable JAK inhibitors that are selective for JAK1 or JAK1 and JAK2. JAKAFI is the most advanced compound in our JAK program. It is an oral JAK1 and JAK2 inhibitor.</w:t>
      </w:r>
    </w:p>
    <w:p>
      <w:pPr>
        <w:spacing w:after="0" w:line="162" w:lineRule="exact"/>
        <w:rPr>
          <w:sz w:val="20"/>
          <w:szCs w:val="20"/>
          <w:color w:val="auto"/>
        </w:rPr>
      </w:pPr>
    </w:p>
    <w:p>
      <w:pPr>
        <w:jc w:val="both"/>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JAKAFI is marketed in the United States through our own specialty sales force and commercial team. JAKAFI was the first FDA-approved JAK inhibitor for any indication and was the first FDA-approved product in all three of its current indications. JAKAFI remains the first-line standard of care in MF and remains the only FDA-approved product for PV and steroid-refractory acute GVHD. The FDA has granted JAKAFI orphan drug status for MF, PV, ET, acute lymphoblastic leukemia (ALL) and GVHD.</w:t>
      </w:r>
    </w:p>
    <w:p>
      <w:pPr>
        <w:spacing w:after="0" w:line="183" w:lineRule="exact"/>
        <w:rPr>
          <w:sz w:val="20"/>
          <w:szCs w:val="20"/>
          <w:color w:val="auto"/>
        </w:rPr>
      </w:pPr>
    </w:p>
    <w:p>
      <w:pPr>
        <w:jc w:val="both"/>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To help ensure that all eligible patients have access to JAKAFI, we have established a patient assistance program called IncyteCARES (CARES stands for Connecting to Access, Reimbursement, Education and Support). IncyteCARES helps ensure that any patient with intermediate or high-risk MF, uncontrolled PV or steroid-refractory acute GVHD who meets certain eligibility criteria and is prescribed JAKAFI has access to the product regardless of ability to pay and has access to ongoing support and educational resources during treatment.</w:t>
      </w:r>
    </w:p>
    <w:p>
      <w:pPr>
        <w:spacing w:after="0" w:line="183" w:lineRule="exact"/>
        <w:rPr>
          <w:sz w:val="20"/>
          <w:szCs w:val="20"/>
          <w:color w:val="auto"/>
        </w:rPr>
      </w:pPr>
    </w:p>
    <w:p>
      <w:pPr>
        <w:jc w:val="both"/>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JAKAFI is distributed primarily through a network of specialty pharmacy providers and wholesalers that allow for efficient delivery of the medication by mail directly to patients or direct delivery to the patient’s pharmacy. Our distribution process uses a model that is well-established and familiar to physicians who practice within the oncology field.</w:t>
      </w:r>
    </w:p>
    <w:p>
      <w:pPr>
        <w:spacing w:after="0" w:line="176" w:lineRule="exact"/>
        <w:rPr>
          <w:sz w:val="20"/>
          <w:szCs w:val="20"/>
          <w:color w:val="auto"/>
        </w:rPr>
      </w:pPr>
    </w:p>
    <w:p>
      <w:pPr>
        <w:jc w:val="both"/>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To further support appropriate use and future development of JAKAFI, our U.S. Medical Affairs department is responsible for providing appropriate scientific and medical education and information to physicians, preparing scientific presentations and publications, and overseeing the process for supporting investigator sponsored trials.</w:t>
      </w:r>
    </w:p>
    <w:p>
      <w:pPr>
        <w:spacing w:after="0" w:line="174" w:lineRule="exact"/>
        <w:rPr>
          <w:sz w:val="20"/>
          <w:szCs w:val="20"/>
          <w:color w:val="auto"/>
        </w:rPr>
      </w:pPr>
    </w:p>
    <w:p>
      <w:pPr>
        <w:jc w:val="both"/>
        <w:ind w:left="40" w:right="5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Myelofibrosis. </w:t>
      </w:r>
      <w:r>
        <w:rPr>
          <w:rFonts w:ascii="Times New Roman" w:cs="Times New Roman" w:eastAsia="Times New Roman" w:hAnsi="Times New Roman"/>
          <w:sz w:val="18"/>
          <w:szCs w:val="18"/>
          <w:color w:val="auto"/>
        </w:rPr>
        <w:t>Myelofibrosis is a rare, life-threatening condition. MF, considered the most serious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myeloproliferative neoplasms, can occur either as primary MF, or as secondary MF that develops in some patients who previously had polycythemia vera or essential thrombocythemia. We estimate there are between 16,000 and 18,500 patients with MF in the United States. Based on the modern prognostic scoring systems referred to as International Prognostic Scoring System and Dynamic International Prognostic Scoring System, we believe intermediate and high-risk patients represent 80% to 90% of all patients with MF in the United States and encompass patients over the age of 65, or patients who have or have ever had any of the following: anemia, constitutional symptoms, elevated white blood cell or blast counts, or platelet counts less than 100,000 per microliter of blood.</w:t>
      </w:r>
    </w:p>
    <w:p>
      <w:pPr>
        <w:spacing w:after="0" w:line="187" w:lineRule="exact"/>
        <w:rPr>
          <w:sz w:val="20"/>
          <w:szCs w:val="20"/>
          <w:color w:val="auto"/>
        </w:rPr>
      </w:pPr>
    </w:p>
    <w:p>
      <w:pPr>
        <w:jc w:val="both"/>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Most MF patients have enlarged spleens and many suffer from debilitating symptoms, including abdominal discomfort, pruritus (itching), night sweats and cachexia (involuntary weight loss). There were no FDA approved therapies for MF until the approval of JAKAFI.</w:t>
      </w:r>
    </w:p>
    <w:p>
      <w:pPr>
        <w:spacing w:after="0" w:line="176" w:lineRule="exact"/>
        <w:rPr>
          <w:sz w:val="20"/>
          <w:szCs w:val="20"/>
          <w:color w:val="auto"/>
        </w:rPr>
      </w:pPr>
    </w:p>
    <w:p>
      <w:pPr>
        <w:jc w:val="both"/>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The FDA approval was based on results from two randomized Phase III trials (COMFORT-I and COMFORT-II), which demonstrated that patients treated with JAKAFI experienced significant reductions in splenomegaly (enlarged spleen). COMFORT-I also demonstrated improvements in symptoms. The most common hematologic adverse reactions in both trials were thrombocytopenia and anemia. These events rarely led to discontinuation of JAKAFI treatment. The most common non-hematologic adverse reactions were bruising, dizziness and headache.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In August 2014, the FDA approved supplemental labeling for JAKAFI to include Kaplan-Meier overall survival curves as well as additional safety and dosing information. The overall survival information is based on three-year data from COMFORT-I and II, and shows that at three years the probability of survival for patients treated with JAKAFI in COMFORT-I was 70% and for those patients originally randomized to placebo it was 61%. In COMFORT-II, at three years the probability of survival for patients treated with JAKAFI was 79% and for patients originally randomized to best available therapy it was 59%. In December 2016, we announced an exploratory pooled analysis of data from the five-year follow-up of the COMFORT-I and COMFORT-II trials of patients treated with JAKAFI, which further supported previously published overall survival findings.</w:t>
      </w:r>
    </w:p>
    <w:p>
      <w:pPr>
        <w:spacing w:after="0" w:line="192" w:lineRule="exact"/>
        <w:rPr>
          <w:sz w:val="20"/>
          <w:szCs w:val="20"/>
          <w:color w:val="auto"/>
        </w:rPr>
      </w:pPr>
    </w:p>
    <w:p>
      <w:pPr>
        <w:jc w:val="both"/>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In September 2016, we announced that JAKAFI had been included as a recommended treatment in the latest National Comprehensive Cancer Network (NCCN) Clinical Practice Guidelines in Oncology for myelofibrosis, underscoring the important and long-term clinical benefits seen in patients treated with JAKAFI.</w:t>
      </w:r>
    </w:p>
    <w:p>
      <w:pPr>
        <w:spacing w:after="0" w:line="176" w:lineRule="exact"/>
        <w:rPr>
          <w:sz w:val="20"/>
          <w:szCs w:val="20"/>
          <w:color w:val="auto"/>
        </w:rPr>
      </w:pPr>
    </w:p>
    <w:p>
      <w:pPr>
        <w:jc w:val="both"/>
        <w:ind w:left="40" w:right="59" w:firstLine="648"/>
        <w:spacing w:after="0" w:line="236" w:lineRule="auto"/>
        <w:rPr>
          <w:sz w:val="20"/>
          <w:szCs w:val="20"/>
          <w:color w:val="auto"/>
        </w:rPr>
      </w:pPr>
      <w:r>
        <w:rPr>
          <w:rFonts w:ascii="Times New Roman" w:cs="Times New Roman" w:eastAsia="Times New Roman" w:hAnsi="Times New Roman"/>
          <w:sz w:val="18"/>
          <w:szCs w:val="18"/>
          <w:color w:val="auto"/>
        </w:rPr>
        <w:t>In October 2017, the FDA approved updated labeling for JAKAFI to include the addition of new patient-reported outcome (PRO) data from the COMFORT-I study, as well as updating the warning related to progressive multifocal leukoencephalopathy. An exploratory analysis of PRO data of patients with myelofibrosis receiving JAKAFI showed improvement in fatigue-related symptoms at Week 24. Fatigue response (defined as a reduction of 4.5 points or more from baseline in the PROMIS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Fatigue total score) was reported in 35% of patients treated with JAKAFI versus 14% of the patients treated with placebo.</w:t>
      </w:r>
    </w:p>
    <w:p>
      <w:pPr>
        <w:spacing w:after="0" w:line="198" w:lineRule="exact"/>
        <w:rPr>
          <w:sz w:val="20"/>
          <w:szCs w:val="20"/>
          <w:color w:val="auto"/>
        </w:rPr>
      </w:pPr>
    </w:p>
    <w:p>
      <w:pPr>
        <w:jc w:val="both"/>
        <w:ind w:left="40" w:right="5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Polycythemia Vera. </w:t>
      </w:r>
      <w:r>
        <w:rPr>
          <w:rFonts w:ascii="Times New Roman" w:cs="Times New Roman" w:eastAsia="Times New Roman" w:hAnsi="Times New Roman"/>
          <w:sz w:val="18"/>
          <w:szCs w:val="18"/>
          <w:color w:val="auto"/>
        </w:rPr>
        <w:t>PV is a myeloproliferative neoplasm typically characterized by elevated hematocrit,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volume percentage of red blood cells in whole blood, which can lead to a thickening of the blood and an increased risk of blood clots, as well as an elevated white blood cell and platelet count. When phlebotomy can no longer control PV, chemotherapy such as hydroxyurea, or interferon, is utilized. Approximately 25,000 patients with PV in the United States are considered uncontrolled because they have an inadequate response to or are intolerant of hydroxyurea, the most commonly used chemotherapeutic agent for the treatment of PV.</w:t>
      </w:r>
    </w:p>
    <w:p>
      <w:pPr>
        <w:spacing w:after="0" w:line="184" w:lineRule="exact"/>
        <w:rPr>
          <w:sz w:val="20"/>
          <w:szCs w:val="20"/>
          <w:color w:val="auto"/>
        </w:rPr>
      </w:pPr>
    </w:p>
    <w:p>
      <w:pPr>
        <w:jc w:val="both"/>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In December 2014, the FDA approved JAKAFI for the treatment of patients with PV who have had an inadequate response to or are intolerant of hydroxyurea. The approval of JAKAFI for PV was based on data from the pivotal Phase III RESPONSE trial. In this trial, patients treated with JAKAFI demonstrated superior hematocrit control and reductions in spleen volume compared to best available therapy. In addition, a greater proportion of patients treated with JAKAFI achieved complete hematologic remission—which was defined as achieving hematocrit control, and lowering platelet and white blood cell counts. In the RESPONSE trial, the most common hematologic adverse reactions (incidence &gt; 20%) were thrombocytopenia and anemia. The most common non-hematologic adverse events (incidence &gt;10%) were headache, abdominal pain, diarrhea, dizziness, fatigue, pruritus, dyspnea and muscle spasms.</w:t>
      </w:r>
    </w:p>
    <w:p>
      <w:pPr>
        <w:spacing w:after="0" w:line="192"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In March 2016, the FDA approved supplemental labeling for JAKAFI to include additional safety data as well as efficacy analyses from the RESPONSE trial to assess the durability of response in JAKAFI treated patients after 80 weeks. At this time, 83% patients were still on treatment, and 76% of the responders at 32 weeks maintained their response through 80 weeks.</w:t>
      </w:r>
    </w:p>
    <w:p>
      <w:pPr>
        <w:spacing w:after="0" w:line="180"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In June 2016, we announced data from the Phase III RESPONSE-2 study of JAKAFI in patients with inadequately controlled PV that was resistant to or intolerant of hydroxyurea who did not have an enlarged spleen. These data showed that JAKAFI was superior to best available therapy in maintaining hematocrit control (62.2% vs. 18.7%, respectively; P&lt;0.0001) without the need for phlebotomy.</w:t>
      </w:r>
    </w:p>
    <w:p>
      <w:pPr>
        <w:spacing w:after="0" w:line="180" w:lineRule="exact"/>
        <w:rPr>
          <w:sz w:val="20"/>
          <w:szCs w:val="20"/>
          <w:color w:val="auto"/>
        </w:rPr>
      </w:pPr>
    </w:p>
    <w:p>
      <w:pPr>
        <w:jc w:val="both"/>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In August 2017, we announced that JAKAFI had been included as a recommended treatment in the latest NCCN Guidelines for patients with polycythemia vera who have had an inadequate response to first-line therapies, such as hydroxyurea.</w:t>
      </w:r>
    </w:p>
    <w:p>
      <w:pPr>
        <w:spacing w:after="0" w:line="174" w:lineRule="exact"/>
        <w:rPr>
          <w:sz w:val="20"/>
          <w:szCs w:val="20"/>
          <w:color w:val="auto"/>
        </w:rPr>
      </w:pPr>
    </w:p>
    <w:p>
      <w:pPr>
        <w:jc w:val="both"/>
        <w:ind w:left="40" w:right="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Graft-versus-host disease. </w:t>
      </w:r>
      <w:r>
        <w:rPr>
          <w:rFonts w:ascii="Times New Roman" w:cs="Times New Roman" w:eastAsia="Times New Roman" w:hAnsi="Times New Roman"/>
          <w:sz w:val="18"/>
          <w:szCs w:val="18"/>
          <w:color w:val="auto"/>
        </w:rPr>
        <w:t>GVHD is a condition that can occur after an allogeneic HSCT (the transfer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genetically dissimilar stem cells or tissue). In GVHD, the donated bone marrow or peripheral blood stem cells view the recipient’s body as foreign and attack various tissues. 12-month survival rates in patients with Grade III or IV steroid-</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82" w:lineRule="auto"/>
        <w:rPr>
          <w:sz w:val="20"/>
          <w:szCs w:val="20"/>
          <w:color w:val="auto"/>
        </w:rPr>
      </w:pPr>
      <w:r>
        <w:rPr>
          <w:rFonts w:ascii="Times New Roman" w:cs="Times New Roman" w:eastAsia="Times New Roman" w:hAnsi="Times New Roman"/>
          <w:sz w:val="18"/>
          <w:szCs w:val="18"/>
          <w:color w:val="auto"/>
        </w:rPr>
        <w:t>refractory acute GVHD are 50% or less, and the incidence of steroid-refractory acute and chronic GVHD is approximately 3,000 per year in the United States.</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June 2016, we announced that the FDA granted Breakthrough Therapy designation for ruxolitinib in patients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with acute GVHD. In May 2019, the FDA approved JAKAFI for the treatment of steroid-refractory acute GVHD in adult</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and pediatric patients 12 years and older. The approval was based on data from REACH1, an open-label, single-arm,</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multicenter study of JAKAFI in combination with corticosteroids in patients with steroid-refractory grade II-IV acute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GVHD. The overall response rate (ORR) in patients refractory to steroids alone was 57% with a complete response (CR)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rate of 31%. The most frequently reported adverse reactions among all study participants were infections (55%) and edema</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(51%), and the most common laboratory abnormalities were anemia (75%), thrombocytopenia (75%) and neutropenia</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(58%).</w:t>
      </w:r>
    </w:p>
    <w:p>
      <w:pPr>
        <w:spacing w:after="0" w:line="207"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We have retained all development and commercialization rights to JAKAFI in the United States and are eligible to receive development and sales milestones as well as royalties from product sales outside the United States. We hold patents that cover the composition of matter and use of ruxolitinib, which patents, including applicable extensions, expire in late 2027.</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Marketed Indications - ICLUSIG (ponatinib)</w:t>
      </w:r>
    </w:p>
    <w:p>
      <w:pPr>
        <w:spacing w:after="0" w:line="229"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In June 2016, we acquired the European operations of ARIAD Pharmaceuticals, Inc. (ARIAD) and obtained an exclusive license to develop and commercialize ICLUSIG (ponatinib) in Europe and other select countries. ICLUSIG is a kinase inhibitor. The primary target for ICLUSIG is BCR-ABL, an abnormal tyrosine kinase that is expressed in chronic myeloid leukemia (CML) and Philadelphia-chromosome positive acute lymphoblastic leukemia (Ph+ ALL).</w:t>
      </w:r>
    </w:p>
    <w:p>
      <w:pPr>
        <w:spacing w:after="0" w:line="180" w:lineRule="exact"/>
        <w:rPr>
          <w:sz w:val="20"/>
          <w:szCs w:val="20"/>
          <w:color w:val="auto"/>
        </w:rPr>
      </w:pPr>
    </w:p>
    <w:p>
      <w:pPr>
        <w:jc w:val="both"/>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In the European Union, ICLUSIG is approved for the treatment of adult patients with chronic phase, accelerated phase or blast phase CML who are resistant to dasatinib or nilotinib; who are intolerant to dasatinib or nilotinib and for whom subsequent treatment with imatinib is not clinically appropriate; or who have the T315I mutation, or the treatment of adult patients with Ph+ ALL who are resistant to dasatinib; who are intolerant to dasatinib and for whom subsequent treatment with imatinib is not clinically appropriate; or who have the T315I mutation.</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Marketed Indications - PEMAZYRE (pemigatinib)</w:t>
      </w:r>
    </w:p>
    <w:p>
      <w:pPr>
        <w:spacing w:after="0" w:line="229" w:lineRule="exact"/>
        <w:rPr>
          <w:sz w:val="20"/>
          <w:szCs w:val="20"/>
          <w:color w:val="auto"/>
        </w:rPr>
      </w:pPr>
    </w:p>
    <w:p>
      <w:pPr>
        <w:jc w:val="both"/>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In April 2020, we announced that the FDA approved PEMAZYRE (pemigatinib), a selective fibroblast growth factor receptor (FGFR) inhibitor, for the treatment of adults with previously treated, unresectable locally advanced or metastatic cholangiocarcinoma with an FGFR2 fusion or other rearrangement as detected by an FDA-approved test. PEMAZYRE is the first and only FDA-approved treatment for this indication, which was approved under accelerated approval based on overall response rate and duration of response (DOR).</w:t>
      </w:r>
    </w:p>
    <w:p>
      <w:pPr>
        <w:spacing w:after="0" w:line="183" w:lineRule="exact"/>
        <w:rPr>
          <w:sz w:val="20"/>
          <w:szCs w:val="20"/>
          <w:color w:val="auto"/>
        </w:rPr>
      </w:pPr>
    </w:p>
    <w:p>
      <w:pPr>
        <w:jc w:val="both"/>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Cholangiocarcinoma is a rare cancer that arises from the cells within the bile ducts. It is often diagnosed late (stages III and IV) and the prognosis is poor. The incidence of cholangiocarcinoma with FGFR2 fusions or rearrangements is increasing, and it is currently estimated that there are 2,000-3,000 patients in the United States, Europe and Japan.</w:t>
      </w:r>
    </w:p>
    <w:p>
      <w:pPr>
        <w:spacing w:after="0" w:line="176" w:lineRule="exact"/>
        <w:rPr>
          <w:sz w:val="20"/>
          <w:szCs w:val="20"/>
          <w:color w:val="auto"/>
        </w:rPr>
      </w:pPr>
    </w:p>
    <w:p>
      <w:pPr>
        <w:jc w:val="both"/>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The approval of PEMAZYRE was based on data from FIGHT-202, a multi-center, open-label, single-arm study evaluating PEMAZYRE as a treatment for adults with cholangiocarcinoma. In FIGHT-202, and in patients harboring FGFR2 fusions or rearrangements (Cohort A), PEMAZYRE monotherapy resulted in an overall response rate of 36% (primary endpoint), and median DOR of 9.1 months (secondary endpoint). Warnings and precautions included in the PEMAZYRE prescribing information include potential for eye problems such as dry or inflamed eyes, inflamed cornea, increased tears and a disorder of the retina; high levels of phosphate in the blood; and, for women who are pregnant, a risk of harm to the unborn baby or loss of pregnancy. FIGHT-302, a Phase III trial of pemigatinib for the first-line treatment of patients with cholangiocarcinoma and FGFR2 fusions or rearrangements, is ongoing.</w:t>
      </w:r>
    </w:p>
    <w:p>
      <w:pPr>
        <w:spacing w:after="0" w:line="192" w:lineRule="exact"/>
        <w:rPr>
          <w:sz w:val="20"/>
          <w:szCs w:val="20"/>
          <w:color w:val="auto"/>
        </w:rPr>
      </w:pPr>
    </w:p>
    <w:p>
      <w:pPr>
        <w:jc w:val="both"/>
        <w:ind w:left="40" w:right="59" w:firstLine="648"/>
        <w:spacing w:after="0" w:line="282" w:lineRule="auto"/>
        <w:rPr>
          <w:sz w:val="20"/>
          <w:szCs w:val="20"/>
          <w:color w:val="auto"/>
        </w:rPr>
      </w:pPr>
      <w:r>
        <w:rPr>
          <w:rFonts w:ascii="Times New Roman" w:cs="Times New Roman" w:eastAsia="Times New Roman" w:hAnsi="Times New Roman"/>
          <w:sz w:val="18"/>
          <w:szCs w:val="18"/>
          <w:color w:val="auto"/>
        </w:rPr>
        <w:t>We have retained all rights to PEMAZYRE globally, other than those granted to Innovent Biologics, Inc. to develop and commercialize pemigatinib in hematology and oncology in mainland China, Hong Kong, Macau and Taiwan.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Marketed Indications - MONJUVI (tafasitamab-cxix)</w:t>
      </w:r>
    </w:p>
    <w:p>
      <w:pPr>
        <w:spacing w:after="0" w:line="229" w:lineRule="exact"/>
        <w:rPr>
          <w:sz w:val="20"/>
          <w:szCs w:val="20"/>
          <w:color w:val="auto"/>
        </w:rPr>
      </w:pPr>
    </w:p>
    <w:p>
      <w:pPr>
        <w:jc w:val="both"/>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In January 2020, we and MorphoSys AG entered into a collaboration and license agreement to further develop and commercialize MorphoSys' proprietary anti-CD19 antibody tafasitamab (MOR208) globally. The agreement became effective March 2020. Tafasitamab is an Fc-engineered antibody against CD19 currently in clinical development for the treatment of B cell malignancies. We have rights to co-commercialize tafasitamab in the United States with MorphoSys, and we have exclusive development and commercialization rights outside of the United States.</w:t>
      </w:r>
    </w:p>
    <w:p>
      <w:pPr>
        <w:spacing w:after="0" w:line="183" w:lineRule="exact"/>
        <w:rPr>
          <w:sz w:val="20"/>
          <w:szCs w:val="20"/>
          <w:color w:val="auto"/>
        </w:rPr>
      </w:pPr>
    </w:p>
    <w:p>
      <w:pPr>
        <w:jc w:val="both"/>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In July 2020, we and MorphoSys announced that the FDA approved MONJUVI (tafasitamab-cxix), which is indicated in combination with lenalidomide for the treatment of adult patients with relapsed or refractory diffuse large B-cell lymphoma (DLBCL) not otherwise specified, including DLBCL arising from low grade lymphoma, and who are not eligible for autologous stem cell transplant (ASCT). MONJUVI was approved under accelerated approval based on overall response rate.</w:t>
      </w:r>
    </w:p>
    <w:p>
      <w:pPr>
        <w:spacing w:after="0" w:line="183" w:lineRule="exact"/>
        <w:rPr>
          <w:sz w:val="20"/>
          <w:szCs w:val="20"/>
          <w:color w:val="auto"/>
        </w:rPr>
      </w:pPr>
    </w:p>
    <w:p>
      <w:pPr>
        <w:jc w:val="both"/>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In August 2020, we and MorphoSys announced that MONJUVI in combination with lenalidomide had been included in the latest National Comprehensive Cancer Network (NCCN) Clinical Practice Guidelines in Oncology for B-cell Lymphomas.</w:t>
      </w:r>
    </w:p>
    <w:p>
      <w:pPr>
        <w:spacing w:after="0" w:line="176" w:lineRule="exact"/>
        <w:rPr>
          <w:sz w:val="20"/>
          <w:szCs w:val="20"/>
          <w:color w:val="auto"/>
        </w:rPr>
      </w:pPr>
    </w:p>
    <w:p>
      <w:pPr>
        <w:jc w:val="both"/>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DLBCL is the most common type of non-Hodgkin lymphoma in adults worldwide, comprising 40% of all cases. DLBCL is characterized by rapidly growing masses of malignant B-cells in the lymph nodes, spleen, liver, bone marrow or other organs. It is an aggressive disease with ~40% of patients not responding to initial therapy or relapsing thereafter. We estimate that there are ~10.000 patients diagnosed in the United States each year with relapsed or refractory diffuse large B-cell lymphoma (r/r DLBCL) who are not eligible for ASCT.</w:t>
      </w:r>
    </w:p>
    <w:p>
      <w:pPr>
        <w:spacing w:after="0" w:line="183"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The approval of MONJUVI was based on data from the MorphoSys-sponsored Phase II L-MIND study, an open label, multicenter, single arm trial of MONJUVI in combination with lenalidomide as a treatment for adult patients with r/r DLBCL. Results from the study showed an objective response rate (ORR) of 55% (39 out of 71 patients; primary endpoint) and a complete response (CR) rate of 37% (26 out of 71 patients). The median duration of response (mDOR) was 21.7 months. The most frequent serious adverse reactions were infections (26%), including pneumonia (7%) and febrile neutropenia (6%).</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Clinical Programs in Oncology</w:t>
      </w:r>
    </w:p>
    <w:p>
      <w:pPr>
        <w:spacing w:after="0" w:line="229" w:lineRule="exact"/>
        <w:rPr>
          <w:sz w:val="20"/>
          <w:szCs w:val="20"/>
          <w:color w:val="auto"/>
        </w:rPr>
      </w:pPr>
    </w:p>
    <w:p>
      <w:pPr>
        <w:jc w:val="both"/>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We believe that the future of cancer treatment lies in the use of targeted therapies, which aim to block the effects of cancer-causing mutations, and immune therapies, which seek to recruit the patient’s own immune system to tackle cancer. Our most advanced programs are detailed below.</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JAK Inhibition</w:t>
      </w:r>
    </w:p>
    <w:p>
      <w:pPr>
        <w:spacing w:after="0" w:line="229" w:lineRule="exact"/>
        <w:rPr>
          <w:sz w:val="20"/>
          <w:szCs w:val="20"/>
          <w:color w:val="auto"/>
        </w:rPr>
      </w:pPr>
    </w:p>
    <w:p>
      <w:pPr>
        <w:jc w:val="both"/>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As part of our ongoing LIMBER (Leadership In MPNs BEyond Ruxolitinib) clinical development initiative, which is designed to improve and expand therapeutic options for patients with myeloproliferative neoplasms, we are evaluating combinations of ruxolitinib with other therapeutic modalities, as well as developing a once-a-day formulation of ruxolitinib for potential use as monotherapy and combination therapy. Based on positive Phase II data, we are preparing a pivotal trial program of ruxolitinib in combination with parsaclisib (PI3Kδ) as both first-line therapy for MF patients and in MF patients with an inadequate response to ruxolitinib monotherapy. Additional Phase II trials combining ruxolitinib with investigational agents from our portfolio such as INCB57643 (BET) and INCB00928 (ALK2) in patients with MF are in preparation.</w:t>
      </w:r>
    </w:p>
    <w:p>
      <w:pPr>
        <w:spacing w:after="0" w:line="192"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As part of our development efforts to evaluate JAK inhibition in GVHD, the REACH clinical program is evaluating ruxolitinib in patients with steroid-refractory GVHD and includes REACH2, a Novartis-sponsored Phase III trial in steroid-refractory acute GVHD, and REACH3, a Phase III trial in steroid-refractory chronic GVHD that is co-sponsored by Incyte and Novartis.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In October 2019, we and Novartis announced that REACH2 met its primary endpoint of superior ORR at Day 28 with ruxolitinib treatment compared to best available therapy. No new safety signals were observed, and the ruxolitinib safety profile in REACH2 was consistent with that seen in previously reported studies in steroid-refractory acute GVHD. In April 2020, we and Novartis announced that data from REACH2 were published in The New England Journal of Medicine.</w:t>
      </w:r>
    </w:p>
    <w:p>
      <w:pPr>
        <w:spacing w:after="0" w:line="180"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In July 2020, we and Novartis announced that REACH3 met its primary endpoint of superior ORR at Month 6 with ruxolitinib treatment compared to best available therapy, as well as both key secondary endpoints, significantly improving patient-reported symptoms and failure-free survival. No new safety signals were observed, and the ruxolitinib safety profile in REACH3 was consistent with that seen in previously reported studies in steroid-refractory chronic GVHD.</w:t>
      </w:r>
    </w:p>
    <w:p>
      <w:pPr>
        <w:spacing w:after="0" w:line="180" w:lineRule="exact"/>
        <w:rPr>
          <w:sz w:val="20"/>
          <w:szCs w:val="20"/>
          <w:color w:val="auto"/>
        </w:rPr>
      </w:pPr>
    </w:p>
    <w:p>
      <w:pPr>
        <w:jc w:val="both"/>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A second JAK inhibitor in development is itacitinib, which is a selective JAK1 inhibitor. Itacitinib is being evaluated in GRAVITAS-309, a pivotal Phase III trial of itacitinib in patients with steroid-naïve chronic GVHD. The FDA has granted itacitinib orphan drug status for GVHD.</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FGFR Inhibition</w:t>
      </w:r>
    </w:p>
    <w:p>
      <w:pPr>
        <w:spacing w:after="0" w:line="229" w:lineRule="exact"/>
        <w:rPr>
          <w:sz w:val="20"/>
          <w:szCs w:val="20"/>
          <w:color w:val="auto"/>
        </w:rPr>
      </w:pPr>
    </w:p>
    <w:p>
      <w:pPr>
        <w:jc w:val="both"/>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Pemigatinib is a potent and selective inhibitor of the fibroblast growth factor receptor (FGFR) isoforms 1, 2 and 3 with demonstrated activity in preclinical studies. The FGFR family of receptor tyrosine kinases can act as oncogenic drivers in a number of liquid and solid tumor types.</w:t>
      </w:r>
    </w:p>
    <w:p>
      <w:pPr>
        <w:spacing w:after="0" w:line="176" w:lineRule="exact"/>
        <w:rPr>
          <w:sz w:val="20"/>
          <w:szCs w:val="20"/>
          <w:color w:val="auto"/>
        </w:rPr>
      </w:pPr>
    </w:p>
    <w:p>
      <w:pPr>
        <w:jc w:val="both"/>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We initiated the FIGHT clinical program to evaluate pemigatinib across a spectrum of cancers that are driven by FGF/FGFR alterations. The program initially included three Phase II trials – FIGHT-201 in patients with bladder cancer, FIGHT-202 in patients with cholangiocarcinoma, and FIGHT-203 in patients with 8p11 myeloproliferative syndrome (8p11 MPN). Based on data generated from these ongoing trials, we have initiated additional trials, including FIGHT-207, which is a solid tumor-agnostic trial evaluating pemigatinib in patients with driver-alterations of FGF/FGFR.</w:t>
      </w:r>
    </w:p>
    <w:p>
      <w:pPr>
        <w:spacing w:after="0" w:line="183" w:lineRule="exact"/>
        <w:rPr>
          <w:sz w:val="20"/>
          <w:szCs w:val="20"/>
          <w:color w:val="auto"/>
        </w:rPr>
      </w:pPr>
    </w:p>
    <w:p>
      <w:pPr>
        <w:jc w:val="both"/>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In April 2020, we announced the FDA approval of pemigatinib as PEMAZYRE for the treatment of adults with previously treated, unresectable locally advanced or metastatic cholangiocarcinoma with an FGFR2 fusion or other rearrangement as detected by an FDA-approved test. Pemigatinib was previously granted Breakthrough Therapy designation by the FDA as a treatment for patients with previously treated, advanced/metastatic or unresectable FGFR2 translocated cholangiocarcinoma and has Breakthrough Therapy designation as a treatment for patients with myeloid/lymphoid neoplasms with FGFR1 rearrangement (8p11 MPN) who have relapsed or are refractory to initial chemotherapy.</w:t>
      </w:r>
    </w:p>
    <w:p>
      <w:pPr>
        <w:spacing w:after="0" w:line="189" w:lineRule="exact"/>
        <w:rPr>
          <w:sz w:val="20"/>
          <w:szCs w:val="20"/>
          <w:color w:val="auto"/>
        </w:rPr>
      </w:pPr>
    </w:p>
    <w:p>
      <w:pPr>
        <w:jc w:val="both"/>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In January 2020, we announced that the Marketing Authorization Application (MAA) for pemigatinib as a treatment of adults with locally advanced or metastatic cholangiocarcinoma (CCA) with an FGFR2 fusion or rearrangement that is relapsed or refractory after at least one line of systemic therapy had been validated by the European Medicines Agency (EMA). In September 2020, we submitted a J-NDA seeking approval for pemigatinib as a treatment for CCA in Japan. In October 2020, we announced that Health Canada accepted the New Drug Submission (NDS) for pemigatinib as a treatment for adults with previously treated, locally advanced or metastatic cholangiocarcinoma with FGFR2 fusion or other rearrangement.</w:t>
      </w:r>
    </w:p>
    <w:p>
      <w:pPr>
        <w:spacing w:after="0" w:line="189"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Given the rapidly evolving treatment landscape for bladder cancer and recent regulatory feedback, we are reevaluating our development strategy for pemigatinib in bladder cancer. As part of that reevaluation, new patient recruitment into FIGHT-205, which is assessing pemigatinib in cisplatin-ineligible bladder cancer patients whose tumors express FGFR3 mutation or rearrangement, has been stopped, and we no longer intend to use data from FIGHT-201 to seek accelerated approval for pemigatinib in patients with previously treated bladder cancer whose tumors express FGFR3 mutation or rearrangement.</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CD19 antagonism</w:t>
      </w:r>
    </w:p>
    <w:p>
      <w:pPr>
        <w:spacing w:after="0" w:line="229" w:lineRule="exact"/>
        <w:rPr>
          <w:sz w:val="20"/>
          <w:szCs w:val="20"/>
          <w:color w:val="auto"/>
        </w:rPr>
      </w:pPr>
    </w:p>
    <w:p>
      <w:pPr>
        <w:jc w:val="both"/>
        <w:ind w:left="40" w:right="59" w:firstLine="648"/>
        <w:spacing w:after="0" w:line="282" w:lineRule="auto"/>
        <w:rPr>
          <w:sz w:val="20"/>
          <w:szCs w:val="20"/>
          <w:color w:val="auto"/>
        </w:rPr>
      </w:pPr>
      <w:r>
        <w:rPr>
          <w:rFonts w:ascii="Times New Roman" w:cs="Times New Roman" w:eastAsia="Times New Roman" w:hAnsi="Times New Roman"/>
          <w:sz w:val="18"/>
          <w:szCs w:val="18"/>
          <w:color w:val="auto"/>
        </w:rPr>
        <w:t>Tafasitamab is an anti-CD19 antibody and is being investigated as a therapeutic option in B cell malignancies in a number of ongoing and planned combination trials. An open-label Phase II combination trial (L-MIND) is investigating</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the safety and efficacy of tafasitamab in combination with lenalidomide in patients with relapsed or refractory diffuse large B-cell lymphoma (r/r DLBCL), and the ongoing Phase III B-MIND trial is assessing the combination of tafasitamab and bendamustine versus rituximab and bendamustine in r/r DLBCL. First-MIND is a Phase Ib safety trial of tafasitamab as a first-line therapy for patients with DLBCL, and Front-MIND, a placebo-controlled Phase III trial evaluating tafasitamab in combination with lenalidomide added to rituximab plus chemotherapy (R-CHOP) as a first-line therapy for patients with DLBCL, is planned to begin in 2021. A proof-of-concept study of tafasitamab in combination with parsaclisib (PI3Kδ) in patients with relapsed or refractory B-cell malignancies is in preparation, as is a placebo-controlled Phase III trial of tafasitamab added to lenalidomide plus rituximab in patients with relapsed or refractory follicular lymphoma.</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PI3Kδ Inhibition</w:t>
      </w:r>
    </w:p>
    <w:p>
      <w:pPr>
        <w:spacing w:after="0" w:line="229"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The PI3Kδ pathway mediates oncogenic signaling in B cell malignancies. Parsaclisib is a PI3Kδ inhibitor that has demonstrated potency and selectivity in preclinical studies and has potential therapeutic utility in the treatment of patients with lymphoma. We initiated the CITADEL clinical program to evaluate parsaclisib in non-Hodgkin lymphomas, and we are currently running Phase II trials in follicular lymphoma, marginal zone lymphoma and mantle cell lymphoma. The FDA has granted orphan drug designation and Fast Track designation to parsaclisib as a treatment for patients with follicular lymphoma, marginal zone lymphoma and mantle cell lymphoma.</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PD-1 Antagonism</w:t>
      </w:r>
    </w:p>
    <w:p>
      <w:pPr>
        <w:spacing w:after="0" w:line="229"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In October 2017, we and MacroGenics, Inc. announced an exclusive global collaboration and license agreement for MacroGenics’ retifanlimab (formerly INCMGA0012), an investigational monoclonal antibody that inhibits PD-1. Under this collaboration, we obtained exclusive worldwide rights for the development and commercialization of retifanlimab in all indications. The molecule is currently being evaluated both as monotherapy and in combination therapy across various tumor types. Potentially registration-enabling trials in squamous cell anal carcinoma (SCAC), microsatellite instability-high (MSI-H) endometrial cancer and Merkel cell carcinoma are ongoing.</w:t>
      </w:r>
    </w:p>
    <w:p>
      <w:pPr>
        <w:spacing w:after="0" w:line="187"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In September 2020, we announced initial results from the Phase II POD1UM-202 trial of retifanlimab in patients with advanced SCAC who have progressed following standard platinum-based chemotherapy. The Phase III POD1UM-303 trial of retifanlimab in combination with platinum-based chemotherapy as a first-line treatment for patients with SCAC is open for recruitment.</w:t>
      </w:r>
    </w:p>
    <w:p>
      <w:pPr>
        <w:spacing w:after="0" w:line="180" w:lineRule="exact"/>
        <w:rPr>
          <w:sz w:val="20"/>
          <w:szCs w:val="20"/>
          <w:color w:val="auto"/>
        </w:rPr>
      </w:pPr>
    </w:p>
    <w:p>
      <w:pPr>
        <w:jc w:val="both"/>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The Phase III POD1UM-304 trial evaluating retifanlimab in combination with platinum-based chemotherapy as a first-line treatment for patients with non-small cell lung cancer (NSCLC) is now recruiting patients, and in October 2020, our collaboration partner Zai Lab announced dosing of the first patient in China.</w:t>
      </w:r>
    </w:p>
    <w:p>
      <w:pPr>
        <w:spacing w:after="0" w:line="176" w:lineRule="exact"/>
        <w:rPr>
          <w:sz w:val="20"/>
          <w:szCs w:val="20"/>
          <w:color w:val="auto"/>
        </w:rPr>
      </w:pPr>
    </w:p>
    <w:p>
      <w:pPr>
        <w:jc w:val="both"/>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Retifanlimab has been granted Fast Track designation for the treatment of certain patients with advanced or metastatic MSI-H or DNA mismatch repair (dMMR) endometrial cancer and for the treatment of certain patients with locally advanced or metastatic SCAC. The FDA and EMA have granted orphan drug designation to retifanlimab as a treatment for patients with locally advanced or metastatic SCAC and the FDA has granted orphan drug designation to retifanlimab as a treatment for patients with Merkel cell carcinoma.</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252"/>
        </w:trPr>
        <w:tc>
          <w:tcPr>
            <w:tcW w:w="1980" w:type="dxa"/>
            <w:vAlign w:val="bottom"/>
            <w:tcBorders>
              <w:top w:val="single" w:sz="8" w:color="auto"/>
            </w:tcBorders>
          </w:tcPr>
          <w:p>
            <w:pPr>
              <w:spacing w:after="0"/>
              <w:rPr>
                <w:sz w:val="21"/>
                <w:szCs w:val="21"/>
                <w:color w:val="auto"/>
              </w:rPr>
            </w:pPr>
          </w:p>
        </w:tc>
        <w:tc>
          <w:tcPr>
            <w:tcW w:w="69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Indication and status</w:t>
            </w:r>
          </w:p>
        </w:tc>
      </w:tr>
      <w:tr>
        <w:trPr>
          <w:trHeight w:val="45"/>
        </w:trPr>
        <w:tc>
          <w:tcPr>
            <w:tcW w:w="1980" w:type="dxa"/>
            <w:vAlign w:val="bottom"/>
            <w:tcBorders>
              <w:bottom w:val="single" w:sz="8" w:color="auto"/>
            </w:tcBorders>
          </w:tcPr>
          <w:p>
            <w:pPr>
              <w:spacing w:after="0"/>
              <w:rPr>
                <w:sz w:val="3"/>
                <w:szCs w:val="3"/>
                <w:color w:val="auto"/>
              </w:rPr>
            </w:pPr>
          </w:p>
        </w:tc>
        <w:tc>
          <w:tcPr>
            <w:tcW w:w="6940" w:type="dxa"/>
            <w:vAlign w:val="bottom"/>
            <w:tcBorders>
              <w:bottom w:val="single" w:sz="8" w:color="auto"/>
            </w:tcBorders>
          </w:tcPr>
          <w:p>
            <w:pPr>
              <w:spacing w:after="0"/>
              <w:rPr>
                <w:sz w:val="3"/>
                <w:szCs w:val="3"/>
                <w:color w:val="auto"/>
              </w:rPr>
            </w:pPr>
          </w:p>
        </w:tc>
      </w:tr>
      <w:tr>
        <w:trPr>
          <w:trHeight w:val="142"/>
        </w:trPr>
        <w:tc>
          <w:tcPr>
            <w:tcW w:w="1980" w:type="dxa"/>
            <w:vAlign w:val="bottom"/>
            <w:shd w:val="clear" w:color="auto" w:fill="CCEEFF"/>
          </w:tcPr>
          <w:p>
            <w:pPr>
              <w:ind w:left="100"/>
              <w:spacing w:after="0" w:line="142" w:lineRule="exact"/>
              <w:rPr>
                <w:sz w:val="20"/>
                <w:szCs w:val="20"/>
                <w:color w:val="auto"/>
              </w:rPr>
            </w:pPr>
            <w:r>
              <w:rPr>
                <w:rFonts w:ascii="Times New Roman" w:cs="Times New Roman" w:eastAsia="Times New Roman" w:hAnsi="Times New Roman"/>
                <w:sz w:val="16"/>
                <w:szCs w:val="16"/>
                <w:b w:val="1"/>
                <w:bCs w:val="1"/>
                <w:color w:val="auto"/>
              </w:rPr>
              <w:t>ruxolitinib</w:t>
            </w:r>
          </w:p>
        </w:tc>
        <w:tc>
          <w:tcPr>
            <w:tcW w:w="6940" w:type="dxa"/>
            <w:vAlign w:val="bottom"/>
            <w:shd w:val="clear" w:color="auto" w:fill="CCEEFF"/>
          </w:tcPr>
          <w:p>
            <w:pPr>
              <w:ind w:left="100"/>
              <w:spacing w:after="0" w:line="142" w:lineRule="exact"/>
              <w:rPr>
                <w:sz w:val="20"/>
                <w:szCs w:val="20"/>
                <w:color w:val="auto"/>
              </w:rPr>
            </w:pPr>
            <w:r>
              <w:rPr>
                <w:rFonts w:ascii="Times New Roman" w:cs="Times New Roman" w:eastAsia="Times New Roman" w:hAnsi="Times New Roman"/>
                <w:sz w:val="12"/>
                <w:szCs w:val="12"/>
                <w:color w:val="auto"/>
              </w:rPr>
              <w:t>Steroid-refractory chronic GVHD: Phase III (REACH3)</w:t>
            </w: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2"/>
                <w:szCs w:val="12"/>
                <w:color w:val="auto"/>
              </w:rPr>
              <w:t xml:space="preserve"> primary endpoint met</w:t>
            </w:r>
          </w:p>
        </w:tc>
      </w:tr>
      <w:tr>
        <w:trPr>
          <w:trHeight w:val="216"/>
        </w:trPr>
        <w:tc>
          <w:tcPr>
            <w:tcW w:w="1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(JAK1/JAK2)</w:t>
            </w:r>
          </w:p>
        </w:tc>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Myelofibrosis: Phase III with parsaclisib (PI3Kδ) in preparation (1L and inadequate</w:t>
            </w:r>
          </w:p>
        </w:tc>
      </w:tr>
      <w:tr>
        <w:trPr>
          <w:trHeight w:val="175"/>
        </w:trPr>
        <w:tc>
          <w:tcPr>
            <w:tcW w:w="1980" w:type="dxa"/>
            <w:vAlign w:val="bottom"/>
            <w:shd w:val="clear" w:color="auto" w:fill="CCEEFF"/>
          </w:tcPr>
          <w:p>
            <w:pPr>
              <w:spacing w:after="0"/>
              <w:rPr>
                <w:sz w:val="15"/>
                <w:szCs w:val="15"/>
                <w:color w:val="auto"/>
              </w:rPr>
            </w:pPr>
          </w:p>
        </w:tc>
        <w:tc>
          <w:tcPr>
            <w:tcW w:w="694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responders to ruxolitinib); Phase II with INCB57643 (BET) and with INCB00928 (ALK2) in</w:t>
            </w:r>
          </w:p>
        </w:tc>
      </w:tr>
      <w:tr>
        <w:trPr>
          <w:trHeight w:val="234"/>
        </w:trPr>
        <w:tc>
          <w:tcPr>
            <w:tcW w:w="1980" w:type="dxa"/>
            <w:vAlign w:val="bottom"/>
            <w:shd w:val="clear" w:color="auto" w:fill="CCEEFF"/>
          </w:tcPr>
          <w:p>
            <w:pPr>
              <w:spacing w:after="0"/>
              <w:rPr>
                <w:sz w:val="20"/>
                <w:szCs w:val="20"/>
                <w:color w:val="auto"/>
              </w:rPr>
            </w:pPr>
          </w:p>
        </w:tc>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preparation</w:t>
            </w:r>
          </w:p>
        </w:tc>
      </w:tr>
      <w:tr>
        <w:trPr>
          <w:trHeight w:val="184"/>
        </w:trPr>
        <w:tc>
          <w:tcPr>
            <w:tcW w:w="1980" w:type="dxa"/>
            <w:vAlign w:val="bottom"/>
            <w:shd w:val="clear" w:color="auto" w:fill="CCEEFF"/>
          </w:tcPr>
          <w:p>
            <w:pPr>
              <w:spacing w:after="0"/>
              <w:rPr>
                <w:sz w:val="16"/>
                <w:szCs w:val="16"/>
                <w:color w:val="auto"/>
              </w:rPr>
            </w:pPr>
          </w:p>
        </w:tc>
        <w:tc>
          <w:tcPr>
            <w:tcW w:w="6940" w:type="dxa"/>
            <w:vAlign w:val="bottom"/>
            <w:shd w:val="clear" w:color="auto" w:fill="CCEEFF"/>
          </w:tcPr>
          <w:p>
            <w:pPr>
              <w:spacing w:after="0"/>
              <w:rPr>
                <w:sz w:val="16"/>
                <w:szCs w:val="16"/>
                <w:color w:val="auto"/>
              </w:rPr>
            </w:pPr>
          </w:p>
        </w:tc>
      </w:tr>
      <w:tr>
        <w:trPr>
          <w:trHeight w:val="149"/>
        </w:trPr>
        <w:tc>
          <w:tcPr>
            <w:tcW w:w="1980" w:type="dxa"/>
            <w:vAlign w:val="bottom"/>
          </w:tcPr>
          <w:p>
            <w:pPr>
              <w:ind w:left="100"/>
              <w:spacing w:after="0" w:line="149" w:lineRule="exact"/>
              <w:rPr>
                <w:sz w:val="20"/>
                <w:szCs w:val="20"/>
                <w:color w:val="auto"/>
              </w:rPr>
            </w:pPr>
            <w:r>
              <w:rPr>
                <w:rFonts w:ascii="Times New Roman" w:cs="Times New Roman" w:eastAsia="Times New Roman" w:hAnsi="Times New Roman"/>
                <w:sz w:val="17"/>
                <w:szCs w:val="17"/>
                <w:b w:val="1"/>
                <w:bCs w:val="1"/>
                <w:color w:val="auto"/>
              </w:rPr>
              <w:t>Once-a-day ruxolitinib</w:t>
            </w:r>
          </w:p>
        </w:tc>
        <w:tc>
          <w:tcPr>
            <w:tcW w:w="6940" w:type="dxa"/>
            <w:vAlign w:val="bottom"/>
          </w:tcPr>
          <w:p>
            <w:pPr>
              <w:ind w:left="100"/>
              <w:spacing w:after="0" w:line="149" w:lineRule="exact"/>
              <w:rPr>
                <w:sz w:val="20"/>
                <w:szCs w:val="20"/>
                <w:color w:val="auto"/>
              </w:rPr>
            </w:pPr>
            <w:r>
              <w:rPr>
                <w:rFonts w:ascii="Times New Roman" w:cs="Times New Roman" w:eastAsia="Times New Roman" w:hAnsi="Times New Roman"/>
                <w:sz w:val="17"/>
                <w:szCs w:val="17"/>
                <w:color w:val="auto"/>
              </w:rPr>
              <w:t>Myelofibrosis and polycythemia vera: clinical pharmacology studies</w:t>
            </w:r>
          </w:p>
        </w:tc>
      </w:tr>
      <w:tr>
        <w:trPr>
          <w:trHeight w:val="238"/>
        </w:trPr>
        <w:tc>
          <w:tcPr>
            <w:tcW w:w="19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(JAK1/JAK2)</w:t>
            </w:r>
          </w:p>
        </w:tc>
        <w:tc>
          <w:tcPr>
            <w:tcW w:w="6940" w:type="dxa"/>
            <w:vAlign w:val="bottom"/>
          </w:tcPr>
          <w:p>
            <w:pPr>
              <w:spacing w:after="0"/>
              <w:rPr>
                <w:sz w:val="20"/>
                <w:szCs w:val="20"/>
                <w:color w:val="auto"/>
              </w:rPr>
            </w:pPr>
          </w:p>
        </w:tc>
      </w:tr>
      <w:tr>
        <w:trPr>
          <w:trHeight w:val="140"/>
        </w:trPr>
        <w:tc>
          <w:tcPr>
            <w:tcW w:w="1980" w:type="dxa"/>
            <w:vAlign w:val="bottom"/>
          </w:tcPr>
          <w:p>
            <w:pPr>
              <w:spacing w:after="0"/>
              <w:rPr>
                <w:sz w:val="12"/>
                <w:szCs w:val="12"/>
                <w:color w:val="auto"/>
              </w:rPr>
            </w:pPr>
          </w:p>
        </w:tc>
        <w:tc>
          <w:tcPr>
            <w:tcW w:w="6940" w:type="dxa"/>
            <w:vAlign w:val="bottom"/>
          </w:tcPr>
          <w:p>
            <w:pPr>
              <w:spacing w:after="0"/>
              <w:rPr>
                <w:sz w:val="12"/>
                <w:szCs w:val="12"/>
                <w:color w:val="auto"/>
              </w:rPr>
            </w:pPr>
          </w:p>
        </w:tc>
      </w:tr>
      <w:tr>
        <w:trPr>
          <w:trHeight w:val="238"/>
        </w:trPr>
        <w:tc>
          <w:tcPr>
            <w:tcW w:w="1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itacitinib (JAK1)</w:t>
            </w:r>
          </w:p>
        </w:tc>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Treatment-naïve chronic GVHD: Phase III (GRAVITAS-309)</w:t>
            </w:r>
          </w:p>
        </w:tc>
      </w:tr>
      <w:tr>
        <w:trPr>
          <w:trHeight w:val="275"/>
        </w:trPr>
        <w:tc>
          <w:tcPr>
            <w:tcW w:w="1980" w:type="dxa"/>
            <w:vAlign w:val="bottom"/>
            <w:shd w:val="clear" w:color="auto" w:fill="CCEEFF"/>
          </w:tcPr>
          <w:p>
            <w:pPr>
              <w:spacing w:after="0"/>
              <w:rPr>
                <w:sz w:val="23"/>
                <w:szCs w:val="23"/>
                <w:color w:val="auto"/>
              </w:rPr>
            </w:pPr>
          </w:p>
        </w:tc>
        <w:tc>
          <w:tcPr>
            <w:tcW w:w="6940" w:type="dxa"/>
            <w:vAlign w:val="bottom"/>
            <w:shd w:val="clear" w:color="auto" w:fill="CCEEFF"/>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40"/>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pemigatinib</w:t>
      </w:r>
    </w:p>
    <w:p>
      <w:pPr>
        <w:ind w:left="140"/>
        <w:spacing w:after="0"/>
        <w:rPr>
          <w:sz w:val="20"/>
          <w:szCs w:val="20"/>
          <w:color w:val="auto"/>
        </w:rPr>
      </w:pPr>
      <w:r>
        <w:rPr>
          <w:rFonts w:ascii="Times New Roman" w:cs="Times New Roman" w:eastAsia="Times New Roman" w:hAnsi="Times New Roman"/>
          <w:sz w:val="18"/>
          <w:szCs w:val="18"/>
          <w:b w:val="1"/>
          <w:bCs w:val="1"/>
          <w:color w:val="auto"/>
        </w:rPr>
        <w:t>(FGFR)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CCA: Phase II (FIGHT-202), Phase III (FIGHT-302); MAA, NDS and J-NDA under review</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8p11 MPN: Phase II (FIGHT-203)</w:t>
      </w:r>
    </w:p>
    <w:p>
      <w:pPr>
        <w:spacing w:after="0"/>
        <w:rPr>
          <w:sz w:val="20"/>
          <w:szCs w:val="20"/>
          <w:color w:val="auto"/>
        </w:rPr>
      </w:pPr>
      <w:r>
        <w:rPr>
          <w:rFonts w:ascii="Times New Roman" w:cs="Times New Roman" w:eastAsia="Times New Roman" w:hAnsi="Times New Roman"/>
          <w:sz w:val="18"/>
          <w:szCs w:val="18"/>
          <w:color w:val="auto"/>
        </w:rPr>
        <w:t>Tumor agnostic: Phase II (FIGHT-207)</w:t>
      </w:r>
    </w:p>
    <w:p>
      <w:pPr>
        <w:spacing w:after="0" w:line="82" w:lineRule="exact"/>
        <w:rPr>
          <w:sz w:val="20"/>
          <w:szCs w:val="20"/>
          <w:color w:val="auto"/>
        </w:rPr>
      </w:pPr>
    </w:p>
    <w:p>
      <w:pPr>
        <w:sectPr>
          <w:pgSz w:w="11900" w:h="16838" w:orient="portrait"/>
          <w:cols w:equalWidth="0" w:num="2">
            <w:col w:w="1400" w:space="720"/>
            <w:col w:w="6899"/>
          </w:cols>
          <w:pgMar w:left="1440" w:top="513" w:right="1440" w:bottom="1440" w:gutter="0" w:footer="0" w:header="0"/>
        </w:sectPr>
      </w:pPr>
    </w:p>
    <w:tbl>
      <w:tblPr>
        <w:tblLayout w:type="fixed"/>
        <w:tblInd w:w="40" w:type="dxa"/>
        <w:tblCellMar>
          <w:top w:w="0" w:type="dxa"/>
          <w:left w:w="0" w:type="dxa"/>
          <w:bottom w:w="0" w:type="dxa"/>
          <w:right w:w="0" w:type="dxa"/>
        </w:tblCellMar>
      </w:tblPr>
      <w:tr>
        <w:trPr>
          <w:trHeight w:val="299"/>
        </w:trPr>
        <w:tc>
          <w:tcPr>
            <w:tcW w:w="1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tafasitamab (CD19)</w:t>
            </w:r>
            <w:r>
              <w:rPr>
                <w:rFonts w:ascii="Times New Roman" w:cs="Times New Roman" w:eastAsia="Times New Roman" w:hAnsi="Times New Roman"/>
                <w:sz w:val="26"/>
                <w:szCs w:val="26"/>
                <w:b w:val="1"/>
                <w:bCs w:val="1"/>
                <w:color w:val="auto"/>
                <w:vertAlign w:val="superscript"/>
              </w:rPr>
              <w:t>2</w:t>
            </w:r>
          </w:p>
        </w:tc>
        <w:tc>
          <w:tcPr>
            <w:tcW w:w="7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r/r DLBCL: Phase II (L-MIND); Phase III (B-MIND); MAA under review</w:t>
            </w:r>
          </w:p>
        </w:tc>
      </w:tr>
      <w:tr>
        <w:trPr>
          <w:trHeight w:val="180"/>
        </w:trPr>
        <w:tc>
          <w:tcPr>
            <w:tcW w:w="1880" w:type="dxa"/>
            <w:vAlign w:val="bottom"/>
            <w:shd w:val="clear" w:color="auto" w:fill="CCEEFF"/>
          </w:tcPr>
          <w:p>
            <w:pPr>
              <w:spacing w:after="0"/>
              <w:rPr>
                <w:sz w:val="15"/>
                <w:szCs w:val="15"/>
                <w:color w:val="auto"/>
              </w:rPr>
            </w:pPr>
          </w:p>
        </w:tc>
        <w:tc>
          <w:tcPr>
            <w:tcW w:w="7040" w:type="dxa"/>
            <w:vAlign w:val="bottom"/>
            <w:shd w:val="clear" w:color="auto" w:fill="CCEEFF"/>
          </w:tcPr>
          <w:p>
            <w:pPr>
              <w:ind w:left="200"/>
              <w:spacing w:after="0" w:line="181" w:lineRule="exact"/>
              <w:rPr>
                <w:sz w:val="20"/>
                <w:szCs w:val="20"/>
                <w:color w:val="auto"/>
              </w:rPr>
            </w:pPr>
            <w:r>
              <w:rPr>
                <w:rFonts w:ascii="Times New Roman" w:cs="Times New Roman" w:eastAsia="Times New Roman" w:hAnsi="Times New Roman"/>
                <w:sz w:val="18"/>
                <w:szCs w:val="18"/>
                <w:color w:val="auto"/>
              </w:rPr>
              <w:t>1L DLBCL: Phase Ib (First-MIND); Phase III (Front-MIND) in preparation</w:t>
            </w:r>
          </w:p>
        </w:tc>
      </w:tr>
      <w:tr>
        <w:trPr>
          <w:trHeight w:val="176"/>
        </w:trPr>
        <w:tc>
          <w:tcPr>
            <w:tcW w:w="1880" w:type="dxa"/>
            <w:vAlign w:val="bottom"/>
            <w:shd w:val="clear" w:color="auto" w:fill="CCEEFF"/>
          </w:tcPr>
          <w:p>
            <w:pPr>
              <w:spacing w:after="0"/>
              <w:rPr>
                <w:sz w:val="15"/>
                <w:szCs w:val="15"/>
                <w:color w:val="auto"/>
              </w:rPr>
            </w:pPr>
          </w:p>
        </w:tc>
        <w:tc>
          <w:tcPr>
            <w:tcW w:w="704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r/r follicular lymphoma: Phase III in preparation</w:t>
            </w:r>
          </w:p>
        </w:tc>
      </w:tr>
      <w:tr>
        <w:trPr>
          <w:trHeight w:val="234"/>
        </w:trPr>
        <w:tc>
          <w:tcPr>
            <w:tcW w:w="1880" w:type="dxa"/>
            <w:vAlign w:val="bottom"/>
            <w:shd w:val="clear" w:color="auto" w:fill="CCEEFF"/>
          </w:tcPr>
          <w:p>
            <w:pPr>
              <w:spacing w:after="0"/>
              <w:rPr>
                <w:sz w:val="20"/>
                <w:szCs w:val="20"/>
                <w:color w:val="auto"/>
              </w:rPr>
            </w:pPr>
          </w:p>
        </w:tc>
        <w:tc>
          <w:tcPr>
            <w:tcW w:w="7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r/r B-cell malignancies: PoC with parsaclisib (PI3Kδ) in preparation</w:t>
            </w:r>
          </w:p>
        </w:tc>
      </w:tr>
      <w:tr>
        <w:trPr>
          <w:trHeight w:val="184"/>
        </w:trPr>
        <w:tc>
          <w:tcPr>
            <w:tcW w:w="1880" w:type="dxa"/>
            <w:vAlign w:val="bottom"/>
            <w:shd w:val="clear" w:color="auto" w:fill="CCEEFF"/>
          </w:tcPr>
          <w:p>
            <w:pPr>
              <w:spacing w:after="0"/>
              <w:rPr>
                <w:sz w:val="16"/>
                <w:szCs w:val="16"/>
                <w:color w:val="auto"/>
              </w:rPr>
            </w:pPr>
          </w:p>
        </w:tc>
        <w:tc>
          <w:tcPr>
            <w:tcW w:w="7040" w:type="dxa"/>
            <w:vAlign w:val="bottom"/>
            <w:shd w:val="clear" w:color="auto" w:fill="CCEEFF"/>
          </w:tcPr>
          <w:p>
            <w:pPr>
              <w:spacing w:after="0"/>
              <w:rPr>
                <w:sz w:val="16"/>
                <w:szCs w:val="16"/>
                <w:color w:val="auto"/>
              </w:rPr>
            </w:pPr>
          </w:p>
        </w:tc>
      </w:tr>
      <w:tr>
        <w:trPr>
          <w:trHeight w:val="184"/>
        </w:trPr>
        <w:tc>
          <w:tcPr>
            <w:tcW w:w="188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b w:val="1"/>
                <w:bCs w:val="1"/>
                <w:color w:val="auto"/>
              </w:rPr>
              <w:t>parsaclisib (PI3Kδ)</w:t>
            </w:r>
          </w:p>
        </w:tc>
        <w:tc>
          <w:tcPr>
            <w:tcW w:w="704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r/r follicular lymphoma: Phase II (CITADEL-203)</w:t>
            </w:r>
          </w:p>
        </w:tc>
      </w:tr>
      <w:tr>
        <w:trPr>
          <w:trHeight w:val="203"/>
        </w:trPr>
        <w:tc>
          <w:tcPr>
            <w:tcW w:w="1880" w:type="dxa"/>
            <w:vAlign w:val="bottom"/>
          </w:tcPr>
          <w:p>
            <w:pPr>
              <w:spacing w:after="0"/>
              <w:rPr>
                <w:sz w:val="17"/>
                <w:szCs w:val="17"/>
                <w:color w:val="auto"/>
              </w:rPr>
            </w:pPr>
          </w:p>
        </w:tc>
        <w:tc>
          <w:tcPr>
            <w:tcW w:w="704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r/r marginal zone lymphoma: Phase II (CITADEL-204)</w:t>
            </w:r>
          </w:p>
        </w:tc>
      </w:tr>
      <w:tr>
        <w:trPr>
          <w:trHeight w:val="234"/>
        </w:trPr>
        <w:tc>
          <w:tcPr>
            <w:tcW w:w="1880" w:type="dxa"/>
            <w:vAlign w:val="bottom"/>
          </w:tcPr>
          <w:p>
            <w:pPr>
              <w:spacing w:after="0"/>
              <w:rPr>
                <w:sz w:val="20"/>
                <w:szCs w:val="20"/>
                <w:color w:val="auto"/>
              </w:rPr>
            </w:pPr>
          </w:p>
        </w:tc>
        <w:tc>
          <w:tcPr>
            <w:tcW w:w="7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r/r mantle cell lymphoma: Phase II (CITADEL-205)</w:t>
            </w:r>
          </w:p>
        </w:tc>
      </w:tr>
      <w:tr>
        <w:trPr>
          <w:trHeight w:val="189"/>
        </w:trPr>
        <w:tc>
          <w:tcPr>
            <w:tcW w:w="1880" w:type="dxa"/>
            <w:vAlign w:val="bottom"/>
          </w:tcPr>
          <w:p>
            <w:pPr>
              <w:spacing w:after="0"/>
              <w:rPr>
                <w:sz w:val="16"/>
                <w:szCs w:val="16"/>
                <w:color w:val="auto"/>
              </w:rPr>
            </w:pPr>
          </w:p>
        </w:tc>
        <w:tc>
          <w:tcPr>
            <w:tcW w:w="7040" w:type="dxa"/>
            <w:vAlign w:val="bottom"/>
          </w:tcPr>
          <w:p>
            <w:pPr>
              <w:spacing w:after="0"/>
              <w:rPr>
                <w:sz w:val="16"/>
                <w:szCs w:val="16"/>
                <w:color w:val="auto"/>
              </w:rPr>
            </w:pPr>
          </w:p>
        </w:tc>
      </w:tr>
      <w:tr>
        <w:trPr>
          <w:trHeight w:val="148"/>
        </w:trPr>
        <w:tc>
          <w:tcPr>
            <w:tcW w:w="18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3"/>
                <w:szCs w:val="13"/>
                <w:b w:val="1"/>
                <w:bCs w:val="1"/>
                <w:color w:val="auto"/>
              </w:rPr>
              <w:t>retifanlimab (PD-1)</w:t>
            </w:r>
            <w:r>
              <w:rPr>
                <w:rFonts w:ascii="Times New Roman" w:cs="Times New Roman" w:eastAsia="Times New Roman" w:hAnsi="Times New Roman"/>
                <w:sz w:val="17"/>
                <w:szCs w:val="17"/>
                <w:b w:val="1"/>
                <w:bCs w:val="1"/>
                <w:color w:val="auto"/>
                <w:vertAlign w:val="superscript"/>
              </w:rPr>
              <w:t>3</w:t>
            </w:r>
          </w:p>
        </w:tc>
        <w:tc>
          <w:tcPr>
            <w:tcW w:w="70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7"/>
                <w:szCs w:val="17"/>
                <w:color w:val="auto"/>
              </w:rPr>
              <w:t>MSI-high endometrial cancer: Phase II (POD1UM-101); Phase II (POD1UM-204) in</w:t>
            </w:r>
          </w:p>
        </w:tc>
      </w:tr>
      <w:tr>
        <w:trPr>
          <w:trHeight w:val="211"/>
        </w:trPr>
        <w:tc>
          <w:tcPr>
            <w:tcW w:w="1880" w:type="dxa"/>
            <w:vAlign w:val="bottom"/>
            <w:shd w:val="clear" w:color="auto" w:fill="CCEEFF"/>
          </w:tcPr>
          <w:p>
            <w:pPr>
              <w:spacing w:after="0"/>
              <w:rPr>
                <w:sz w:val="18"/>
                <w:szCs w:val="18"/>
                <w:color w:val="auto"/>
              </w:rPr>
            </w:pPr>
          </w:p>
        </w:tc>
        <w:tc>
          <w:tcPr>
            <w:tcW w:w="7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preparation</w:t>
            </w:r>
          </w:p>
        </w:tc>
      </w:tr>
      <w:tr>
        <w:trPr>
          <w:trHeight w:val="203"/>
        </w:trPr>
        <w:tc>
          <w:tcPr>
            <w:tcW w:w="1880" w:type="dxa"/>
            <w:vAlign w:val="bottom"/>
            <w:shd w:val="clear" w:color="auto" w:fill="CCEEFF"/>
          </w:tcPr>
          <w:p>
            <w:pPr>
              <w:spacing w:after="0"/>
              <w:rPr>
                <w:sz w:val="17"/>
                <w:szCs w:val="17"/>
                <w:color w:val="auto"/>
              </w:rPr>
            </w:pPr>
          </w:p>
        </w:tc>
        <w:tc>
          <w:tcPr>
            <w:tcW w:w="7040" w:type="dxa"/>
            <w:vAlign w:val="bottom"/>
            <w:shd w:val="clear" w:color="auto" w:fill="CCEEFF"/>
          </w:tcPr>
          <w:p>
            <w:pPr>
              <w:ind w:left="200"/>
              <w:spacing w:after="0" w:line="202" w:lineRule="exact"/>
              <w:rPr>
                <w:sz w:val="20"/>
                <w:szCs w:val="20"/>
                <w:color w:val="auto"/>
              </w:rPr>
            </w:pPr>
            <w:r>
              <w:rPr>
                <w:rFonts w:ascii="Times New Roman" w:cs="Times New Roman" w:eastAsia="Times New Roman" w:hAnsi="Times New Roman"/>
                <w:sz w:val="18"/>
                <w:szCs w:val="18"/>
                <w:color w:val="auto"/>
              </w:rPr>
              <w:t>Merkel cell carcinoma: Phase II (POD1UM-201)</w:t>
            </w:r>
          </w:p>
        </w:tc>
      </w:tr>
      <w:tr>
        <w:trPr>
          <w:trHeight w:val="180"/>
        </w:trPr>
        <w:tc>
          <w:tcPr>
            <w:tcW w:w="1880" w:type="dxa"/>
            <w:vAlign w:val="bottom"/>
            <w:shd w:val="clear" w:color="auto" w:fill="CCEEFF"/>
          </w:tcPr>
          <w:p>
            <w:pPr>
              <w:spacing w:after="0"/>
              <w:rPr>
                <w:sz w:val="15"/>
                <w:szCs w:val="15"/>
                <w:color w:val="auto"/>
              </w:rPr>
            </w:pPr>
          </w:p>
        </w:tc>
        <w:tc>
          <w:tcPr>
            <w:tcW w:w="7040" w:type="dxa"/>
            <w:vAlign w:val="bottom"/>
            <w:shd w:val="clear" w:color="auto" w:fill="CCEEFF"/>
          </w:tcPr>
          <w:p>
            <w:pPr>
              <w:ind w:left="200"/>
              <w:spacing w:after="0" w:line="181" w:lineRule="exact"/>
              <w:rPr>
                <w:sz w:val="20"/>
                <w:szCs w:val="20"/>
                <w:color w:val="auto"/>
              </w:rPr>
            </w:pPr>
            <w:r>
              <w:rPr>
                <w:rFonts w:ascii="Times New Roman" w:cs="Times New Roman" w:eastAsia="Times New Roman" w:hAnsi="Times New Roman"/>
                <w:sz w:val="18"/>
                <w:szCs w:val="18"/>
                <w:color w:val="auto"/>
              </w:rPr>
              <w:t>SCAC: Phase II (POD1UM-202); Phase III (PODIUM-303) open for recruitment</w:t>
            </w:r>
          </w:p>
        </w:tc>
      </w:tr>
      <w:tr>
        <w:trPr>
          <w:trHeight w:val="234"/>
        </w:trPr>
        <w:tc>
          <w:tcPr>
            <w:tcW w:w="1880" w:type="dxa"/>
            <w:vAlign w:val="bottom"/>
            <w:shd w:val="clear" w:color="auto" w:fill="CCEEFF"/>
          </w:tcPr>
          <w:p>
            <w:pPr>
              <w:spacing w:after="0"/>
              <w:rPr>
                <w:sz w:val="20"/>
                <w:szCs w:val="20"/>
                <w:color w:val="auto"/>
              </w:rPr>
            </w:pPr>
          </w:p>
        </w:tc>
        <w:tc>
          <w:tcPr>
            <w:tcW w:w="7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NSCLC: Phase III (POD1UM-304) in preparation</w:t>
            </w:r>
          </w:p>
        </w:tc>
      </w:tr>
      <w:tr>
        <w:trPr>
          <w:trHeight w:val="184"/>
        </w:trPr>
        <w:tc>
          <w:tcPr>
            <w:tcW w:w="1880" w:type="dxa"/>
            <w:vAlign w:val="bottom"/>
            <w:tcBorders>
              <w:bottom w:val="single" w:sz="8" w:color="auto"/>
            </w:tcBorders>
            <w:shd w:val="clear" w:color="auto" w:fill="CCEEFF"/>
          </w:tcPr>
          <w:p>
            <w:pPr>
              <w:spacing w:after="0"/>
              <w:rPr>
                <w:sz w:val="16"/>
                <w:szCs w:val="16"/>
                <w:color w:val="auto"/>
              </w:rPr>
            </w:pPr>
          </w:p>
        </w:tc>
        <w:tc>
          <w:tcPr>
            <w:tcW w:w="7040" w:type="dxa"/>
            <w:vAlign w:val="bottom"/>
            <w:tcBorders>
              <w:bottom w:val="single" w:sz="8" w:color="auto"/>
            </w:tcBorders>
            <w:shd w:val="clear" w:color="auto" w:fill="CCEEFF"/>
          </w:tcPr>
          <w:p>
            <w:pPr>
              <w:spacing w:after="0"/>
              <w:rPr>
                <w:sz w:val="16"/>
                <w:szCs w:val="16"/>
                <w:color w:val="auto"/>
              </w:rPr>
            </w:pPr>
          </w:p>
        </w:tc>
      </w:tr>
    </w:tbl>
    <w:p>
      <w:pPr>
        <w:spacing w:after="0" w:line="81" w:lineRule="exact"/>
        <w:rPr>
          <w:sz w:val="20"/>
          <w:szCs w:val="20"/>
          <w:color w:val="auto"/>
        </w:rPr>
      </w:pPr>
    </w:p>
    <w:p>
      <w:pPr>
        <w:ind w:left="200" w:hanging="156"/>
        <w:spacing w:after="0"/>
        <w:tabs>
          <w:tab w:leader="none" w:pos="200" w:val="left"/>
        </w:tabs>
        <w:numPr>
          <w:ilvl w:val="0"/>
          <w:numId w:val="2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Clinical development of ruxolitinib in GVHD conducted in collaboration with Novartis.</w:t>
      </w:r>
    </w:p>
    <w:p>
      <w:pPr>
        <w:spacing w:after="0" w:line="1" w:lineRule="exact"/>
        <w:rPr>
          <w:rFonts w:ascii="Times New Roman" w:cs="Times New Roman" w:eastAsia="Times New Roman" w:hAnsi="Times New Roman"/>
          <w:sz w:val="27"/>
          <w:szCs w:val="27"/>
          <w:color w:val="auto"/>
          <w:vertAlign w:val="superscript"/>
        </w:rPr>
      </w:pPr>
    </w:p>
    <w:p>
      <w:pPr>
        <w:ind w:left="200" w:hanging="156"/>
        <w:spacing w:after="0" w:line="186" w:lineRule="auto"/>
        <w:tabs>
          <w:tab w:leader="none" w:pos="200" w:val="left"/>
        </w:tabs>
        <w:numPr>
          <w:ilvl w:val="0"/>
          <w:numId w:val="2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tafasitamab development in collaboration with MorphoSys.</w:t>
      </w:r>
    </w:p>
    <w:p>
      <w:pPr>
        <w:spacing w:after="0" w:line="2" w:lineRule="exact"/>
        <w:rPr>
          <w:rFonts w:ascii="Times New Roman" w:cs="Times New Roman" w:eastAsia="Times New Roman" w:hAnsi="Times New Roman"/>
          <w:sz w:val="24"/>
          <w:szCs w:val="24"/>
          <w:color w:val="auto"/>
          <w:vertAlign w:val="superscript"/>
        </w:rPr>
      </w:pPr>
    </w:p>
    <w:p>
      <w:pPr>
        <w:ind w:left="200" w:hanging="156"/>
        <w:spacing w:after="0" w:line="186" w:lineRule="auto"/>
        <w:tabs>
          <w:tab w:leader="none" w:pos="200" w:val="left"/>
        </w:tabs>
        <w:numPr>
          <w:ilvl w:val="0"/>
          <w:numId w:val="2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retifanlimab licensed from MacroGenics.</w:t>
      </w:r>
    </w:p>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Earlier-Stage Programs</w:t>
      </w:r>
    </w:p>
    <w:p>
      <w:pPr>
        <w:spacing w:after="0" w:line="229" w:lineRule="exact"/>
        <w:rPr>
          <w:sz w:val="20"/>
          <w:szCs w:val="20"/>
          <w:color w:val="auto"/>
        </w:rPr>
      </w:pPr>
    </w:p>
    <w:p>
      <w:pPr>
        <w:jc w:val="both"/>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We also have a number of other earlier-stage clinical programs, as detailed in the table below. We intend to describe these programs more fully if we obtain clinical proof-of-concept and establish that a program warrants further development in a specific indication or group of indications.</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252"/>
        </w:trPr>
        <w:tc>
          <w:tcPr>
            <w:tcW w:w="22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Modality</w:t>
            </w:r>
          </w:p>
        </w:tc>
        <w:tc>
          <w:tcPr>
            <w:tcW w:w="668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Candidates</w:t>
            </w:r>
          </w:p>
        </w:tc>
      </w:tr>
      <w:tr>
        <w:trPr>
          <w:trHeight w:val="45"/>
        </w:trPr>
        <w:tc>
          <w:tcPr>
            <w:tcW w:w="2240" w:type="dxa"/>
            <w:vAlign w:val="bottom"/>
            <w:tcBorders>
              <w:bottom w:val="single" w:sz="8" w:color="auto"/>
            </w:tcBorders>
          </w:tcPr>
          <w:p>
            <w:pPr>
              <w:spacing w:after="0"/>
              <w:rPr>
                <w:sz w:val="3"/>
                <w:szCs w:val="3"/>
                <w:color w:val="auto"/>
              </w:rPr>
            </w:pPr>
          </w:p>
        </w:tc>
        <w:tc>
          <w:tcPr>
            <w:tcW w:w="6680" w:type="dxa"/>
            <w:vAlign w:val="bottom"/>
            <w:tcBorders>
              <w:bottom w:val="single" w:sz="8" w:color="auto"/>
            </w:tcBorders>
          </w:tcPr>
          <w:p>
            <w:pPr>
              <w:spacing w:after="0"/>
              <w:rPr>
                <w:sz w:val="3"/>
                <w:szCs w:val="3"/>
                <w:color w:val="auto"/>
              </w:rPr>
            </w:pPr>
          </w:p>
        </w:tc>
      </w:tr>
      <w:tr>
        <w:trPr>
          <w:trHeight w:val="191"/>
        </w:trPr>
        <w:tc>
          <w:tcPr>
            <w:tcW w:w="2240" w:type="dxa"/>
            <w:vAlign w:val="bottom"/>
            <w:shd w:val="clear" w:color="auto" w:fill="CCEEFF"/>
          </w:tcPr>
          <w:p>
            <w:pPr>
              <w:ind w:left="100"/>
              <w:spacing w:after="0" w:line="191" w:lineRule="exact"/>
              <w:rPr>
                <w:sz w:val="20"/>
                <w:szCs w:val="20"/>
                <w:color w:val="auto"/>
              </w:rPr>
            </w:pPr>
            <w:r>
              <w:rPr>
                <w:rFonts w:ascii="Times New Roman" w:cs="Times New Roman" w:eastAsia="Times New Roman" w:hAnsi="Times New Roman"/>
                <w:sz w:val="18"/>
                <w:szCs w:val="18"/>
                <w:b w:val="1"/>
                <w:bCs w:val="1"/>
                <w:color w:val="auto"/>
              </w:rPr>
              <w:t>Small molecules</w:t>
            </w:r>
          </w:p>
        </w:tc>
        <w:tc>
          <w:tcPr>
            <w:tcW w:w="6680" w:type="dxa"/>
            <w:vAlign w:val="bottom"/>
            <w:shd w:val="clear" w:color="auto" w:fill="CCEEFF"/>
          </w:tcPr>
          <w:p>
            <w:pPr>
              <w:ind w:left="320"/>
              <w:spacing w:after="0" w:line="191" w:lineRule="exact"/>
              <w:rPr>
                <w:sz w:val="20"/>
                <w:szCs w:val="20"/>
                <w:color w:val="auto"/>
              </w:rPr>
            </w:pPr>
            <w:r>
              <w:rPr>
                <w:rFonts w:ascii="Times New Roman" w:cs="Times New Roman" w:eastAsia="Times New Roman" w:hAnsi="Times New Roman"/>
                <w:sz w:val="16"/>
                <w:szCs w:val="16"/>
                <w:color w:val="auto"/>
              </w:rPr>
              <w:t>INCB01158 (ARG)</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6"/>
                <w:szCs w:val="16"/>
                <w:color w:val="auto"/>
              </w:rPr>
              <w:t>, INCB81776 (AXL/MER), epacadostat (IDO1),</w:t>
            </w:r>
          </w:p>
        </w:tc>
      </w:tr>
      <w:tr>
        <w:trPr>
          <w:trHeight w:val="234"/>
        </w:trPr>
        <w:tc>
          <w:tcPr>
            <w:tcW w:w="2240" w:type="dxa"/>
            <w:vAlign w:val="bottom"/>
            <w:shd w:val="clear" w:color="auto" w:fill="CCEEFF"/>
          </w:tcPr>
          <w:p>
            <w:pPr>
              <w:spacing w:after="0"/>
              <w:rPr>
                <w:sz w:val="20"/>
                <w:szCs w:val="20"/>
                <w:color w:val="auto"/>
              </w:rPr>
            </w:pPr>
          </w:p>
        </w:tc>
        <w:tc>
          <w:tcPr>
            <w:tcW w:w="6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INCB86550 (PD-L1)</w:t>
            </w:r>
          </w:p>
        </w:tc>
      </w:tr>
      <w:tr>
        <w:trPr>
          <w:trHeight w:val="216"/>
        </w:trPr>
        <w:tc>
          <w:tcPr>
            <w:tcW w:w="2240" w:type="dxa"/>
            <w:vAlign w:val="bottom"/>
            <w:shd w:val="clear" w:color="auto" w:fill="CCEEFF"/>
          </w:tcPr>
          <w:p>
            <w:pPr>
              <w:spacing w:after="0"/>
              <w:rPr>
                <w:sz w:val="18"/>
                <w:szCs w:val="18"/>
                <w:color w:val="auto"/>
              </w:rPr>
            </w:pPr>
          </w:p>
        </w:tc>
        <w:tc>
          <w:tcPr>
            <w:tcW w:w="6680" w:type="dxa"/>
            <w:vAlign w:val="bottom"/>
            <w:shd w:val="clear" w:color="auto" w:fill="CCEEFF"/>
          </w:tcPr>
          <w:p>
            <w:pPr>
              <w:spacing w:after="0"/>
              <w:rPr>
                <w:sz w:val="18"/>
                <w:szCs w:val="18"/>
                <w:color w:val="auto"/>
              </w:rPr>
            </w:pPr>
          </w:p>
        </w:tc>
      </w:tr>
      <w:tr>
        <w:trPr>
          <w:trHeight w:val="198"/>
        </w:trPr>
        <w:tc>
          <w:tcPr>
            <w:tcW w:w="2240" w:type="dxa"/>
            <w:vAlign w:val="bottom"/>
          </w:tcPr>
          <w:p>
            <w:pPr>
              <w:ind w:left="100"/>
              <w:spacing w:after="0" w:line="198" w:lineRule="exact"/>
              <w:rPr>
                <w:sz w:val="20"/>
                <w:szCs w:val="20"/>
                <w:color w:val="auto"/>
              </w:rPr>
            </w:pPr>
            <w:r>
              <w:rPr>
                <w:rFonts w:ascii="Times New Roman" w:cs="Times New Roman" w:eastAsia="Times New Roman" w:hAnsi="Times New Roman"/>
                <w:sz w:val="16"/>
                <w:szCs w:val="16"/>
                <w:b w:val="1"/>
                <w:bCs w:val="1"/>
                <w:color w:val="auto"/>
              </w:rPr>
              <w:t>Monoclonal antibodies</w:t>
            </w:r>
            <w:r>
              <w:rPr>
                <w:rFonts w:ascii="Times New Roman" w:cs="Times New Roman" w:eastAsia="Times New Roman" w:hAnsi="Times New Roman"/>
                <w:sz w:val="22"/>
                <w:szCs w:val="22"/>
                <w:b w:val="1"/>
                <w:bCs w:val="1"/>
                <w:color w:val="auto"/>
                <w:vertAlign w:val="superscript"/>
              </w:rPr>
              <w:t>2</w:t>
            </w:r>
          </w:p>
        </w:tc>
        <w:tc>
          <w:tcPr>
            <w:tcW w:w="6680" w:type="dxa"/>
            <w:vAlign w:val="bottom"/>
          </w:tcPr>
          <w:p>
            <w:pPr>
              <w:ind w:left="320"/>
              <w:spacing w:after="0" w:line="198" w:lineRule="exact"/>
              <w:rPr>
                <w:sz w:val="20"/>
                <w:szCs w:val="20"/>
                <w:color w:val="auto"/>
              </w:rPr>
            </w:pPr>
            <w:r>
              <w:rPr>
                <w:rFonts w:ascii="Times New Roman" w:cs="Times New Roman" w:eastAsia="Times New Roman" w:hAnsi="Times New Roman"/>
                <w:sz w:val="18"/>
                <w:szCs w:val="18"/>
                <w:color w:val="auto"/>
              </w:rPr>
              <w:t>INCAGN1876 (GITR), INCAGN2385 (LAG-3), INCAGN1949 (OX40),</w:t>
            </w:r>
          </w:p>
        </w:tc>
      </w:tr>
      <w:tr>
        <w:trPr>
          <w:trHeight w:val="234"/>
        </w:trPr>
        <w:tc>
          <w:tcPr>
            <w:tcW w:w="2240" w:type="dxa"/>
            <w:vAlign w:val="bottom"/>
          </w:tcPr>
          <w:p>
            <w:pPr>
              <w:spacing w:after="0"/>
              <w:rPr>
                <w:sz w:val="20"/>
                <w:szCs w:val="20"/>
                <w:color w:val="auto"/>
              </w:rPr>
            </w:pPr>
          </w:p>
        </w:tc>
        <w:tc>
          <w:tcPr>
            <w:tcW w:w="6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INCAGN2390 (TIM-3)</w:t>
            </w:r>
          </w:p>
        </w:tc>
      </w:tr>
      <w:tr>
        <w:trPr>
          <w:trHeight w:val="216"/>
        </w:trPr>
        <w:tc>
          <w:tcPr>
            <w:tcW w:w="2240" w:type="dxa"/>
            <w:vAlign w:val="bottom"/>
          </w:tcPr>
          <w:p>
            <w:pPr>
              <w:spacing w:after="0"/>
              <w:rPr>
                <w:sz w:val="18"/>
                <w:szCs w:val="18"/>
                <w:color w:val="auto"/>
              </w:rPr>
            </w:pPr>
          </w:p>
        </w:tc>
        <w:tc>
          <w:tcPr>
            <w:tcW w:w="6680" w:type="dxa"/>
            <w:vAlign w:val="bottom"/>
          </w:tcPr>
          <w:p>
            <w:pPr>
              <w:spacing w:after="0"/>
              <w:rPr>
                <w:sz w:val="18"/>
                <w:szCs w:val="18"/>
                <w:color w:val="auto"/>
              </w:rPr>
            </w:pPr>
          </w:p>
        </w:tc>
      </w:tr>
      <w:tr>
        <w:trPr>
          <w:trHeight w:val="355"/>
        </w:trPr>
        <w:tc>
          <w:tcPr>
            <w:tcW w:w="2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Bispecific antibodies</w:t>
            </w:r>
          </w:p>
        </w:tc>
        <w:tc>
          <w:tcPr>
            <w:tcW w:w="6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MCLA-145 (PD-L1xCD137)</w:t>
            </w:r>
            <w:r>
              <w:rPr>
                <w:rFonts w:ascii="Times New Roman" w:cs="Times New Roman" w:eastAsia="Times New Roman" w:hAnsi="Times New Roman"/>
                <w:sz w:val="26"/>
                <w:szCs w:val="26"/>
                <w:color w:val="auto"/>
                <w:vertAlign w:val="superscript"/>
              </w:rPr>
              <w:t>3</w:t>
            </w:r>
          </w:p>
        </w:tc>
      </w:tr>
      <w:tr>
        <w:trPr>
          <w:trHeight w:val="77"/>
        </w:trPr>
        <w:tc>
          <w:tcPr>
            <w:tcW w:w="2240" w:type="dxa"/>
            <w:vAlign w:val="bottom"/>
            <w:tcBorders>
              <w:bottom w:val="single" w:sz="8" w:color="auto"/>
            </w:tcBorders>
            <w:shd w:val="clear" w:color="auto" w:fill="CCEEFF"/>
          </w:tcPr>
          <w:p>
            <w:pPr>
              <w:spacing w:after="0"/>
              <w:rPr>
                <w:sz w:val="6"/>
                <w:szCs w:val="6"/>
                <w:color w:val="auto"/>
              </w:rPr>
            </w:pPr>
          </w:p>
        </w:tc>
        <w:tc>
          <w:tcPr>
            <w:tcW w:w="6680" w:type="dxa"/>
            <w:vAlign w:val="bottom"/>
            <w:tcBorders>
              <w:bottom w:val="single" w:sz="8" w:color="auto"/>
            </w:tcBorders>
            <w:shd w:val="clear" w:color="auto" w:fill="CCEEFF"/>
          </w:tcPr>
          <w:p>
            <w:pPr>
              <w:spacing w:after="0"/>
              <w:rPr>
                <w:sz w:val="6"/>
                <w:szCs w:val="6"/>
                <w:color w:val="auto"/>
              </w:rPr>
            </w:pPr>
          </w:p>
        </w:tc>
      </w:tr>
    </w:tbl>
    <w:p>
      <w:pPr>
        <w:spacing w:after="0" w:line="122" w:lineRule="exact"/>
        <w:rPr>
          <w:sz w:val="20"/>
          <w:szCs w:val="20"/>
          <w:color w:val="auto"/>
        </w:rPr>
      </w:pPr>
    </w:p>
    <w:p>
      <w:pPr>
        <w:ind w:left="200" w:hanging="156"/>
        <w:spacing w:after="0"/>
        <w:tabs>
          <w:tab w:leader="none" w:pos="200" w:val="left"/>
        </w:tabs>
        <w:numPr>
          <w:ilvl w:val="0"/>
          <w:numId w:val="2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INCB01158 licensed from Calithera Biosciences, Inc.</w:t>
      </w:r>
    </w:p>
    <w:p>
      <w:pPr>
        <w:spacing w:after="0" w:line="1" w:lineRule="exact"/>
        <w:rPr>
          <w:rFonts w:ascii="Times New Roman" w:cs="Times New Roman" w:eastAsia="Times New Roman" w:hAnsi="Times New Roman"/>
          <w:sz w:val="27"/>
          <w:szCs w:val="27"/>
          <w:color w:val="auto"/>
          <w:vertAlign w:val="superscript"/>
        </w:rPr>
      </w:pPr>
    </w:p>
    <w:p>
      <w:pPr>
        <w:ind w:left="200" w:hanging="156"/>
        <w:spacing w:after="0" w:line="186" w:lineRule="auto"/>
        <w:tabs>
          <w:tab w:leader="none" w:pos="200" w:val="left"/>
        </w:tabs>
        <w:numPr>
          <w:ilvl w:val="0"/>
          <w:numId w:val="2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Discovery collaboration with Agenus Inc.</w:t>
      </w:r>
    </w:p>
    <w:p>
      <w:pPr>
        <w:spacing w:after="0" w:line="2" w:lineRule="exact"/>
        <w:rPr>
          <w:rFonts w:ascii="Times New Roman" w:cs="Times New Roman" w:eastAsia="Times New Roman" w:hAnsi="Times New Roman"/>
          <w:sz w:val="24"/>
          <w:szCs w:val="24"/>
          <w:color w:val="auto"/>
          <w:vertAlign w:val="superscript"/>
        </w:rPr>
      </w:pPr>
    </w:p>
    <w:p>
      <w:pPr>
        <w:ind w:left="200" w:hanging="156"/>
        <w:spacing w:after="0" w:line="186" w:lineRule="auto"/>
        <w:tabs>
          <w:tab w:leader="none" w:pos="200" w:val="left"/>
        </w:tabs>
        <w:numPr>
          <w:ilvl w:val="0"/>
          <w:numId w:val="2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MCLA-145 development in collaboration with Merus N.V.</w:t>
      </w:r>
    </w:p>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Clinical Programs in Inflammation and AutoImmunity (IAI)</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Dermatology</w:t>
      </w:r>
    </w:p>
    <w:p>
      <w:pPr>
        <w:spacing w:after="0" w:line="229" w:lineRule="exact"/>
        <w:rPr>
          <w:sz w:val="20"/>
          <w:szCs w:val="20"/>
          <w:color w:val="auto"/>
        </w:rPr>
      </w:pPr>
    </w:p>
    <w:p>
      <w:pPr>
        <w:ind w:left="40" w:right="59" w:firstLine="648"/>
        <w:spacing w:after="0" w:line="282" w:lineRule="auto"/>
        <w:rPr>
          <w:sz w:val="20"/>
          <w:szCs w:val="20"/>
          <w:color w:val="auto"/>
        </w:rPr>
      </w:pPr>
      <w:r>
        <w:rPr>
          <w:rFonts w:ascii="Times New Roman" w:cs="Times New Roman" w:eastAsia="Times New Roman" w:hAnsi="Times New Roman"/>
          <w:sz w:val="18"/>
          <w:szCs w:val="18"/>
          <w:color w:val="auto"/>
        </w:rPr>
        <w:t>Incyte Dermatology has been established as a new franchise in the U.S., which will include dedicated teams for the development and commercialization of our dermatology portfolio.</w:t>
      </w:r>
    </w:p>
    <w:p>
      <w:pPr>
        <w:spacing w:after="0" w:line="162" w:lineRule="exact"/>
        <w:rPr>
          <w:sz w:val="20"/>
          <w:szCs w:val="20"/>
          <w:color w:val="auto"/>
        </w:rPr>
      </w:pPr>
    </w:p>
    <w:p>
      <w:pPr>
        <w:ind w:left="40" w:right="59" w:firstLine="648"/>
        <w:spacing w:after="0" w:line="282" w:lineRule="auto"/>
        <w:rPr>
          <w:sz w:val="20"/>
          <w:szCs w:val="20"/>
          <w:color w:val="auto"/>
        </w:rPr>
      </w:pPr>
      <w:r>
        <w:rPr>
          <w:rFonts w:ascii="Times New Roman" w:cs="Times New Roman" w:eastAsia="Times New Roman" w:hAnsi="Times New Roman"/>
          <w:sz w:val="18"/>
          <w:szCs w:val="18"/>
          <w:color w:val="auto"/>
        </w:rPr>
        <w:t>In April 2020, safety and efficacy data from the two Phase III trials in the TRuE-AD program evaluating ruxolitinib cream in mild-to-moderate atopic dermatitis were presented at the Revolutionizing Atopic Dermatitis (RAD)</w:t>
      </w:r>
    </w:p>
    <w:p>
      <w:pPr>
        <w:sectPr>
          <w:pgSz w:w="11900" w:h="16838" w:orient="portrait"/>
          <w:cols w:equalWidth="0" w:num="1">
            <w:col w:w="9019"/>
          </w:cols>
          <w:pgMar w:left="1440" w:top="513" w:right="1440" w:bottom="1440" w:gutter="0" w:footer="0" w:header="0"/>
          <w:type w:val="continuous"/>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82" w:lineRule="auto"/>
        <w:rPr>
          <w:sz w:val="20"/>
          <w:szCs w:val="20"/>
          <w:color w:val="auto"/>
        </w:rPr>
      </w:pPr>
      <w:r>
        <w:rPr>
          <w:rFonts w:ascii="Times New Roman" w:cs="Times New Roman" w:eastAsia="Times New Roman" w:hAnsi="Times New Roman"/>
          <w:sz w:val="18"/>
          <w:szCs w:val="18"/>
          <w:color w:val="auto"/>
        </w:rPr>
        <w:t>virtual symposium; both trials met their primary endpoints. The 44-week long-term safety and efficacy portion of both the TRuE-AD1 and TRuE-AD2 trials are ongoing.</w:t>
      </w:r>
    </w:p>
    <w:p>
      <w:pPr>
        <w:spacing w:after="0" w:line="162" w:lineRule="exact"/>
        <w:rPr>
          <w:sz w:val="20"/>
          <w:szCs w:val="20"/>
          <w:color w:val="auto"/>
        </w:rPr>
      </w:pPr>
    </w:p>
    <w:p>
      <w:pPr>
        <w:jc w:val="both"/>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In September 2020, we purchased a priority review voucher from a third party, which had received it through the FDA’s Rare Pediatric Disease Priority Review Voucher Program. The priority review voucher entitles the holder to designate a human drug application for priority review. In September 2020, we notified the FDA that we intend to use the priority review voucher in connection with our submission seeking FDA approval of ruxolitinib cream for the treatment of atopic dermatitis.</w:t>
      </w:r>
    </w:p>
    <w:p>
      <w:pPr>
        <w:spacing w:after="0" w:line="183"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Atopic dermatitis (AD) is a skin disorder that causes long term inflammation of the skin resulting in itchy, red, swollen and cracked skin. Onset can occur at any age, but is more common in infants and children. In the United States, we estimate that there are approximately 10 million diagnosed and treated adolescent and adult patients with mild to moderate AD.</w:t>
      </w:r>
    </w:p>
    <w:p>
      <w:pPr>
        <w:spacing w:after="0" w:line="180"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In June 2019, primary endpoint data after 6 months of therapy from the Phase II trial of ruxolitinib cream in patients with vitiligo showed a significant benefit over vehicle control, and a global, pivotal Phase III program was initiated in September 2019. In October 2019, updated data from the Phase II trial showed, after 12 months of therapy, additional improvement in the repigmentation of vitiligo lesions.</w:t>
      </w:r>
    </w:p>
    <w:p>
      <w:pPr>
        <w:spacing w:after="0" w:line="180" w:lineRule="exact"/>
        <w:rPr>
          <w:sz w:val="20"/>
          <w:szCs w:val="20"/>
          <w:color w:val="auto"/>
        </w:rPr>
      </w:pPr>
    </w:p>
    <w:p>
      <w:pPr>
        <w:jc w:val="both"/>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Vitiligo is a long-term skin condition characterized by patches of the skin losing their pigment. It is estimated that vitiligo affects 0.5-2% of the US population and, therefore, there are at least 1.5 million patients in the United States with this disorder. There are no FDA approved treatments for repigmentation of vitiligo lesions.</w:t>
      </w:r>
    </w:p>
    <w:p>
      <w:pPr>
        <w:spacing w:after="0" w:line="176"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INCB54707 is a JAK1 selective inhibitor undergoing evaluation in patients with hidradenitis suppurativa (HS), a chronic skin condition where lesions develop as a result of inflammation and infection of the sweat glands. In October 2020, initial results from the clinical program were presented and a randomized Phase IIb trial of INCB54707 is now underway in patients with HS.</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Other IAI</w:t>
      </w:r>
    </w:p>
    <w:p>
      <w:pPr>
        <w:spacing w:after="0" w:line="229" w:lineRule="exact"/>
        <w:rPr>
          <w:sz w:val="20"/>
          <w:szCs w:val="20"/>
          <w:color w:val="auto"/>
        </w:rPr>
      </w:pPr>
    </w:p>
    <w:p>
      <w:pPr>
        <w:jc w:val="both"/>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A Phase II trial of parsaclisib in patients with autoimmune hemolytic anemia (AIHA), a rare red blood cell disorder, is also ongoing. The FDA has granted orphan drug designation to parsaclisib as a treatment for patients with AIHA.</w:t>
      </w:r>
    </w:p>
    <w:p>
      <w:pPr>
        <w:spacing w:after="0" w:line="176" w:lineRule="exact"/>
        <w:rPr>
          <w:sz w:val="20"/>
          <w:szCs w:val="20"/>
          <w:color w:val="auto"/>
        </w:rPr>
      </w:pPr>
    </w:p>
    <w:p>
      <w:pPr>
        <w:jc w:val="both"/>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A Phase II trial of INCB00928 is in preparation for patients with fibrodysplasia ossificans progressiva (FOP), a disorder in which muscle tissue and connective tissue are gradually replaced by bone. The FDA has granted Fast Track designation and orphan drug designation to INCB00928 as a treatment for patients with FOP.</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252"/>
        </w:trPr>
        <w:tc>
          <w:tcPr>
            <w:tcW w:w="1940" w:type="dxa"/>
            <w:vAlign w:val="bottom"/>
            <w:tcBorders>
              <w:top w:val="single" w:sz="8" w:color="auto"/>
            </w:tcBorders>
          </w:tcPr>
          <w:p>
            <w:pPr>
              <w:spacing w:after="0"/>
              <w:rPr>
                <w:sz w:val="21"/>
                <w:szCs w:val="21"/>
                <w:color w:val="auto"/>
              </w:rPr>
            </w:pPr>
          </w:p>
        </w:tc>
        <w:tc>
          <w:tcPr>
            <w:tcW w:w="698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Indication and status</w:t>
            </w:r>
          </w:p>
        </w:tc>
      </w:tr>
      <w:tr>
        <w:trPr>
          <w:trHeight w:val="45"/>
        </w:trPr>
        <w:tc>
          <w:tcPr>
            <w:tcW w:w="1940" w:type="dxa"/>
            <w:vAlign w:val="bottom"/>
            <w:tcBorders>
              <w:bottom w:val="single" w:sz="8" w:color="auto"/>
            </w:tcBorders>
          </w:tcPr>
          <w:p>
            <w:pPr>
              <w:spacing w:after="0"/>
              <w:rPr>
                <w:sz w:val="3"/>
                <w:szCs w:val="3"/>
                <w:color w:val="auto"/>
              </w:rPr>
            </w:pPr>
          </w:p>
        </w:tc>
        <w:tc>
          <w:tcPr>
            <w:tcW w:w="6980" w:type="dxa"/>
            <w:vAlign w:val="bottom"/>
            <w:tcBorders>
              <w:bottom w:val="single" w:sz="8" w:color="auto"/>
            </w:tcBorders>
          </w:tcPr>
          <w:p>
            <w:pPr>
              <w:spacing w:after="0"/>
              <w:rPr>
                <w:sz w:val="3"/>
                <w:szCs w:val="3"/>
                <w:color w:val="auto"/>
              </w:rPr>
            </w:pPr>
          </w:p>
        </w:tc>
      </w:tr>
      <w:tr>
        <w:trPr>
          <w:trHeight w:val="142"/>
        </w:trPr>
        <w:tc>
          <w:tcPr>
            <w:tcW w:w="1940" w:type="dxa"/>
            <w:vAlign w:val="bottom"/>
            <w:shd w:val="clear" w:color="auto" w:fill="CCEEFF"/>
          </w:tcPr>
          <w:p>
            <w:pPr>
              <w:ind w:left="100"/>
              <w:spacing w:after="0" w:line="142" w:lineRule="exact"/>
              <w:rPr>
                <w:sz w:val="20"/>
                <w:szCs w:val="20"/>
                <w:color w:val="auto"/>
              </w:rPr>
            </w:pPr>
            <w:r>
              <w:rPr>
                <w:rFonts w:ascii="Times New Roman" w:cs="Times New Roman" w:eastAsia="Times New Roman" w:hAnsi="Times New Roman"/>
                <w:sz w:val="12"/>
                <w:szCs w:val="12"/>
                <w:b w:val="1"/>
                <w:bCs w:val="1"/>
                <w:color w:val="auto"/>
              </w:rPr>
              <w:t>ruxolitinib cream</w:t>
            </w:r>
            <w:r>
              <w:rPr>
                <w:rFonts w:ascii="Times New Roman" w:cs="Times New Roman" w:eastAsia="Times New Roman" w:hAnsi="Times New Roman"/>
                <w:sz w:val="16"/>
                <w:szCs w:val="16"/>
                <w:b w:val="1"/>
                <w:bCs w:val="1"/>
                <w:color w:val="auto"/>
                <w:vertAlign w:val="superscript"/>
              </w:rPr>
              <w:t>1</w:t>
            </w:r>
          </w:p>
        </w:tc>
        <w:tc>
          <w:tcPr>
            <w:tcW w:w="6980" w:type="dxa"/>
            <w:vAlign w:val="bottom"/>
            <w:shd w:val="clear" w:color="auto" w:fill="CCEEFF"/>
          </w:tcPr>
          <w:p>
            <w:pPr>
              <w:ind w:left="280"/>
              <w:spacing w:after="0" w:line="142" w:lineRule="exact"/>
              <w:rPr>
                <w:sz w:val="20"/>
                <w:szCs w:val="20"/>
                <w:color w:val="auto"/>
              </w:rPr>
            </w:pPr>
            <w:r>
              <w:rPr>
                <w:rFonts w:ascii="Times New Roman" w:cs="Times New Roman" w:eastAsia="Times New Roman" w:hAnsi="Times New Roman"/>
                <w:sz w:val="16"/>
                <w:szCs w:val="16"/>
                <w:color w:val="auto"/>
              </w:rPr>
              <w:t>Atopic dermatitis: Phase III (TRuE-AD1, TRuE-AD2; primary endpoints met)</w:t>
            </w:r>
          </w:p>
        </w:tc>
      </w:tr>
      <w:tr>
        <w:trPr>
          <w:trHeight w:val="270"/>
        </w:trPr>
        <w:tc>
          <w:tcPr>
            <w:tcW w:w="1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(JAK1/JAK2)</w:t>
            </w:r>
          </w:p>
        </w:tc>
        <w:tc>
          <w:tcPr>
            <w:tcW w:w="6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Vitiligo: Phase III (TRuE-V1, TRuE-V2)</w:t>
            </w:r>
          </w:p>
        </w:tc>
      </w:tr>
      <w:tr>
        <w:trPr>
          <w:trHeight w:val="189"/>
        </w:trPr>
        <w:tc>
          <w:tcPr>
            <w:tcW w:w="1940" w:type="dxa"/>
            <w:vAlign w:val="bottom"/>
            <w:shd w:val="clear" w:color="auto" w:fill="CCEEFF"/>
          </w:tcPr>
          <w:p>
            <w:pPr>
              <w:spacing w:after="0"/>
              <w:rPr>
                <w:sz w:val="16"/>
                <w:szCs w:val="16"/>
                <w:color w:val="auto"/>
              </w:rPr>
            </w:pPr>
          </w:p>
        </w:tc>
        <w:tc>
          <w:tcPr>
            <w:tcW w:w="6980" w:type="dxa"/>
            <w:vAlign w:val="bottom"/>
            <w:shd w:val="clear" w:color="auto" w:fill="CCEEFF"/>
          </w:tcPr>
          <w:p>
            <w:pPr>
              <w:spacing w:after="0"/>
              <w:rPr>
                <w:sz w:val="16"/>
                <w:szCs w:val="16"/>
                <w:color w:val="auto"/>
              </w:rPr>
            </w:pPr>
          </w:p>
        </w:tc>
      </w:tr>
      <w:tr>
        <w:trPr>
          <w:trHeight w:val="238"/>
        </w:trPr>
        <w:tc>
          <w:tcPr>
            <w:tcW w:w="19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INCB54707 (JAK1)</w:t>
            </w:r>
          </w:p>
        </w:tc>
        <w:tc>
          <w:tcPr>
            <w:tcW w:w="6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Hidradenitis suppurativa: Phase II</w:t>
            </w:r>
          </w:p>
        </w:tc>
      </w:tr>
      <w:tr>
        <w:trPr>
          <w:trHeight w:val="153"/>
        </w:trPr>
        <w:tc>
          <w:tcPr>
            <w:tcW w:w="1940" w:type="dxa"/>
            <w:vAlign w:val="bottom"/>
          </w:tcPr>
          <w:p>
            <w:pPr>
              <w:spacing w:after="0"/>
              <w:rPr>
                <w:sz w:val="13"/>
                <w:szCs w:val="13"/>
                <w:color w:val="auto"/>
              </w:rPr>
            </w:pPr>
          </w:p>
        </w:tc>
        <w:tc>
          <w:tcPr>
            <w:tcW w:w="6980" w:type="dxa"/>
            <w:vAlign w:val="bottom"/>
          </w:tcPr>
          <w:p>
            <w:pPr>
              <w:spacing w:after="0"/>
              <w:rPr>
                <w:sz w:val="13"/>
                <w:szCs w:val="13"/>
                <w:color w:val="auto"/>
              </w:rPr>
            </w:pPr>
          </w:p>
        </w:tc>
      </w:tr>
      <w:tr>
        <w:trPr>
          <w:trHeight w:val="238"/>
        </w:trPr>
        <w:tc>
          <w:tcPr>
            <w:tcW w:w="1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parsaclisib (PI3Kδ)</w:t>
            </w:r>
          </w:p>
        </w:tc>
        <w:tc>
          <w:tcPr>
            <w:tcW w:w="6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Autoimmune hemolytic anemia: Phase II</w:t>
            </w:r>
          </w:p>
        </w:tc>
      </w:tr>
      <w:tr>
        <w:trPr>
          <w:trHeight w:val="153"/>
        </w:trPr>
        <w:tc>
          <w:tcPr>
            <w:tcW w:w="1940" w:type="dxa"/>
            <w:vAlign w:val="bottom"/>
            <w:shd w:val="clear" w:color="auto" w:fill="CCEEFF"/>
          </w:tcPr>
          <w:p>
            <w:pPr>
              <w:spacing w:after="0"/>
              <w:rPr>
                <w:sz w:val="13"/>
                <w:szCs w:val="13"/>
                <w:color w:val="auto"/>
              </w:rPr>
            </w:pPr>
          </w:p>
        </w:tc>
        <w:tc>
          <w:tcPr>
            <w:tcW w:w="6980" w:type="dxa"/>
            <w:vAlign w:val="bottom"/>
            <w:shd w:val="clear" w:color="auto" w:fill="CCEEFF"/>
          </w:tcPr>
          <w:p>
            <w:pPr>
              <w:spacing w:after="0"/>
              <w:rPr>
                <w:sz w:val="13"/>
                <w:szCs w:val="13"/>
                <w:color w:val="auto"/>
              </w:rPr>
            </w:pPr>
          </w:p>
        </w:tc>
      </w:tr>
      <w:tr>
        <w:trPr>
          <w:trHeight w:val="238"/>
        </w:trPr>
        <w:tc>
          <w:tcPr>
            <w:tcW w:w="19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INCB00928 (ALK2)</w:t>
            </w:r>
          </w:p>
        </w:tc>
        <w:tc>
          <w:tcPr>
            <w:tcW w:w="6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Fibrodysplasia ossificans progressiva: Phase II in preparation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97155</wp:posOffset>
            </wp:positionV>
            <wp:extent cx="56578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344" w:lineRule="exact"/>
        <w:rPr>
          <w:sz w:val="20"/>
          <w:szCs w:val="20"/>
          <w:color w:val="auto"/>
        </w:rPr>
      </w:pPr>
    </w:p>
    <w:p>
      <w:pPr>
        <w:ind w:left="40" w:right="59" w:firstLine="4"/>
        <w:spacing w:after="0" w:line="208" w:lineRule="auto"/>
        <w:tabs>
          <w:tab w:leader="none" w:pos="227" w:val="left"/>
        </w:tabs>
        <w:numPr>
          <w:ilvl w:val="0"/>
          <w:numId w:val="2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Novartis’ rights for ruxolitinib outside of the United States under our Collaboration and License Agreement with Novartis do not include topical administration.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Partnered Programs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Baricitinib</w:t>
      </w:r>
    </w:p>
    <w:p>
      <w:pPr>
        <w:spacing w:after="0" w:line="229" w:lineRule="exact"/>
        <w:rPr>
          <w:sz w:val="20"/>
          <w:szCs w:val="20"/>
          <w:color w:val="auto"/>
        </w:rPr>
      </w:pPr>
    </w:p>
    <w:p>
      <w:pPr>
        <w:jc w:val="both"/>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We have a second JAK1 and JAK2 inhibitor, baricitinib, which is subject to our collaboration agreement with Lilly, in which Lilly received exclusive worldwide development and commercialization rights to the compound for inflammatory and autoimmune diseases.</w:t>
      </w:r>
    </w:p>
    <w:p>
      <w:pPr>
        <w:spacing w:after="0" w:line="174" w:lineRule="exact"/>
        <w:rPr>
          <w:sz w:val="20"/>
          <w:szCs w:val="20"/>
          <w:color w:val="auto"/>
        </w:rPr>
      </w:pPr>
    </w:p>
    <w:p>
      <w:pPr>
        <w:jc w:val="both"/>
        <w:ind w:left="40" w:right="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Rheumatoid Arthritis. </w:t>
      </w:r>
      <w:r>
        <w:rPr>
          <w:rFonts w:ascii="Times New Roman" w:cs="Times New Roman" w:eastAsia="Times New Roman" w:hAnsi="Times New Roman"/>
          <w:sz w:val="18"/>
          <w:szCs w:val="18"/>
          <w:color w:val="auto"/>
        </w:rPr>
        <w:t>Rheumatoid arthritis is an autoimmune disease characterized by aberrant or abnormal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immune mechanisms that lead to joint inflammation and swelling and, in some patients, the progressive destruction of joints. Rheumatoid arthritis can also affect connective tissue in the skin and organs of the body.</w:t>
      </w:r>
    </w:p>
    <w:p>
      <w:pPr>
        <w:spacing w:after="0" w:line="175" w:lineRule="exact"/>
        <w:rPr>
          <w:sz w:val="20"/>
          <w:szCs w:val="20"/>
          <w:color w:val="auto"/>
        </w:rPr>
      </w:pPr>
    </w:p>
    <w:p>
      <w:pPr>
        <w:jc w:val="both"/>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Current rheumatoid arthritis treatments include the use of non-steroidal anti-inflammatory drugs, disease-modifying anti-rheumatic drugs, such as methotrexate, and the newer biological response modifiers that target pro-inflammatory cytokines, such as tumor necrosis factor, implicated in the pathogenesis of rheumatoid arthritis. None of these approaches to treatment is curative; therefore, there remains an unmet need for new safe and effective treatment options for these patients. Rheumatoid arthritis is estimated to affect about 1% of the world’s population.</w:t>
      </w:r>
    </w:p>
    <w:p>
      <w:pPr>
        <w:spacing w:after="0" w:line="183"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The Phase III program of baricitinib in patients with rheumatoid arthritis incorporated all three rheumatoid arthritis populations (methotrexate naïve, biologic naïve, and tumor necrosis factor (TNF) inhibitor inadequate responders); used event rates to fully power the baricitinib program for structural comparison and non-inferiority vs. adalimumab; and evaluated patient-reported outcomes. All four Phase III trials met their respective primary endpoints.</w:t>
      </w:r>
    </w:p>
    <w:p>
      <w:pPr>
        <w:spacing w:after="0" w:line="180" w:lineRule="exact"/>
        <w:rPr>
          <w:sz w:val="20"/>
          <w:szCs w:val="20"/>
          <w:color w:val="auto"/>
        </w:rPr>
      </w:pPr>
    </w:p>
    <w:p>
      <w:pPr>
        <w:jc w:val="both"/>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In January 2016, Lilly submitted an NDA to the FDA and an MAA to the EMA for baricitinib as treatment for rheumatoid arthritis. In February 2017, we and Lilly announced that the European Commission approved baricitinib as OLUMIANT for the treatment of moderate-to-severe rheumatoid arthritis in adult patients who have responded inadequately to, or who are intolerant to, one or more disease-modifying antirheumatic drugs (DMARDs). In July 2017, the Japanese Ministry of Health, Labour and Welfare (MHLW) granted marketing approval for OLUMIANT for the treatment of rheumatoid arthritis (including the prevention of structural injury of joints) in patients with inadequate response to standard-of-care therapies. In June 2018, the FDA approved the 2mg dose of OLUMIANT for the treatment of adults with moderately-to-severely active rheumatoid arthritis (RA) who have had an inadequate response to one or more tumor necrosis factor (TNF) inhibitor therapies.</w:t>
      </w:r>
    </w:p>
    <w:p>
      <w:pPr>
        <w:spacing w:after="0" w:line="186"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Atopic Dermatitis. </w:t>
      </w:r>
      <w:r>
        <w:rPr>
          <w:rFonts w:ascii="Times New Roman" w:cs="Times New Roman" w:eastAsia="Times New Roman" w:hAnsi="Times New Roman"/>
          <w:sz w:val="18"/>
          <w:szCs w:val="18"/>
          <w:color w:val="auto"/>
        </w:rPr>
        <w:t>Lilly has conducted a Phase IIa trial and a Phase III program to evaluate the safety and efficacy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baricitinib in patients with moderate-to-severe atopic dermatitis. The JAK-STAT pathway has been shown to play an essential role in the dysregulation of immune responses in atopic dermatitis. Therefore, we believe that inhibiting cytokine pathways dependent on JAK1 and JAK2 may lead to positive clinical outcomes in AD.</w:t>
      </w:r>
    </w:p>
    <w:p>
      <w:pPr>
        <w:spacing w:after="0" w:line="182" w:lineRule="exact"/>
        <w:rPr>
          <w:sz w:val="20"/>
          <w:szCs w:val="20"/>
          <w:color w:val="auto"/>
        </w:rPr>
      </w:pPr>
    </w:p>
    <w:p>
      <w:pPr>
        <w:jc w:val="both"/>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In February 2019, we and Lilly announced that baricitinib met the primary endpoint in BREEZE-AD1 and BREEZE-AD2, two Phase III studies evaluating the efficacy and safety of baricitinib monotherapy for the treatment of adult patients with moderate to severe AD and, in August 2019, we and Lilly announced that baricitinib met the primary endpoint in BREEZE-AD7, a Phase III study evaluating the efficacy and safety of baricitinib in combination with standard-of-care topical corticosteroids in patients with moderate to severe AD. In January 2020, we and Lilly announced that baricitinib met the primary endpoint in both BREEZE-AD4 and BREEZE-AD5, the results of which completed the placebo-controlled data program intended to support global registrations.</w:t>
      </w:r>
    </w:p>
    <w:p>
      <w:pPr>
        <w:spacing w:after="0" w:line="189"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In January 2020, Lilly announced that baricitinib had been submitted for regulatory review in Europe as a treatment for patients with moderate to severe AD. In October 2020, Lilly announced that the European Commission approved baricitinib as OLUMIANT for the treatment of moderate-to-severe AD in adult patients who are candidates for systemic therapy.</w:t>
      </w:r>
    </w:p>
    <w:p>
      <w:pPr>
        <w:spacing w:after="0" w:line="178" w:lineRule="exact"/>
        <w:rPr>
          <w:sz w:val="20"/>
          <w:szCs w:val="20"/>
          <w:color w:val="auto"/>
        </w:rPr>
      </w:pPr>
    </w:p>
    <w:p>
      <w:pPr>
        <w:jc w:val="both"/>
        <w:ind w:left="40" w:right="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Systemic Lupus Erythematosus. </w:t>
      </w:r>
      <w:r>
        <w:rPr>
          <w:rFonts w:ascii="Times New Roman" w:cs="Times New Roman" w:eastAsia="Times New Roman" w:hAnsi="Times New Roman"/>
          <w:sz w:val="18"/>
          <w:szCs w:val="18"/>
          <w:color w:val="auto"/>
        </w:rPr>
        <w:t>Systemic lupus erythematosus (SLE) is a chronic disease that causes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inflammation. In addition to affecting the skin and joints, it can affect other organs in the body such as the kidneys, the tissue lining the lungs and heart, and the brain. Lilly has conducted a Phase II trial to evaluate the safety and efficacy of</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baricitinib in patients with SLE. Baricitinib’s activity profile suggests that it inhibits cytokines implicated in SLE such as type I interferon (IFN), type II IFN-γ, IL-6, and IL-23 as well as other cytokines that may have a role in SLE, including granulocyte macrophage colony stimulating factor (GM-CSF) and IL-12. The potential impact of baricitinib on the IFN pathway is highly relevant to SLE, as clinical and preclinical studies have established that this pathway is involved in the pathogenesis of SLE. Lilly is currently running a Phase III trial of baricitinib in patients with SLE.</w:t>
      </w:r>
    </w:p>
    <w:p>
      <w:pPr>
        <w:spacing w:after="0" w:line="181" w:lineRule="exact"/>
        <w:rPr>
          <w:sz w:val="20"/>
          <w:szCs w:val="20"/>
          <w:color w:val="auto"/>
        </w:rPr>
      </w:pPr>
    </w:p>
    <w:p>
      <w:pPr>
        <w:jc w:val="both"/>
        <w:ind w:left="4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Alopecia Areata</w:t>
      </w:r>
      <w:r>
        <w:rPr>
          <w:rFonts w:ascii="Times New Roman" w:cs="Times New Roman" w:eastAsia="Times New Roman" w:hAnsi="Times New Roman"/>
          <w:sz w:val="18"/>
          <w:szCs w:val="18"/>
          <w:color w:val="auto"/>
        </w:rPr>
        <w:t>. Alopecia areata is an autoimmune disorder in which the immune system attacks the hair follicles,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causing hair loss in patches. In March 2020, Lilly announced that baricitinib received Breakthrough Therapy designation for the treatment of alopecia areata, based on the positive Phase II results of Lilly’s adaptive Phase II/III study BRAVE-AA1. The Phase III portion of BRAVE-AA1 is ongoing, as is a second Phase III study, BRAVE-AA2, in adults with severe or very severe alopecia areata.</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Capmatinib</w:t>
      </w:r>
    </w:p>
    <w:p>
      <w:pPr>
        <w:spacing w:after="0" w:line="229"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Capmatinib is a potent and highly selective MET inhibitor. The investigational compound has demonstrated inhibitory activity in cell-based biochemical and functional assays that measure MET signaling and MET dependent cell proliferation, survival and migration. Under our agreement, Novartis received worldwide exclusive development and commercialization rights to capmatinib and certain back-up compounds in all indications. Capmatinib is being evaluated in patients with hepatocellular carcinoma, non-small cell lung cancer and other solid tumors, and may have potential utility as a combination agent.</w:t>
      </w:r>
    </w:p>
    <w:p>
      <w:pPr>
        <w:spacing w:after="0" w:line="187"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MET is a clinically validated receptor kinase cancer target. Abnormal MET activation in cancer correlates with poor prognosis. Dysregulation of the MET pathway triggers tumor growth, formation of new blood vessels that supply the tumor with nutrients, and causes cancer to spread to other organs. Dysregulation of the MET pathway is seen in many types of cancers, including lung, kidney, liver, stomach, breast and brain.</w:t>
      </w:r>
    </w:p>
    <w:p>
      <w:pPr>
        <w:spacing w:after="0" w:line="180"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In May 2020, we and Novartis announced the FDA approval of capmatinib as TABRECTA for the treatment of adult patients with metastatic NSCLC whose tumors have a mutation that leads to MET exon 14 skipping (METex14) as detected by an FDA-approved test. TABRECTA is the first and only treatment approved to specifically target NSCLC with this driver mutation and is approved for first-line and previously treated patients regardless of prior treatment type.</w:t>
      </w:r>
    </w:p>
    <w:p>
      <w:pPr>
        <w:spacing w:after="0" w:line="180" w:lineRule="exact"/>
        <w:rPr>
          <w:sz w:val="20"/>
          <w:szCs w:val="20"/>
          <w:color w:val="auto"/>
        </w:rPr>
      </w:pPr>
    </w:p>
    <w:p>
      <w:pPr>
        <w:jc w:val="both"/>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The FDA approval of TABRECTA was based on results from the pivotal GEOMETRY mono-1 study. In the METex14 population (n=97), the confirmed overall response rate was 68% and 41% among treatment-naive (n=28) and previously treated patients (n=69), respectively, based on the Blinded Independent Review Committee (BIRC) assessment per RECIST v1.1. In patients taking TABRECTA, the study also demonstrated a median duration of response of 12.6 months in treatment-naive patients (19 responders) and 9.7 months in previously treated patients (28 responders). The most common treatment-related adverse events (AEs) (incidence ≥20%) are peripheral edema, nausea, fatigue, vomiting, dyspnea, and decreased appetite. In September 2020, we and Novartis announced that GEOMETRY mono-1 results were published in The New England Journal of Medicine.</w:t>
      </w:r>
    </w:p>
    <w:p>
      <w:pPr>
        <w:spacing w:after="0" w:line="192" w:lineRule="exact"/>
        <w:rPr>
          <w:sz w:val="20"/>
          <w:szCs w:val="20"/>
          <w:color w:val="auto"/>
        </w:rPr>
      </w:pPr>
    </w:p>
    <w:p>
      <w:pPr>
        <w:jc w:val="both"/>
        <w:ind w:left="40" w:right="59" w:firstLine="648"/>
        <w:spacing w:after="0" w:line="282" w:lineRule="auto"/>
        <w:rPr>
          <w:sz w:val="20"/>
          <w:szCs w:val="20"/>
          <w:color w:val="auto"/>
        </w:rPr>
      </w:pPr>
      <w:r>
        <w:rPr>
          <w:rFonts w:ascii="Times New Roman" w:cs="Times New Roman" w:eastAsia="Times New Roman" w:hAnsi="Times New Roman"/>
          <w:sz w:val="18"/>
          <w:szCs w:val="18"/>
          <w:color w:val="auto"/>
        </w:rPr>
        <w:t>In June 2020, we and Novartis announced that the MHLW approved TABRECTA for METex14 mutation-positive advanced and/or recurrent unresectable NSCLC.</w:t>
      </w:r>
    </w:p>
    <w:p>
      <w:pPr>
        <w:spacing w:after="0" w:line="162"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NSCLC is the most common type of lung cancer, impacting more than 2 million people per year globally. Approximately 3-4 percent of all patients with NSCLC have tumors with a mutation that leads to MET exon 14 skipping. Though rare, this mutation is an indicator of especially poor prognosis and poor responses to standard therapies, including immunotherapy.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65"/>
        </w:trPr>
        <w:tc>
          <w:tcPr>
            <w:tcW w:w="1740" w:type="dxa"/>
            <w:vAlign w:val="bottom"/>
            <w:tcBorders>
              <w:top w:val="single" w:sz="8" w:color="auto"/>
            </w:tcBorders>
          </w:tcPr>
          <w:p>
            <w:pPr>
              <w:spacing w:after="0"/>
              <w:rPr>
                <w:sz w:val="23"/>
                <w:szCs w:val="23"/>
                <w:color w:val="auto"/>
              </w:rPr>
            </w:pPr>
          </w:p>
        </w:tc>
        <w:tc>
          <w:tcPr>
            <w:tcW w:w="7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Indication and status</w:t>
            </w:r>
          </w:p>
        </w:tc>
      </w:tr>
      <w:tr>
        <w:trPr>
          <w:trHeight w:val="59"/>
        </w:trPr>
        <w:tc>
          <w:tcPr>
            <w:tcW w:w="1740" w:type="dxa"/>
            <w:vAlign w:val="bottom"/>
            <w:tcBorders>
              <w:bottom w:val="single" w:sz="8" w:color="auto"/>
            </w:tcBorders>
          </w:tcPr>
          <w:p>
            <w:pPr>
              <w:spacing w:after="0"/>
              <w:rPr>
                <w:sz w:val="5"/>
                <w:szCs w:val="5"/>
                <w:color w:val="auto"/>
              </w:rPr>
            </w:pPr>
          </w:p>
        </w:tc>
        <w:tc>
          <w:tcPr>
            <w:tcW w:w="7180" w:type="dxa"/>
            <w:vAlign w:val="bottom"/>
            <w:tcBorders>
              <w:bottom w:val="single" w:sz="8" w:color="auto"/>
            </w:tcBorders>
          </w:tcPr>
          <w:p>
            <w:pPr>
              <w:spacing w:after="0"/>
              <w:rPr>
                <w:sz w:val="5"/>
                <w:szCs w:val="5"/>
                <w:color w:val="auto"/>
              </w:rPr>
            </w:pPr>
          </w:p>
        </w:tc>
      </w:tr>
      <w:tr>
        <w:trPr>
          <w:trHeight w:val="142"/>
        </w:trPr>
        <w:tc>
          <w:tcPr>
            <w:tcW w:w="1740" w:type="dxa"/>
            <w:vAlign w:val="bottom"/>
            <w:shd w:val="clear" w:color="auto" w:fill="CCEEFF"/>
          </w:tcPr>
          <w:p>
            <w:pPr>
              <w:ind w:left="100"/>
              <w:spacing w:after="0" w:line="142" w:lineRule="exact"/>
              <w:rPr>
                <w:sz w:val="20"/>
                <w:szCs w:val="20"/>
                <w:color w:val="auto"/>
              </w:rPr>
            </w:pPr>
            <w:r>
              <w:rPr>
                <w:rFonts w:ascii="Times New Roman" w:cs="Times New Roman" w:eastAsia="Times New Roman" w:hAnsi="Times New Roman"/>
                <w:sz w:val="16"/>
                <w:szCs w:val="16"/>
                <w:b w:val="1"/>
                <w:bCs w:val="1"/>
                <w:color w:val="auto"/>
              </w:rPr>
              <w:t>baricitinib</w:t>
            </w:r>
          </w:p>
        </w:tc>
        <w:tc>
          <w:tcPr>
            <w:tcW w:w="7180" w:type="dxa"/>
            <w:vAlign w:val="bottom"/>
            <w:shd w:val="clear" w:color="auto" w:fill="CCEEFF"/>
          </w:tcPr>
          <w:p>
            <w:pPr>
              <w:ind w:left="100"/>
              <w:spacing w:after="0" w:line="142" w:lineRule="exact"/>
              <w:rPr>
                <w:sz w:val="20"/>
                <w:szCs w:val="20"/>
                <w:color w:val="auto"/>
              </w:rPr>
            </w:pPr>
            <w:r>
              <w:rPr>
                <w:rFonts w:ascii="Times New Roman" w:cs="Times New Roman" w:eastAsia="Times New Roman" w:hAnsi="Times New Roman"/>
                <w:sz w:val="16"/>
                <w:szCs w:val="16"/>
                <w:color w:val="auto"/>
              </w:rPr>
              <w:t>Atopic dermatitis: Phase III (BREEZE-AD); approved in EU</w:t>
            </w:r>
          </w:p>
        </w:tc>
      </w:tr>
      <w:tr>
        <w:trPr>
          <w:trHeight w:val="238"/>
        </w:trPr>
        <w:tc>
          <w:tcPr>
            <w:tcW w:w="1740" w:type="dxa"/>
            <w:vAlign w:val="bottom"/>
            <w:shd w:val="clear" w:color="auto" w:fill="CCEEFF"/>
          </w:tcPr>
          <w:p>
            <w:pPr>
              <w:ind w:left="100"/>
              <w:spacing w:after="0" w:line="238" w:lineRule="exact"/>
              <w:rPr>
                <w:sz w:val="20"/>
                <w:szCs w:val="20"/>
                <w:color w:val="auto"/>
              </w:rPr>
            </w:pPr>
            <w:r>
              <w:rPr>
                <w:rFonts w:ascii="Times New Roman" w:cs="Times New Roman" w:eastAsia="Times New Roman" w:hAnsi="Times New Roman"/>
                <w:sz w:val="18"/>
                <w:szCs w:val="18"/>
                <w:b w:val="1"/>
                <w:bCs w:val="1"/>
                <w:color w:val="auto"/>
              </w:rPr>
              <w:t>(JAK1/JAK2)</w:t>
            </w:r>
            <w:r>
              <w:rPr>
                <w:rFonts w:ascii="Times New Roman" w:cs="Times New Roman" w:eastAsia="Times New Roman" w:hAnsi="Times New Roman"/>
                <w:sz w:val="26"/>
                <w:szCs w:val="26"/>
                <w:b w:val="1"/>
                <w:bCs w:val="1"/>
                <w:color w:val="auto"/>
                <w:vertAlign w:val="superscript"/>
              </w:rPr>
              <w:t>1</w:t>
            </w:r>
          </w:p>
        </w:tc>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Systemic lupus erythematosus: Phase III</w:t>
            </w:r>
          </w:p>
        </w:tc>
      </w:tr>
      <w:tr>
        <w:trPr>
          <w:trHeight w:val="234"/>
        </w:trPr>
        <w:tc>
          <w:tcPr>
            <w:tcW w:w="1740" w:type="dxa"/>
            <w:vAlign w:val="bottom"/>
            <w:shd w:val="clear" w:color="auto" w:fill="CCEEFF"/>
          </w:tcPr>
          <w:p>
            <w:pPr>
              <w:spacing w:after="0"/>
              <w:rPr>
                <w:sz w:val="20"/>
                <w:szCs w:val="20"/>
                <w:color w:val="auto"/>
              </w:rPr>
            </w:pPr>
          </w:p>
        </w:tc>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Severe alopecia areata: Phase III (BRAVE-AA1, BRAVE-AA2)</w:t>
            </w:r>
          </w:p>
        </w:tc>
      </w:tr>
      <w:tr>
        <w:trPr>
          <w:trHeight w:val="189"/>
        </w:trPr>
        <w:tc>
          <w:tcPr>
            <w:tcW w:w="1740" w:type="dxa"/>
            <w:vAlign w:val="bottom"/>
            <w:shd w:val="clear" w:color="auto" w:fill="CCEEFF"/>
          </w:tcPr>
          <w:p>
            <w:pPr>
              <w:spacing w:after="0"/>
              <w:rPr>
                <w:sz w:val="16"/>
                <w:szCs w:val="16"/>
                <w:color w:val="auto"/>
              </w:rPr>
            </w:pPr>
          </w:p>
        </w:tc>
        <w:tc>
          <w:tcPr>
            <w:tcW w:w="7180" w:type="dxa"/>
            <w:vAlign w:val="bottom"/>
            <w:shd w:val="clear" w:color="auto" w:fill="CCEEFF"/>
          </w:tcPr>
          <w:p>
            <w:pPr>
              <w:spacing w:after="0"/>
              <w:rPr>
                <w:sz w:val="16"/>
                <w:szCs w:val="16"/>
                <w:color w:val="auto"/>
              </w:rPr>
            </w:pPr>
          </w:p>
        </w:tc>
      </w:tr>
      <w:tr>
        <w:trPr>
          <w:trHeight w:val="359"/>
        </w:trPr>
        <w:tc>
          <w:tcPr>
            <w:tcW w:w="17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capmatinib (MET)</w:t>
            </w:r>
            <w:r>
              <w:rPr>
                <w:rFonts w:ascii="Times New Roman" w:cs="Times New Roman" w:eastAsia="Times New Roman" w:hAnsi="Times New Roman"/>
                <w:sz w:val="26"/>
                <w:szCs w:val="26"/>
                <w:b w:val="1"/>
                <w:bCs w:val="1"/>
                <w:color w:val="auto"/>
                <w:vertAlign w:val="superscript"/>
              </w:rPr>
              <w:t>2</w:t>
            </w:r>
          </w:p>
        </w:tc>
        <w:tc>
          <w:tcPr>
            <w:tcW w:w="7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NSCLC (with MET exon 14 skipping mutations): FDA and MHLW approved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20955</wp:posOffset>
            </wp:positionV>
            <wp:extent cx="565785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40" w:lineRule="exact"/>
        <w:rPr>
          <w:sz w:val="20"/>
          <w:szCs w:val="20"/>
          <w:color w:val="auto"/>
        </w:rPr>
      </w:pPr>
    </w:p>
    <w:p>
      <w:pPr>
        <w:ind w:left="200" w:hanging="156"/>
        <w:spacing w:after="0"/>
        <w:tabs>
          <w:tab w:leader="none" w:pos="200" w:val="left"/>
        </w:tabs>
        <w:numPr>
          <w:ilvl w:val="0"/>
          <w:numId w:val="2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Baricitinib licensed to Lilly</w:t>
      </w:r>
    </w:p>
    <w:p>
      <w:pPr>
        <w:spacing w:after="0" w:line="109" w:lineRule="exact"/>
        <w:rPr>
          <w:rFonts w:ascii="Times New Roman" w:cs="Times New Roman" w:eastAsia="Times New Roman" w:hAnsi="Times New Roman"/>
          <w:sz w:val="27"/>
          <w:szCs w:val="27"/>
          <w:color w:val="auto"/>
          <w:vertAlign w:val="superscript"/>
        </w:rPr>
      </w:pPr>
    </w:p>
    <w:p>
      <w:pPr>
        <w:ind w:left="200" w:hanging="156"/>
        <w:spacing w:after="0" w:line="186" w:lineRule="auto"/>
        <w:tabs>
          <w:tab w:leader="none" w:pos="200" w:val="left"/>
        </w:tabs>
        <w:numPr>
          <w:ilvl w:val="0"/>
          <w:numId w:val="2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Capmatinib licensed to Novartis</w:t>
      </w:r>
    </w:p>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License Agreements and Business Relationships</w:t>
      </w:r>
    </w:p>
    <w:p>
      <w:pPr>
        <w:spacing w:after="0" w:line="229" w:lineRule="exact"/>
        <w:rPr>
          <w:sz w:val="20"/>
          <w:szCs w:val="20"/>
          <w:color w:val="auto"/>
        </w:rPr>
      </w:pPr>
    </w:p>
    <w:p>
      <w:pPr>
        <w:jc w:val="both"/>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We establish business relationships, including collaborative arrangements with other companies and medical research institutions to assist in the clinical development and/or commercialization of certain of our drugs and drug candidates and to provide support for our research programs. We also evaluate opportunities for acquiring products or rights to products and technologies that are complementary to our business from other companies and medical research institutions.</w:t>
      </w:r>
    </w:p>
    <w:p>
      <w:pPr>
        <w:spacing w:after="0" w:line="183" w:lineRule="exact"/>
        <w:rPr>
          <w:sz w:val="20"/>
          <w:szCs w:val="20"/>
          <w:color w:val="auto"/>
        </w:rPr>
      </w:pPr>
    </w:p>
    <w:p>
      <w:pPr>
        <w:jc w:val="both"/>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Below is a brief description of our significant business relationships and collaborations and related license agreements that expand our pipeline and provide us with certain rights to existing and potential new products and technologies.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Novartis</w:t>
      </w:r>
    </w:p>
    <w:p>
      <w:pPr>
        <w:spacing w:after="0" w:line="229" w:lineRule="exact"/>
        <w:rPr>
          <w:sz w:val="20"/>
          <w:szCs w:val="20"/>
          <w:color w:val="auto"/>
        </w:rPr>
      </w:pPr>
    </w:p>
    <w:p>
      <w:pPr>
        <w:jc w:val="both"/>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In November 2009, we entered into a Collaboration and License Agreement with Novartis. Under the terms of the agreement, Novartis received exclusive development and commercialization rights outside of the United States to ruxolitinib and certain back-up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back-up compounds in all indications. We retained options to co-develop and to co-promote capmatinib in the United States.</w:t>
      </w:r>
    </w:p>
    <w:p>
      <w:pPr>
        <w:spacing w:after="0" w:line="189" w:lineRule="exact"/>
        <w:rPr>
          <w:sz w:val="20"/>
          <w:szCs w:val="20"/>
          <w:color w:val="auto"/>
        </w:rPr>
      </w:pPr>
    </w:p>
    <w:p>
      <w:pPr>
        <w:jc w:val="both"/>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Under this agreement, we received an upfront payment and immediate milestone payment totaling $210.0 million and were initially eligible to receive additional payments of up to approximately $1.2 billion if defined development, regulatory and sales milestones are achieved. We are also eligible to receive tiered, double-digit royalties ranging from the upper-teens to the mid-twenties percent on future ruxolitinib net sales outside of the United States, and tiered, worldwide royalties on future capmatinib net sales that range from 12% to 14%. In addition, Novartis has received reimbursement and pricing approval for ruxolitinib in a specified number of countries, and we are now obligated to pay to Novartis tiered royalties in the low single-digits on future ruxolitinib net sales within the United States. Each company is responsible for costs relating to the development and commercialization of ruxolitinib in its respective territories, with costs of collaborative studies shared equally. Novartis is also responsible for all costs relating to the development and commercialization of capmatinib.</w:t>
      </w:r>
    </w:p>
    <w:p>
      <w:pPr>
        <w:spacing w:after="0" w:line="194" w:lineRule="exact"/>
        <w:rPr>
          <w:sz w:val="20"/>
          <w:szCs w:val="20"/>
          <w:color w:val="auto"/>
        </w:rPr>
      </w:pPr>
    </w:p>
    <w:p>
      <w:pPr>
        <w:jc w:val="both"/>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In April 2016, we amended this agreement to provide that Novartis has exclusive research, development and commercialization rights outside of the United States to ruxolitinib (excluding topical formulations) in the GVHD field. Under this amendment, we received a $5.0 million payment in exchange for the development and commercialization rights to ruxolitinib in GVHD outside of the United States and became eligible to receive up to $75.0 million of additional potential development and regulatory milestones relating to GVHD.</w:t>
      </w:r>
    </w:p>
    <w:p>
      <w:pPr>
        <w:spacing w:after="0" w:line="183" w:lineRule="exact"/>
        <w:rPr>
          <w:sz w:val="20"/>
          <w:szCs w:val="20"/>
          <w:color w:val="auto"/>
        </w:rPr>
      </w:pPr>
    </w:p>
    <w:p>
      <w:pPr>
        <w:jc w:val="both"/>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In May 2020, we recognized a $25.0 million development milestone and a $45.0 million regulatory milestone for the FDA approval of capmatinib as TABRECTA. In June 2020, we recognized a $20.0 million regulatory milestone for the MHLW approval of TABRECTA. Exclusive of the upfront payment of $150.0 million received in 2009 and the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8"/>
          <w:szCs w:val="18"/>
          <w:color w:val="auto"/>
        </w:rPr>
        <w:t>immediate milestone of $60.0 million earned in 2010, we have recognized and received, in the aggregate, $157.0 million for the achievement of development milestones, $280.0 million for the achievement of regulatory milestones and $120.0 million for the achievement of sales milestones through September 30, 2020.</w:t>
      </w:r>
    </w:p>
    <w:p>
      <w:pPr>
        <w:spacing w:after="0" w:line="176" w:lineRule="exact"/>
        <w:rPr>
          <w:sz w:val="20"/>
          <w:szCs w:val="20"/>
          <w:color w:val="auto"/>
        </w:rPr>
      </w:pPr>
    </w:p>
    <w:p>
      <w:pPr>
        <w:jc w:val="both"/>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The Novartis agreement will continue on a program-by-program basis until Novartis has no royalty payment obligations with respect to such program or, if earlier, the termination of the agreement or any program in accordance with the terms of the agreement. Royalties are payable by Novartis on a product-by-product and country-by-country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Novartis or its affiliates or sublicensees. The agreement may be terminated in its entirety or on a program-by-program basis by Novartis for convenience. The agreement may also be terminated by either party under certain other circumstances, including material breach.</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Lilly</w:t>
      </w:r>
    </w:p>
    <w:p>
      <w:pPr>
        <w:spacing w:after="0" w:line="229" w:lineRule="exact"/>
        <w:rPr>
          <w:sz w:val="20"/>
          <w:szCs w:val="20"/>
          <w:color w:val="auto"/>
        </w:rPr>
      </w:pPr>
    </w:p>
    <w:p>
      <w:pPr>
        <w:jc w:val="both"/>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In December 2009, we entered into a License, Development and Commercialization Agreement with Lilly. Under the terms of the agreement, Lilly received exclusive worldwide development and commercialization rights to baricitinib and certain back-up compounds for inflammatory and autoimmune diseases. We received an initial payment of $90.0 million, and were initially eligible to receive additional payments of up to $665.0 million based on the achievement of defined development, regulatory and sales milestones.</w:t>
      </w:r>
    </w:p>
    <w:p>
      <w:pPr>
        <w:spacing w:after="0" w:line="183" w:lineRule="exact"/>
        <w:rPr>
          <w:sz w:val="20"/>
          <w:szCs w:val="20"/>
          <w:color w:val="auto"/>
        </w:rPr>
      </w:pPr>
    </w:p>
    <w:p>
      <w:pPr>
        <w:jc w:val="both"/>
        <w:ind w:left="40" w:right="59" w:firstLine="648"/>
        <w:spacing w:after="0" w:line="252" w:lineRule="auto"/>
        <w:rPr>
          <w:sz w:val="20"/>
          <w:szCs w:val="20"/>
          <w:color w:val="auto"/>
        </w:rPr>
      </w:pPr>
      <w:r>
        <w:rPr>
          <w:rFonts w:ascii="Times New Roman" w:cs="Times New Roman" w:eastAsia="Times New Roman" w:hAnsi="Times New Roman"/>
          <w:sz w:val="18"/>
          <w:szCs w:val="18"/>
          <w:color w:val="auto"/>
        </w:rPr>
        <w:t>We retained options to co-develop our JAK1/JAK2 inhibitors with Lilly on a compound-by-compound and indication-by-indication basis. Lilly is responsible for all costs relating to the development and commercialization of the compounds unless we elect to co-develop any compounds or indications. If we elect to co-develop any compounds and/or indications, we would be responsible for funding 30% of the associated future global development costs from the initiation of a Phase IIb trial through regulatory approval, including post-launch studies required by a regulatory authority. We would receive an incremental royalty rate increase across all tiers resulting in effective royalty rates ranging up to the high twenties on potential future global net sales for compounds and/or indications that we elect to co-develop. For indications that we elect not to co-develop, we would receive tiered, double-digit royalty payments on future global net sales with rates ranging up to 20% if the product is successfully commercialized. If we have started co-development funding for any indication, we can at any time opt out and stop future co-development cost sharing. If we elect to do this, we would still be eligible for our base royalties plus an incremental pro-rated royalty commensurate with our contribution to the total co-development cost for those indications for which we co-funded. We previously had retained an option to co-promote products in the United States but, in March 2016, we waived our co-promotion option as part of an amendment to the agreement.</w:t>
      </w:r>
    </w:p>
    <w:p>
      <w:pPr>
        <w:spacing w:after="0" w:line="197" w:lineRule="exact"/>
        <w:rPr>
          <w:sz w:val="20"/>
          <w:szCs w:val="20"/>
          <w:color w:val="auto"/>
        </w:rPr>
      </w:pPr>
    </w:p>
    <w:p>
      <w:pPr>
        <w:jc w:val="both"/>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In July 2010, we elected to co-develop baricitinib with Lilly in rheumatoid arthritis, and subsequently in several additional indications, and became responsible for funding 30% of the associated global development costs for such indications from the initiation of the Phase IIb trial through regulatory approval, including post-launch studies required by a regulatory authority. In April 2019, we elected to end additional co-funding of the development of baricitinib in all indications, effective as of January 1, 2019. Pursuant to the terms of the Lilly agreement, we will continue to receive base tiered royalties on global net sales of OLUMIANT in all indications, as well as pro-rated incremental royalties, as described above.</w:t>
      </w:r>
    </w:p>
    <w:p>
      <w:pPr>
        <w:spacing w:after="0" w:line="189" w:lineRule="exact"/>
        <w:rPr>
          <w:sz w:val="20"/>
          <w:szCs w:val="20"/>
          <w:color w:val="auto"/>
        </w:rPr>
      </w:pPr>
    </w:p>
    <w:p>
      <w:pPr>
        <w:jc w:val="both"/>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In March 2016, we entered into an amendment to the agreement with Lilly that allows us to engage in the development and commercialization of ruxolitinib in the GVHD field. Upon execution of the amendment, we paid Lilly an upfront payment of $35.0 million and Lilly is eligible to receive up to $40.0 million in regulatory milestone payments relating to ruxolitinib in the GVHD field. In May 2019, the approval of JAKAFI in steroid-refractory acute GVHD triggered a $20.0 million milestone payment to Lilly.</w:t>
      </w:r>
    </w:p>
    <w:p>
      <w:pPr>
        <w:spacing w:after="0" w:line="183"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In May 2020, we amended our agreement with Lilly to enable Lilly to commercialize baricitinib for the treatment of COVID-19. In addition to the royalties described above, we will be entitled to receive additional royalty payments with rates in the low teens on global net sales of baricitinib for the treatment of COVID-19 that exceed a specified aggregate global net sales threshold.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Exclusive of the upfront payment of $90.0 million received in 2009, we have recognized and received, in the aggregate, $149.0 million for the achievement of development milestones and $235.0 million for the achievement of regulatory milestones through September 30, 2020.</w:t>
      </w:r>
    </w:p>
    <w:p>
      <w:pPr>
        <w:spacing w:after="0" w:line="176" w:lineRule="exact"/>
        <w:rPr>
          <w:sz w:val="20"/>
          <w:szCs w:val="20"/>
          <w:color w:val="auto"/>
        </w:rPr>
      </w:pPr>
    </w:p>
    <w:p>
      <w:pPr>
        <w:jc w:val="both"/>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The Lilly agreement will continue until Lilly no longer has any royalty payment obligations or, if earlier, the termination of the agreement in accordance with its terms. Royalties are payable by Lilly on a product-by-product and country-by-country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Lilly or its affiliates or sublicensees. The agreement may be terminated by Lilly for convenience, and may also be terminated under certain other circumstances, including material breach.</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Agenus</w:t>
      </w:r>
    </w:p>
    <w:p>
      <w:pPr>
        <w:spacing w:after="0" w:line="229"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In January 2015, we entered into a License, Development and Commercialization Agreement with Agenus Inc. and its wholly-owned subsidiary, 4-Antibody AG (now known as Agenus Switzerland Inc.), which we collectively refer to as Agenus. Under this agreement, the parties have agreed to collaborate on the discovery of novel immuno-therapeutics using Agenus’ antibody discovery platforms. In February 2017, we and Agenus amended this agreement.</w:t>
      </w:r>
    </w:p>
    <w:p>
      <w:pPr>
        <w:spacing w:after="0" w:line="180" w:lineRule="exact"/>
        <w:rPr>
          <w:sz w:val="20"/>
          <w:szCs w:val="20"/>
          <w:color w:val="auto"/>
        </w:rPr>
      </w:pPr>
    </w:p>
    <w:p>
      <w:pPr>
        <w:jc w:val="both"/>
        <w:ind w:left="40" w:right="59" w:firstLine="648"/>
        <w:spacing w:after="0" w:line="252" w:lineRule="auto"/>
        <w:rPr>
          <w:sz w:val="20"/>
          <w:szCs w:val="20"/>
          <w:color w:val="auto"/>
        </w:rPr>
      </w:pPr>
      <w:r>
        <w:rPr>
          <w:rFonts w:ascii="Times New Roman" w:cs="Times New Roman" w:eastAsia="Times New Roman" w:hAnsi="Times New Roman"/>
          <w:sz w:val="18"/>
          <w:szCs w:val="18"/>
          <w:color w:val="auto"/>
        </w:rPr>
        <w:t>Under the terms of this agreement, as amended, we received exclusive worldwide development and commercialization rights to four checkpoint modulators directed against GITR, OX40, LAG-3 and TIM-3. In addition to the initial four program targets, we and Agenus have the option to jointly nominate and pursue additional targets within the framework of the collaboration, and in November 2015, three more targets were added. Targets may be designated profit-share programs, where all costs and profits are shared equally by us and Agenus, or royalty-bearing programs, where we are responsible for all costs associated with discovery, preclinical, clinical development and commercialization activities. The programs relating to GITR and OX40 and two of the undisclosed targets were profit-share programs until February 2017, while the other targets currently under collaboration are royalty-bearing programs. The February 2017 amendment converted the programs relating to GITR and OX40 to royalty-bearing programs and removed from the collaboration the profit-share programs relating to the two undisclosed targets, with one reverting to us and one reverting to Agenus. Should any of those removed programs be successfully developed by a party, the other party will be eligible to receive the same milestone payments as the royalty-bearing programs and royalties at a 15% rate on global net sales. There are currently no profit-share programs. For each royalty-bearing product other than GITR and OX40, Agenus will be eligible to receive tiered royalties on global net sales ranging from 6% to 12%. For GITR and OX40, Agenus will be eligible to receive 15% royalties on global net sales. Under the February 2017 amendment, we paid Agenus $20.0 million in accelerated milestones relating to the clinical development of the GITR and OX40 programs. Agenus was initially eligible to receive up to an additional $510.0 million in future contingent development, regulatory and commercialization milestones across all programs in the collaboration. As of September 30, 2020, we have paid Agenus an aggregate of $10.0 million in development milestones. The agreement may be terminated by us for convenience upon 12 months’ notice and may also be terminated under certain other circumstances, including material breach.</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Takeda (ARIAD)</w:t>
      </w:r>
    </w:p>
    <w:p>
      <w:pPr>
        <w:spacing w:after="0" w:line="229" w:lineRule="exact"/>
        <w:rPr>
          <w:sz w:val="20"/>
          <w:szCs w:val="20"/>
          <w:color w:val="auto"/>
        </w:rPr>
      </w:pPr>
    </w:p>
    <w:p>
      <w:pPr>
        <w:jc w:val="both"/>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In June 2016, we acquired from ARIAD Pharmaceuticals, Inc. all of the outstanding shares of ARIAD Pharmaceuticals (Luxembourg) S.à.r.l., the parent company of ARIAD’s European subsidiaries responsible for the development and commercialization of ICLUSIG in the European Union and other countries. We obtained an exclusive license to develop and commercialize ICLUSIG in Europe and other select countries. ARIAD was subsequently acquired by Takeda Pharmaceutical Company Limited in 2017. As such, Takeda will be eligible to receive from us tiered royalties on net sales of ICLUSIG in our territory and up to $135.0 million in potential future oncology development and regulatory approval milestone payments, together with additional milestone payments for non-oncology indications, if approved, in our territory.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Merus</w:t>
      </w:r>
    </w:p>
    <w:p>
      <w:pPr>
        <w:spacing w:after="0" w:line="229"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In December 2016, we entered into a Collaboration and License Agreement with Merus N.V. Under this agreement, which became effective in January 2017, the parties have agreed to collaborate with respect to the research, discovery and development of bispecific antibodies utilizing Merus’ technology platform. The collaboration encompasses up to eleven independent programs.</w:t>
      </w:r>
    </w:p>
    <w:p>
      <w:pPr>
        <w:spacing w:after="0" w:line="180"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The most advanced collaboration program is MCLA-145, a bispecific antibody targeting PD-L1 and CD137, for which we received exclusive development and commercialization rights outside of the United States. Merus retained exclusive development and commercialization rights in the United States to MCLA-145. Each party will share equally the costs of mutually agreed global development activities for MCLA-145, and fund itself any independent development activities in its territory. Merus will be responsible for commercializing MCLA-145 in the United States and we will be responsible for commercializing it outside of the United States.</w:t>
      </w:r>
    </w:p>
    <w:p>
      <w:pPr>
        <w:spacing w:after="0" w:line="187" w:lineRule="exact"/>
        <w:rPr>
          <w:sz w:val="20"/>
          <w:szCs w:val="20"/>
          <w:color w:val="auto"/>
        </w:rPr>
      </w:pPr>
    </w:p>
    <w:p>
      <w:pPr>
        <w:jc w:val="both"/>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In addition to receiving rights to MCLA-145 outside of the United States, we received worldwide exclusive development and commercialization rights to up to ten additional programs. Of these ten additional programs, Merus retained the option, subject to certain conditions, to co-fund development of up to two such programs. If Merus exercises its co-funding option for a program, Merus would be responsible for funding 35% of the associated future global development costs and, for certain of such programs, would be responsible for reimbursing us for certain development costs incurred prior to the option exercise. Merus will also have the right to participate in a specified proportion of detailing activities in the United States for one of those co-developed programs. All costs related to the co-funded collaboration programs are subject to joint research and development plans and overseen by a joint development committee, but we will have final determination as to such plans in cases of dispute. We will be responsible for all research, development and commercialization costs relating to all other programs.</w:t>
      </w:r>
    </w:p>
    <w:p>
      <w:pPr>
        <w:spacing w:after="0" w:line="194" w:lineRule="exact"/>
        <w:rPr>
          <w:sz w:val="20"/>
          <w:szCs w:val="20"/>
          <w:color w:val="auto"/>
        </w:rPr>
      </w:pPr>
    </w:p>
    <w:p>
      <w:pPr>
        <w:jc w:val="both"/>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In February 2017, we paid Merus an upfront non-refundable payment of $120.0 million. For each program as to which Merus does not have commercialization or development co-funding rights, Merus will be eligible to receive up to $100.0 million in future contingent development and regulatory milestones, and up to $250.0 million in commercialization milestones as well as tiered royalties ranging from 6% to 10% of global net sales. For each program as to which Merus exercises its option to co-fund development, Merus will be eligible to receive a 50% share of profits (or sustain 50% of any losses) in the United States and be eligible to receive tiered royalties ranging from 6% to 10% of net sales of products outside of the United States. If Merus opts to cease co-funding a program as to which it exercised its co-development option, then Merus will no longer receive a share of profits in the United States but will be eligible to receive the same milestones from the co-funding termination date and the same tiered royalties described above with respect to programs where Merus does not have a right to co-fund development and, depending on the stage at which Merus chose to cease co-funding development costs, Merus will be eligible to receive additional royalties ranging up to 4% of net sales in the United States. For MCLA-145, we and Merus will each be eligible to receive tiered royalties on net sales in the other party’s territory at rates ranging from 6% to 10%.</w:t>
      </w:r>
    </w:p>
    <w:p>
      <w:pPr>
        <w:spacing w:after="0" w:line="187" w:lineRule="exact"/>
        <w:rPr>
          <w:sz w:val="20"/>
          <w:szCs w:val="20"/>
          <w:color w:val="auto"/>
        </w:rPr>
      </w:pPr>
    </w:p>
    <w:p>
      <w:pPr>
        <w:jc w:val="both"/>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The Merus agreement will continue on a program-by-program basis until we have no royalty payment obligations with respect to such program or, if earlier, the termination of the agreement or any program in accordance with the terms of the agreement. The agreement may be terminated in its entirety or on a program-by-program basis by us for convenience. The agreement may also be terminated by either party under certain other circumstances, including material breach, as set forth in the agreement. If the agreement is terminated with respect to one or more programs, all rights in the terminated programs revert to Merus, subject to payment to us of a reverse royalty of up to 4% on sales of future products, if Merus elects to pursue development and commercialization of products arising from the terminated programs.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Calithera</w:t>
      </w:r>
    </w:p>
    <w:p>
      <w:pPr>
        <w:spacing w:after="0" w:line="229" w:lineRule="exact"/>
        <w:rPr>
          <w:sz w:val="20"/>
          <w:szCs w:val="20"/>
          <w:color w:val="auto"/>
        </w:rPr>
      </w:pPr>
    </w:p>
    <w:p>
      <w:pPr>
        <w:jc w:val="both"/>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In January 2017, we entered into a Collaboration and License Agreement with Calithera Biosciences, Inc. Under this agreement, we received an exclusive, worldwide license to develop and commercialize small molecule arginase inhibitors, including INCB01158 (CB-1158), which is currently in Phase I clinical trials, for hematology and oncology indications. We have agreed to co-fund 70% of the global development costs for the development of the licensed products for hematology and oncology indications. Calithera will have the right to conduct certain clinical development under the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8"/>
          <w:szCs w:val="18"/>
          <w:color w:val="auto"/>
        </w:rPr>
        <w:t>collaboration, including combination studies of a licensed product with a proprietary compound of Calithera. We will be entitled to 60% of the profits and losses from net sales of licensed product in the United States, and Calithera will have the right to co-detail licensed products in the United States, and we have agreed to pay Calithera tiered royalties ranging from the low to mid-double digits on net sales of licensed products outside the United States.</w:t>
      </w:r>
    </w:p>
    <w:p>
      <w:pPr>
        <w:spacing w:after="0" w:line="180" w:lineRule="exact"/>
        <w:rPr>
          <w:sz w:val="20"/>
          <w:szCs w:val="20"/>
          <w:color w:val="auto"/>
        </w:rPr>
      </w:pPr>
    </w:p>
    <w:p>
      <w:pPr>
        <w:jc w:val="both"/>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Calithera retains rights to certain arginase inhibitors that are not part of the collaboration for specific orphan indications outside of hematology and oncology, subject to our rights to negotiate a license for any such programs under specified circumstances if Calithera elects to out-license them.</w:t>
      </w:r>
    </w:p>
    <w:p>
      <w:pPr>
        <w:spacing w:after="0" w:line="176" w:lineRule="exact"/>
        <w:rPr>
          <w:sz w:val="20"/>
          <w:szCs w:val="20"/>
          <w:color w:val="auto"/>
        </w:rPr>
      </w:pPr>
    </w:p>
    <w:p>
      <w:pPr>
        <w:jc w:val="both"/>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In January 2017, we paid Calithera an upfront license fee of $45.0 million and have agreed to pay potential development, regulatory and sales milestone payments of over $430.0 million if the profit share is in effect, or $750.0 million if the profit share terminates.</w:t>
      </w:r>
    </w:p>
    <w:p>
      <w:pPr>
        <w:spacing w:after="0" w:line="176" w:lineRule="exact"/>
        <w:rPr>
          <w:sz w:val="20"/>
          <w:szCs w:val="20"/>
          <w:color w:val="auto"/>
        </w:rPr>
      </w:pPr>
    </w:p>
    <w:p>
      <w:pPr>
        <w:jc w:val="both"/>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In August 2020, Calithera delivered notice of its decision to opt out of its co-funding obligation, effective on September 30, 2020. As a result, the U.S. profit sharing will no longer be in effect, we will be responsible for funding all of the development costs of INCB01158 and any other licensed products, and the agreement provides that we will pay Calithera tiered royalties ranging from the low to mid-double digits on net sales of licensed products both in the United States and outside the United States and additional royalties to reimburse Calithera for previously incurred development costs. In addition, the total remaining potential development, regulatory and sales milestone payments will be $738.0 million and Calithera will have no further rights to research, develop or co-detail INCB001158 and we will have the right to take over the conduct of all activities related to the research, development and commercialization of INCB001158 for all indications in the hematology/oncology field.</w:t>
      </w:r>
    </w:p>
    <w:p>
      <w:pPr>
        <w:spacing w:after="0" w:line="188" w:lineRule="exact"/>
        <w:rPr>
          <w:sz w:val="20"/>
          <w:szCs w:val="20"/>
          <w:color w:val="auto"/>
        </w:rPr>
      </w:pPr>
    </w:p>
    <w:p>
      <w:pPr>
        <w:jc w:val="both"/>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The Calithera agreement will continue on a product-by-product and country-by-country basis for so long as we are developing or commercializing products in the United States (if the parties are sharing profits in the United States) and until we have no further royalty payment obligations, unless earlier terminated according to the terms of the agreement. The agreement may be terminated in its entirety or on a product-by-product and/or a country-by-country basis by us for convenience. The agreement may also be terminated by us for Calithera’s uncured material breach, by Calithera for our uncured material breach and by either party for bankruptcy or patent challenge. If the agreement is terminated early with respect to one or more products or countries, all rights in the terminated products and countries revert to Calithera.</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MacroGenics</w:t>
      </w:r>
    </w:p>
    <w:p>
      <w:pPr>
        <w:spacing w:after="0" w:line="229" w:lineRule="exact"/>
        <w:rPr>
          <w:sz w:val="20"/>
          <w:szCs w:val="20"/>
          <w:color w:val="auto"/>
        </w:rPr>
      </w:pPr>
    </w:p>
    <w:p>
      <w:pPr>
        <w:jc w:val="both"/>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In October 2017, we entered into a Global Collaboration and License Agreement with MacroGenics. Under this agreement, we received exclusive development and commercialization rights worldwide to MacroGenics’ INCMGA0012, an investigational monoclonal antibody that inhibits PD-1. Except as set forth in the succeeding sentence, we will have sole authority over and bear all costs and expenses in connection with the development and commercialization of INCMGA0012 in all indications, whether as a monotherapy or as part of a combination regimen. MacroGenics has retained the right to develop and commercialize, at its cost and expense, its pipeline assets in combination with INCMGA0012. In addition, MacroGenics has the right to manufacture a portion of both companies’ global clinical and commercial supply needs of INCMGA0012. As of September 30, 2020, we have paid MacroGenics an upfront payment of $150.0 million and milestones totaling $30.0 million. MacroGenics will be eligible to receive up to an additional $390.0 million in future contingent development and regulatory milestones, and up to $330.0 million in commercial milestones as well as tiered royalties ranging from 15% to 24% of global net sales.</w:t>
      </w:r>
    </w:p>
    <w:p>
      <w:pPr>
        <w:spacing w:after="0" w:line="192" w:lineRule="exact"/>
        <w:rPr>
          <w:sz w:val="20"/>
          <w:szCs w:val="20"/>
          <w:color w:val="auto"/>
        </w:rPr>
      </w:pPr>
    </w:p>
    <w:p>
      <w:pPr>
        <w:jc w:val="both"/>
        <w:ind w:left="40" w:right="59" w:firstLine="648"/>
        <w:spacing w:after="0" w:line="259" w:lineRule="auto"/>
        <w:rPr>
          <w:sz w:val="20"/>
          <w:szCs w:val="20"/>
          <w:color w:val="auto"/>
        </w:rPr>
      </w:pPr>
      <w:r>
        <w:rPr>
          <w:rFonts w:ascii="Times New Roman" w:cs="Times New Roman" w:eastAsia="Times New Roman" w:hAnsi="Times New Roman"/>
          <w:sz w:val="18"/>
          <w:szCs w:val="18"/>
          <w:color w:val="auto"/>
        </w:rPr>
        <w:t>The MacroGenics agreement will continue until we are no longer commercializing, developing or manufacturing INCMGA0012 or, if earlier, the termination of the agreement in accordance with its terms. The agreement may be terminated in its entirety or on a licensed product by licensed product basis by us for convenience. The agreement may also be terminated by either party under certain other circumstances, including material breach, as set forth in the agreement.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Syros</w:t>
      </w:r>
    </w:p>
    <w:p>
      <w:pPr>
        <w:spacing w:after="0" w:line="229" w:lineRule="exact"/>
        <w:rPr>
          <w:sz w:val="20"/>
          <w:szCs w:val="20"/>
          <w:color w:val="auto"/>
        </w:rPr>
      </w:pPr>
    </w:p>
    <w:p>
      <w:pPr>
        <w:jc w:val="both"/>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In January 2018, we entered into a target discovery, research collaboration and option agreement with Syros Pharmaceuticals, Inc. Under this agreement, Syros will use its proprietary gene control platform to identify novel therapeutic targets with a focus in myeloproliferative neoplasms and we have received options to obtain exclusive worldwide rights to intellectual property resulting from the collaboration for up to seven validated targets. We will have exclusive worldwide rights to develop and commercialize any therapies under the collaboration that modulate those validated targets. We paid Syros $2.5 million in cash for access to proprietary technology and $7.5 million in cash for research and development services. We have agreed to pay Syros up to $54.0 million in target selection and option exercise fees should we decide to exercise all of our options under the agreement. For products resulting from the collaboration against each of the seven selected and validated targets, we have agreed to pay up to $50.0 million in potential development and regulatory milestones and up to $65.0 million in potential sales milestones. Syros is also eligible to receive low single-digit royalties on net sales of products resulting from the collaboration.</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Innovent</w:t>
      </w:r>
    </w:p>
    <w:p>
      <w:pPr>
        <w:spacing w:after="0" w:line="229" w:lineRule="exact"/>
        <w:rPr>
          <w:sz w:val="20"/>
          <w:szCs w:val="20"/>
          <w:color w:val="auto"/>
        </w:rPr>
      </w:pPr>
    </w:p>
    <w:p>
      <w:pPr>
        <w:jc w:val="both"/>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In December 2018, we entered into a research collaboration and licensing agreement with Innovent Biologics, Inc. Under the terms of this agreement, Innovent received exclusive development and commercialization rights to pemigatinib and our clinical-stage product candidates itacitinib and parsaclisib in hematology and oncology in mainland China, Hong Kong, Macau and Taiwan. In January 2019, we recognized an upfront payment under this agreement of $40.0 million upon our transfer of the intellectual property related to the clinical-stage product candidates to Innovent. In addition, we were initially eligible to receive $20.0 million in connection with the first related IND filing in China, up to an additional $129.0 million in potential development and regulatory milestones, and up to $202.5 million in potential sales milestones. We are also eligible to receive tiered royalties from the high-teens to the low-twenties on future sales of products resulting from the collaboration. We retain an option to assist in the promotion of the three product candidates in the Innovent territories. In June 2019, we recognized the $20.0 million milestone for the first related IND filing in China. In April 2020, we recognized a $5.0 million milestone for the FDA approval of pemigatinib as PEMAZYRE.</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Zai Lab</w:t>
      </w:r>
    </w:p>
    <w:p>
      <w:pPr>
        <w:spacing w:after="0" w:line="229" w:lineRule="exact"/>
        <w:rPr>
          <w:sz w:val="20"/>
          <w:szCs w:val="20"/>
          <w:color w:val="auto"/>
        </w:rPr>
      </w:pPr>
    </w:p>
    <w:p>
      <w:pPr>
        <w:jc w:val="both"/>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In July 2019, we entered into a collaboration and license agreement with a subsidiary of Zai Lab Limited. Under the terms of this agreement, Zai Lab received development and exclusive commercialization rights to INCMGA0012 in hematology and oncology in mainland China, Hong Kong, Macau and Taiwan. We recognized an upfront payment under this agreement of $17.5 million in August 2019 upon our transfer of technology related to the licensed product candidate to Zai Lab, and are eligible to receive an additional $60.0 million in potential development, regulatory and sales milestones, as well as tiered royalties from the low to mid-twenties. We also retain an option to assist in the promotion of INCMGA0012 in Zai Lab’s licensed territories.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MorphoSys</w:t>
      </w:r>
    </w:p>
    <w:p>
      <w:pPr>
        <w:spacing w:after="0" w:line="229" w:lineRule="exact"/>
        <w:rPr>
          <w:sz w:val="20"/>
          <w:szCs w:val="20"/>
          <w:color w:val="auto"/>
        </w:rPr>
      </w:pPr>
    </w:p>
    <w:p>
      <w:pPr>
        <w:jc w:val="both"/>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In January 2020, we entered into a Collaboration and License Agreement with MorphoSys AG and MorphoSys US Inc., a wholly-owned subsidiary of MorphoSys AG, covering the worldwide development and commercialization of MOR208 (tafasitamab), an investigational Fc engineered monoclonal antibody directed against the target molecule CD19. MorphoSys gained exclusive worldwide development and commercialization rights to tafasitamab under a June 2010 collaboration and license agreement with Xencor, Inc. Our agreement with MorphoSys became effective in March 2020 after clearance by the German and Austrian antitrust authorities and expiration of the waiting period under the Hart-Scott Rodino Antitrust Improvements Act of 1976.</w:t>
      </w:r>
    </w:p>
    <w:p>
      <w:pPr>
        <w:spacing w:after="0" w:line="189"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Under the terms of the agreement, we received exclusive commercialization rights outside of the United States, and MorphoSys and we have co-commercialization rights in the United States, with respect to tafasitamab. MorphoSys is responsible for leading the commercialization strategy and booking all revenue from sales of tafasitamab in the United States, and we and MorphoSys are both responsible for commercialization efforts in the United States and will share equally the profits and losses from the co-commercialization efforts. We will lead the commercialization strategy outside of the United States, and will be responsible for commercialization efforts and book all revenue from sales of tafasitamab</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8"/>
          <w:szCs w:val="18"/>
          <w:color w:val="auto"/>
        </w:rPr>
        <w:t>outside of the United States, subject to our royalty payment obligations set forth below. We and MorphoSys have agreed to co-develop tafasitamab and to share development costs associated with global and U.S.-specific clinical trials, with Incyte responsible for 55% of such costs and MorphoSys responsible for 45% of such costs. Each company is responsible for funding any independent development activities, and we are responsible for funding development activities specific to territories outside of the United States. All development costs related to the collaboration are subject to a joint development plan.</w:t>
      </w:r>
    </w:p>
    <w:p>
      <w:pPr>
        <w:spacing w:after="0" w:line="187" w:lineRule="exact"/>
        <w:rPr>
          <w:sz w:val="20"/>
          <w:szCs w:val="20"/>
          <w:color w:val="auto"/>
        </w:rPr>
      </w:pPr>
    </w:p>
    <w:p>
      <w:pPr>
        <w:jc w:val="both"/>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In March 2020, we paid MorphoSys an upfront non-refundable payment of $750.0 million. MorphoSys is eligible to receive up to $740.0 million in future contingent development and regulatory milestones and up to $315.0 million in commercialization milestones as well as tiered royalties ranging from the mid-teens to mid-twenties of net sales outside of the United States. MorphoSys’ right to receive royalties in any particular country will expire upon the last to occur of (a) the expiration of patent rights in that particular country, (b) a specified period of time after the first post-marketing authorization sale of a licensed product comprising tafasitamab in that country, and (c) the expiration of any regulatory exclusivity for that licensed product in that country.</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Estimates</w:t>
      </w:r>
    </w:p>
    <w:p>
      <w:pPr>
        <w:spacing w:after="0" w:line="229" w:lineRule="exact"/>
        <w:rPr>
          <w:sz w:val="20"/>
          <w:szCs w:val="20"/>
          <w:color w:val="auto"/>
        </w:rPr>
      </w:pPr>
    </w:p>
    <w:p>
      <w:pPr>
        <w:jc w:val="both"/>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requires us to make estimates, assumptions and judgments that affect the reported amounts of assets, liabilities, revenues and expenses, and related disclosures of contingent assets and liabilities. On an ongoing basis, we evaluate our estimates. We base our estimates on historical experience and various other assumptions that we believe to be reasonable under the circumstances, the results of which form our basis for making judgments about the carrying values of assets and liabilities that are not readily apparent from other sources. Actual results may differ from those estimates under different assumptions or conditions. We believe the following critical accounting policies reflect the more significant judgments and estimates used in the preparation of our condensed consolidated financial statements. See Note 2 of Notes to the Condensed Consolidated Financial Statements for a complete list of our significant accounting policies.</w:t>
      </w:r>
    </w:p>
    <w:p>
      <w:pPr>
        <w:spacing w:after="0" w:line="184" w:lineRule="exact"/>
        <w:rPr>
          <w:sz w:val="20"/>
          <w:szCs w:val="20"/>
          <w:color w:val="auto"/>
        </w:rPr>
      </w:pPr>
    </w:p>
    <w:p>
      <w:pPr>
        <w:jc w:val="both"/>
        <w:ind w:left="40" w:right="59"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We recognize revenue only when we have satisfied a performance obligation 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transferring control of the promised good or service to a customer. Control, in this instance, may mean the ability to prevent other entities from directing the use of, and receiving benefit from, a good or service. The standard indicates that an entity must determine at contract inception whether it will transfer control of a promised good or service over time or satisfy the performance obligation at a point in time through analysis of the following criteria: (i) the entity has a present right to payment, (ii) the customer has legal title, (iii) the customer has physical possession, (iv) the customer has the significant risks and rewards of ownership and (v) the customer has accepted the asset. We assess collectability based primarily on the customer’s payment history and on the creditworthiness of the customer.</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Product Revenues</w:t>
      </w:r>
    </w:p>
    <w:p>
      <w:pPr>
        <w:spacing w:after="0" w:line="227" w:lineRule="exact"/>
        <w:rPr>
          <w:sz w:val="20"/>
          <w:szCs w:val="20"/>
          <w:color w:val="auto"/>
        </w:rPr>
      </w:pPr>
    </w:p>
    <w:p>
      <w:pPr>
        <w:jc w:val="both"/>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Our product revenues consist of U.S. sales of JAKAFI and PEMAZYRE and European sales of ICLUSIG. Product revenues are recognized once we satisfy the performance obligation at a point in time under the revenue recognition criteria as described above. We recognize revenues for product received by our customers net of allowances for customer credits, including estimated rebates, chargebacks, discounts, returns, distribution service fees, patient assistance programs, and government rebates, such as Medicare Part D coverage gap reimbursements in the U.S. These sales allowances and accruals are recorded based on estimates which are described in detail below. Estimates are assessed as of the end of each reporting period and are updated to reflect current information. We believe that our sales allowances and accruals are reasonable and appropriate based on current facts and circumstances.</w:t>
      </w:r>
    </w:p>
    <w:p>
      <w:pPr>
        <w:spacing w:after="0" w:line="190"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Customer Credits: </w:t>
      </w:r>
      <w:r>
        <w:rPr>
          <w:rFonts w:ascii="Times New Roman" w:cs="Times New Roman" w:eastAsia="Times New Roman" w:hAnsi="Times New Roman"/>
          <w:sz w:val="18"/>
          <w:szCs w:val="18"/>
          <w:color w:val="auto"/>
        </w:rPr>
        <w:t>Our customers are offered various forms of consideration, including allowances, service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prompt payment discounts. We expect our customers will earn prompt payment discounts and, therefore, we deduct the full amount of these discounts from total product sales when revenues are recognized. Service fees are also deducted from total product sales as they are earned.</w:t>
      </w:r>
    </w:p>
    <w:p>
      <w:pPr>
        <w:spacing w:after="0" w:line="180" w:lineRule="exact"/>
        <w:rPr>
          <w:sz w:val="20"/>
          <w:szCs w:val="20"/>
          <w:color w:val="auto"/>
        </w:rPr>
      </w:pPr>
    </w:p>
    <w:p>
      <w:pPr>
        <w:jc w:val="both"/>
        <w:ind w:left="40" w:right="5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Rebates and Discounts: </w:t>
      </w:r>
      <w:r>
        <w:rPr>
          <w:rFonts w:ascii="Times New Roman" w:cs="Times New Roman" w:eastAsia="Times New Roman" w:hAnsi="Times New Roman"/>
          <w:sz w:val="18"/>
          <w:szCs w:val="18"/>
          <w:color w:val="auto"/>
        </w:rPr>
        <w:t>We accrue rebates for mandated discounts under the Medicaid Drug Rebate Program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U.S. and mandated discounts in Europe in markets where government-sponsored healthcare systems are the primary</w:t>
      </w:r>
    </w:p>
    <w:p>
      <w:pPr>
        <w:sectPr>
          <w:pgSz w:w="11900" w:h="16838" w:orient="portrait"/>
          <w:cols w:equalWidth="0" w:num="1">
            <w:col w:w="9019"/>
          </w:cols>
          <w:pgMar w:left="1440" w:top="513" w:right="1440"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8"/>
          <w:szCs w:val="18"/>
          <w:color w:val="auto"/>
        </w:rPr>
        <w:t>payers for healthcare. These accruals are based on statutory discount rates and expected utilization as well as historical data we have accumulated since product launch. Our estimates for expected utilization of rebates are based on data received from our customers. Rebates are generally invoiced and paid in arrears so that the accrual balance consists of an estimate of the amount expected to be incurred for the current quarter’s activity, plus an accrual balance for known prior quarters’ unpaid rebates. If actual future rebates vary from estimates, we may need to adjust prior period accruals, which would affect revenue in the period of adjustment.</w:t>
      </w:r>
    </w:p>
    <w:p>
      <w:pPr>
        <w:spacing w:after="0" w:line="185" w:lineRule="exact"/>
        <w:rPr>
          <w:sz w:val="20"/>
          <w:szCs w:val="20"/>
          <w:color w:val="auto"/>
        </w:rPr>
      </w:pPr>
    </w:p>
    <w:p>
      <w:pPr>
        <w:jc w:val="both"/>
        <w:ind w:left="40" w:right="5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Chargebacks: </w:t>
      </w:r>
      <w:r>
        <w:rPr>
          <w:rFonts w:ascii="Times New Roman" w:cs="Times New Roman" w:eastAsia="Times New Roman" w:hAnsi="Times New Roman"/>
          <w:sz w:val="18"/>
          <w:szCs w:val="18"/>
          <w:color w:val="auto"/>
        </w:rPr>
        <w:t>Chargebacks are discounts that occur when certain contracted customers purchase directly from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wholesalers at a discounted price. The wholesalers, in turn, charges back to us the difference between the price initially paid by the wholesalers and the discounted price paid by the contracted customers. In addition to actual chargebacks received, we maintain an accrual for chargebacks based on the estimated contractual discounts on the inventory levels on hand in our distribution channel. If actual future chargebacks vary from these estimates, we may need to adjust prior period accruals, which would affect revenue in the period of adjustment.</w:t>
      </w:r>
    </w:p>
    <w:p>
      <w:pPr>
        <w:spacing w:after="0" w:line="182" w:lineRule="exact"/>
        <w:rPr>
          <w:sz w:val="20"/>
          <w:szCs w:val="20"/>
          <w:color w:val="auto"/>
        </w:rPr>
      </w:pPr>
    </w:p>
    <w:p>
      <w:pPr>
        <w:jc w:val="both"/>
        <w:ind w:left="40" w:right="5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Medicare Part D Coverage Gap: </w:t>
      </w:r>
      <w:r>
        <w:rPr>
          <w:rFonts w:ascii="Times New Roman" w:cs="Times New Roman" w:eastAsia="Times New Roman" w:hAnsi="Times New Roman"/>
          <w:sz w:val="18"/>
          <w:szCs w:val="18"/>
          <w:color w:val="auto"/>
        </w:rPr>
        <w:t>Medicare Part D prescription drug benefit mandates manufacturers to fund 70%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Medicare Part D insurance coverage gap for prescription drugs sold to eligible patients. Our estimates for the expected Medicare Part D coverage gap are based on historical invoices received and in part from data received from our customers. Funding of the coverage gap is generally invoiced and paid in arrears so that the accrual balance consists of an estimate of the amount expected to be incurred for the current quarter’s activity, plus an accrual balance for known prior quarters. If actual future funding varies from estimates, we may need to adjust prior period accruals, which would affect revenue in the period of adjustment. Additionally, beginning in January 2020, the amount of spending required by eligible patients in the Medicare Part D insurance coverage gap increased 30% due to the expiration of a provision in the Patient Protection and Affordable Care Act, which now results in a change in the True Out of Pocket (TrOOP) calculation methodology. The methodological change has resulted in an increase in required spending by patients and, in turn, an increase in manufacturers’ contributions on behalf of patients in the Medicare Part D insurance coverage gap.</w:t>
      </w:r>
    </w:p>
    <w:p>
      <w:pPr>
        <w:spacing w:after="0" w:line="192" w:lineRule="exact"/>
        <w:rPr>
          <w:sz w:val="20"/>
          <w:szCs w:val="20"/>
          <w:color w:val="auto"/>
        </w:rPr>
      </w:pPr>
    </w:p>
    <w:p>
      <w:pPr>
        <w:jc w:val="both"/>
        <w:ind w:left="40" w:right="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Co-payment Assistance: </w:t>
      </w:r>
      <w:r>
        <w:rPr>
          <w:rFonts w:ascii="Times New Roman" w:cs="Times New Roman" w:eastAsia="Times New Roman" w:hAnsi="Times New Roman"/>
          <w:sz w:val="18"/>
          <w:szCs w:val="18"/>
          <w:color w:val="auto"/>
        </w:rPr>
        <w:t>Patients who have commercial insurance and meet certain eligibility requirements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co-payment assistance. We accrue a liability for co-payment assistance based on actual program participation and estimates of program redemption using data provided by third-party administrators.</w:t>
      </w:r>
    </w:p>
    <w:p>
      <w:pPr>
        <w:spacing w:after="0" w:line="1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Product Royalty Revenues</w:t>
      </w:r>
    </w:p>
    <w:p>
      <w:pPr>
        <w:spacing w:after="0" w:line="227" w:lineRule="exact"/>
        <w:rPr>
          <w:sz w:val="20"/>
          <w:szCs w:val="20"/>
          <w:color w:val="auto"/>
        </w:rPr>
      </w:pPr>
    </w:p>
    <w:p>
      <w:pPr>
        <w:jc w:val="both"/>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Royalty revenues on commercial sales for JAKAVI and TABRECTA by Novartis are estimated based on information provided by Novartis. Royalty revenues on commercial sales for OLUMIANT by Lilly are estimated based on information provided by Lilly. We exercise judgment in determining whether the information provided is sufficiently reliable for us to base our royalty revenue recognition thereon. If actual royalties vary from estimates, we may need to adjust the prior period, which would affect royalty revenue and receivable in the period of adjustment.</w:t>
      </w:r>
    </w:p>
    <w:p>
      <w:pPr>
        <w:spacing w:after="0" w:line="18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Milestone and Contract Revenues</w:t>
      </w:r>
    </w:p>
    <w:p>
      <w:pPr>
        <w:spacing w:after="0" w:line="227"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At the inception of a contract, the transaction price reflects the amount of consideration we expect to be entitled to in exchange for transferring promised goods or services to our collaborator. We review our estimate of the transaction price each period, and make revisions to such estimates as necessary. Milestone and contract revenues from collaborative agreements with multiple performance obligations is determined based upon assessment of each distinct promised good or service’s estimated fair value and recognized based upon the completion of the promised good or service to our collaborator.</w:t>
      </w:r>
    </w:p>
    <w:p>
      <w:pPr>
        <w:spacing w:after="0" w:line="187"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Our license agreements often include contractual milestones, which typically relate to the achievement of pre-specified development, regulatory and commercialization events outside of our control, such as regulatory approval of a compound, first patient dosing or achievement of sales-based thresholds. As such, milestones associated with our collaborations involve a substantial degree of uncertainty and risk that they may never be received. Given the uncertainty associated with achieving these milestones, constraints on the allocated consideration are assessed each reporting period. Revenues are recognized when achievement is probable, which may not be until achieved.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40" w:right="59"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Compensation. </w:t>
      </w:r>
      <w:r>
        <w:rPr>
          <w:rFonts w:ascii="Times New Roman" w:cs="Times New Roman" w:eastAsia="Times New Roman" w:hAnsi="Times New Roman"/>
          <w:sz w:val="18"/>
          <w:szCs w:val="18"/>
          <w:color w:val="auto"/>
        </w:rPr>
        <w:t>Share-based payment transactions with employees, which include stock options, restricted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units (RSUs) and performance shares (PSUs), are recognized as compensation expense over the requisite service period based on their estimated fair values at the date of grant as well as expected forfeiture rates based on actual experience. The stock compensation process requires significant judgment and the use of estimates, particularly surrounding Black-Scholes assumptions such as stock price volatility over the option term and expected option lives, as well as expected forfeiture rates and the probability of PSUs vesting. The fair value of stock options, which are subject to graded vesting, are recognized as compensation expense over the requisite service period using the accelerated attribution method. The fair value of RSUs that are subject to cliff vesting are recognized as compensation expense over the requisite service period using the straight-line attribution method, and the fair value of RSUs that are subject to graded vesting are recognized as compensation expense over the requisite service period using the accelerated attribution method. The fair value of PSUs are recognized as compensation expense beginning at the time in which the performance conditions are deemed probable of achievement. We assess the probability of achievement of performance conditions, including projected product revenues and clinical development milestones, as of the end of each reporting period. Once a performance condition is considered probable, we record compensation expense based on the portion of the service period elapsed to date with respect to that award, with a cumulative catch-up, net of estimated forfeitures, and recognize any remaining compensation expense, if any, over the remaining requisite service period using the straight-line attribution method for PSUs that are subject to cliff vesting and using the accelerated attribution method for PSUs that are subject to graded vesting.</w:t>
      </w:r>
    </w:p>
    <w:p>
      <w:pPr>
        <w:spacing w:after="0" w:line="192" w:lineRule="exact"/>
        <w:rPr>
          <w:sz w:val="20"/>
          <w:szCs w:val="20"/>
          <w:color w:val="auto"/>
        </w:rPr>
      </w:pPr>
    </w:p>
    <w:p>
      <w:pPr>
        <w:jc w:val="both"/>
        <w:ind w:left="40" w:right="5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We account for income taxes using an asset and liability approach to financial accounting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taxes. Under this method, deferred tax assets and liabilities are determined based on the difference between the financial statement carrying amounts and tax bases of assets and liabilities using enacted tax rates in effect for years in which the basis differences are expected to reverse. We periodically assess the likelihood of the realization of deferred tax assets, and reduce the carrying amount of these deferred tax assets to an amount that is considered to be more-likely-than-not to be realizable. Our assessment considers recent cumulative earnings experience, projections of future taxable income (losses) and ongoing prudent and feasible tax planning strategies. When performing our assessment on projections of future taxable income (losses), we consider factors such as the likelihood of regulatory approval and commercial success of products currently under development, among other factors. Significant judgment is required in making this assessment and, to the extent that a reversal of any portion of our valuation allowance against our deferred tax assets is deemed appropriate, a tax benefit will be recognized against our income tax provision in the period of such reversal.</w:t>
      </w:r>
    </w:p>
    <w:p>
      <w:pPr>
        <w:spacing w:after="0" w:line="186"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We recognize the tax benefit from an uncertain tax position only if it is more-likely-than-not that the position will be sustained upon examination by the taxing authorities, including resolutions of any related appeals or litigation processes, based on the technical merits of the position. The tax benefit that is recorded for these positions is measured at the largest amount of benefit that is greater than 50 percent likely of being realized upon ultimate settlement. We adjust the level of the liability to reflect any subsequent changes in the relevant facts surrounding the uncertain positions. Any interest and penalties on uncertain tax positions are included within the tax provision.</w:t>
      </w:r>
    </w:p>
    <w:p>
      <w:pPr>
        <w:spacing w:after="0" w:line="187"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We record estimates and prepare and file tax returns in various jurisdictions across the U.S., Europe, and Asia based upon our interpretation of local tax laws and regulations. While we exercise significant judgment when applying complex tax laws and regulations in these various taxing jurisdictions, many of our tax returns are open to audit, and may be subject to future tax, interest, and penalty assessments.</w:t>
      </w:r>
    </w:p>
    <w:p>
      <w:pPr>
        <w:spacing w:after="0" w:line="180" w:lineRule="exact"/>
        <w:rPr>
          <w:sz w:val="20"/>
          <w:szCs w:val="20"/>
          <w:color w:val="auto"/>
        </w:rPr>
      </w:pPr>
    </w:p>
    <w:p>
      <w:pPr>
        <w:jc w:val="both"/>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We believe our estimates for the valuation allowances against certain deferred tax assets and the amount of benefits associated with uncertain tax positions recognized in our financial statements are appropriate based upon our assessment of the factors mentioned above.</w:t>
      </w:r>
    </w:p>
    <w:p>
      <w:pPr>
        <w:spacing w:after="0" w:line="172" w:lineRule="exact"/>
        <w:rPr>
          <w:sz w:val="20"/>
          <w:szCs w:val="20"/>
          <w:color w:val="auto"/>
        </w:rPr>
      </w:pPr>
    </w:p>
    <w:p>
      <w:pPr>
        <w:jc w:val="both"/>
        <w:ind w:left="40" w:right="59"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Acquisition-related contingent consideration. </w:t>
      </w:r>
      <w:r>
        <w:rPr>
          <w:rFonts w:ascii="Times New Roman" w:cs="Times New Roman" w:eastAsia="Times New Roman" w:hAnsi="Times New Roman"/>
          <w:sz w:val="18"/>
          <w:szCs w:val="18"/>
          <w:color w:val="auto"/>
        </w:rPr>
        <w:t>Acquisition-related contingent consideration, which consists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future royalty obligations to ARIAD/Takeda, was recorded on the acquisition date at the estimated fair value of the obligation, in accordance with the acquisition method of accounting. The fair value of the contingent consideration was determined using an income approach based on estimated ICLUSIG revenues in the European Union and other countries. As the fair value measurement is based on significant inputs that are unobservable in the market, this represents a Level 3 measurement.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The fair value of the acquisition-related contingent consideration is remeasured each reporting period, with changes in fair value recorded in the consolidated statements of operations. The assumptions used to determine the fair value of the acquisition-related contingent consideration include projected ICLUSIG revenues and discount rates which, require significant judgement and are analyzed on a quarterly basis. While we use the best available information to prepare our projected ICLUSIG revenues and discount rate assumptions, actual ICLUSIG revenues and/or market conditions could differ significantly. Changes to one or multiple inputs could have a material impact on the amount of acquisition-related contingent consideration expense recorded during the reporting period.</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In June 2016, the Financial Accounting Standards Board (“FASB”) issued ASU No. 2016-13, “Financial Instruments – Credit Losses (Topic 326): Measurement of Credit Losses on Financial Instruments.” This guidance applies to all entities and impacts how entities account for credit losses for financial assets measured at amortized cost and available for sale debt securities. ASU 2016-13 requires financial assets measured at amortized cost to be presented at the net amount expected to be collected. The measurement of expected credit losses is based on relevant information about past events, including historical experience, current conditions, and reasonable and supportable forecasts that affect the collectability of the reported amounts. An entity must use judgment in determining the relevant information and estimation methods that are appropriate in its circumstances. For trade receivables, loans and held-to-maturity debt securities, entities will be required to estimate expected credit losses over the lifetime of the asset. For available-for-sale debt securities, entities will be required to recognize an allowance for credit losses rather than an other-than-temporary impairment that reduces the cost basis of the investment. Further, an entity will recognize any improvements in estimated credit losses on its available-for-sale debt securities immediately in earnings.</w:t>
      </w:r>
    </w:p>
    <w:p>
      <w:pPr>
        <w:spacing w:after="0" w:line="190"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Upon adoption, we assessed each financial asset measured at amortized cost and each available-for-sale debt security held for the impact of the guidance as of January 1, 2020 and noted an insignificant impact due to the minimal credit risk associated with our financial assets subject to ASC 326. As such, it was concluded that a reserve for credit losses was de minimis on the adoption date. Financial assets will continue to be assessed on a quarterly basis in future periods.</w:t>
      </w:r>
    </w:p>
    <w:p>
      <w:pPr>
        <w:spacing w:after="0" w:line="180" w:lineRule="exact"/>
        <w:rPr>
          <w:sz w:val="20"/>
          <w:szCs w:val="20"/>
          <w:color w:val="auto"/>
        </w:rPr>
      </w:pPr>
    </w:p>
    <w:p>
      <w:pPr>
        <w:jc w:val="both"/>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In August 2018, the FASB issued ASU No. 2018-13, “Fair Value Measurement (Topic 820): Disclosure Framework – Changes to the Disclosure Requirements for Fair Value Measurement,” which eliminates the required disclosure of the amount of and reason for transfers between Level 1 and Level 2 of the fair value hierarchy. The guidance also eliminates the required disclosure of the entity’s valuation process for Level 3 fair value measurements, however public entities are required to disclose the range and weighted average used to develop significant unobservable inputs for Level 3 fair value measurements. This guidance is effective for fiscal years beginning after December 15, 2019. We adopted this guidance for the period beginning January 1, 2020 and enhanced our disclosures in Note 4 to the condensed consolidated financial statements to comply with the standard.</w:t>
      </w:r>
    </w:p>
    <w:p>
      <w:pPr>
        <w:spacing w:after="0" w:line="192"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In August 2018, the FASB issued ASU No. 2018-14, “Compensation – Retirement Benefits – Defined Benefit Plans – General,” an update to Subtopic ASC 715-20. The guidance amended year-end disclosure requirements related to defined benefit pension plans, and does not affect interim disclosures. The guidance is effective for fiscal years ending after December 15, 2020 and is permitted for early adoption. The standard is to be applied on a retrospective basis. Incyte sponsors defined benefit plans for employees located in Europe. We are currently analyzing the impact of ASU No. 2018-14 on the condensed consolidated financial statements.</w:t>
      </w:r>
    </w:p>
    <w:p>
      <w:pPr>
        <w:spacing w:after="0" w:line="187" w:lineRule="exact"/>
        <w:rPr>
          <w:sz w:val="20"/>
          <w:szCs w:val="20"/>
          <w:color w:val="auto"/>
        </w:rPr>
      </w:pPr>
    </w:p>
    <w:p>
      <w:pPr>
        <w:jc w:val="both"/>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In August 2018, the FASB issued ASU No. 2018-15, “Intangibles – Goodwill and Other – Internal-Use Software,” an update to Subtopic ASC 350-40. The guidance directs accounting for service contracts for cloud computing arrangements to follow guidance within ASC 350-40 to determine capitalization of implementation costs. The guidance is effective for fiscal years beginning after December 15, 2019 and may be applied on either a retrospective or prospective basis. We adopted this guidance for the period beginning January 1, 2020 on a prospective basis. New contracts for development of internal-use software were assessed and no qualifying contracts were identified during the period. We will continue to assess contracts and will disclose material, qualifying contracts if identified in future periods.</w:t>
      </w:r>
    </w:p>
    <w:p>
      <w:pPr>
        <w:spacing w:after="0" w:line="189" w:lineRule="exact"/>
        <w:rPr>
          <w:sz w:val="20"/>
          <w:szCs w:val="20"/>
          <w:color w:val="auto"/>
        </w:rPr>
      </w:pPr>
    </w:p>
    <w:p>
      <w:pPr>
        <w:jc w:val="both"/>
        <w:ind w:left="40" w:right="59" w:firstLine="648"/>
        <w:spacing w:after="0" w:line="282" w:lineRule="auto"/>
        <w:rPr>
          <w:sz w:val="20"/>
          <w:szCs w:val="20"/>
          <w:color w:val="auto"/>
        </w:rPr>
      </w:pPr>
      <w:r>
        <w:rPr>
          <w:rFonts w:ascii="Times New Roman" w:cs="Times New Roman" w:eastAsia="Times New Roman" w:hAnsi="Times New Roman"/>
          <w:sz w:val="18"/>
          <w:szCs w:val="18"/>
          <w:color w:val="auto"/>
        </w:rPr>
        <w:t>In November 2018, the FASB issued ASU No. 2018-18, “Collaborative Arrangements (Topic 808): Clarifying the Interaction Between Topic 808 and Topic 606.” The guidance clarifies the interactions between Topic 808 and Topic</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606, including clarifications on revenue recognition, unit of account, and reporting disclosure requirements. The guidance is effective for fiscal years beginning after December 15, 2019. We adopted this guidance for the period beginning January 1, 2020 retrospectively to the date of our initial application of ASC 606, and noted that in assessment of our collaborative agreements, there was no material financial statement impact. Our collaborative arrangements and their associated accounting conclusions are described in detail within Note 9 to the condensed consolidated financial statements.</w:t>
      </w:r>
    </w:p>
    <w:p>
      <w:pPr>
        <w:spacing w:after="0" w:line="183"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In December 2019, the FASB issued ASU No. 2019-12, “Income Taxes (Topic 740): Simplifying the Accounting for Income Taxes.” This guidance applies to all entities and aims to reduce the complexity of tax accounting standards while enhancing reporting disclosures. This guidance is effective for fiscal years beginning after December 15, 2020 and interim periods therein. Early adoption is permitted for any annual periods for which financial statements have not been issued and interim periods therein. We are currently analyzing the impact of ASU No. 2019-12 on the condensed consolidated financial statements.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We recorded net loss of $15.2 million and basic and diluted net loss per share of $0.07 for the three months ended September 30, 2020, as compared to net income of $128.3 million and basic net income per share of $0.60 and diluted net income per share of $0.59 in the corresponding period in 2019. We recorded net loss of $445.5 million and basic and diluted net loss per share of $2.05 for the nine months ended September 30, 2020, as compared to net income of $335.9 million and basic net income per share of $1.57 and diluted net income per share of $1.55 in the corresponding period in 2019.</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00" w:type="dxa"/>
            <w:vAlign w:val="bottom"/>
            <w:gridSpan w:val="4"/>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73"/>
        </w:trPr>
        <w:tc>
          <w:tcPr>
            <w:tcW w:w="3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center"/>
              <w:ind w:left="4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3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180" w:type="dxa"/>
            <w:vAlign w:val="bottom"/>
          </w:tcPr>
          <w:p>
            <w:pPr>
              <w:spacing w:after="0"/>
              <w:rPr>
                <w:sz w:val="12"/>
                <w:szCs w:val="12"/>
                <w:color w:val="auto"/>
              </w:rPr>
            </w:pPr>
          </w:p>
        </w:tc>
      </w:tr>
      <w:tr>
        <w:trPr>
          <w:trHeight w:val="128"/>
        </w:trPr>
        <w:tc>
          <w:tcPr>
            <w:tcW w:w="3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3"/>
          </w:tcPr>
          <w:p>
            <w:pPr>
              <w:jc w:val="center"/>
              <w:ind w:left="435"/>
              <w:spacing w:after="0" w:line="129"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3"/>
          </w:tcPr>
          <w:p>
            <w:pPr>
              <w:jc w:val="center"/>
              <w:ind w:left="415"/>
              <w:spacing w:after="0" w:line="129"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JAKAFI revenues, net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52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1,218.5</w:t>
            </w:r>
          </w:p>
        </w:tc>
        <w:tc>
          <w:tcPr>
            <w:tcW w:w="180" w:type="dxa"/>
            <w:vAlign w:val="bottom"/>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ICLUSIG revenues, net</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8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PEMAZYRE revenues, net</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product revenues, net</w:t>
            </w:r>
          </w:p>
        </w:tc>
        <w:tc>
          <w:tcPr>
            <w:tcW w:w="6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522.3</w:t>
            </w:r>
          </w:p>
        </w:tc>
        <w:tc>
          <w:tcPr>
            <w:tcW w:w="1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1,509.3</w:t>
            </w:r>
          </w:p>
        </w:tc>
        <w:tc>
          <w:tcPr>
            <w:tcW w:w="1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1,284.1</w:t>
            </w:r>
          </w:p>
        </w:tc>
        <w:tc>
          <w:tcPr>
            <w:tcW w:w="18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JAKAVI product royalty revenues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80" w:type="dxa"/>
            <w:vAlign w:val="bottom"/>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OLUMIANT product royalty revenues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8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TABRECTA product royalty revenues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product royalty revenues</w:t>
            </w:r>
          </w:p>
        </w:tc>
        <w:tc>
          <w:tcPr>
            <w:tcW w:w="6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8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Milestone and contract revenues</w:t>
            </w:r>
          </w:p>
        </w:tc>
        <w:tc>
          <w:tcPr>
            <w:tcW w:w="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80" w:type="dxa"/>
            <w:vAlign w:val="bottom"/>
            <w:shd w:val="clear" w:color="auto" w:fill="CCEEFF"/>
          </w:tcPr>
          <w:p>
            <w:pPr>
              <w:spacing w:after="0"/>
              <w:rPr>
                <w:sz w:val="18"/>
                <w:szCs w:val="18"/>
                <w:color w:val="auto"/>
              </w:rPr>
            </w:pPr>
          </w:p>
        </w:tc>
      </w:tr>
      <w:tr>
        <w:trPr>
          <w:trHeight w:val="210"/>
        </w:trPr>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6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620.6</w:t>
            </w:r>
          </w:p>
        </w:tc>
        <w:tc>
          <w:tcPr>
            <w:tcW w:w="160" w:type="dxa"/>
            <w:vAlign w:val="bottom"/>
          </w:tcPr>
          <w:p>
            <w:pPr>
              <w:spacing w:after="0"/>
              <w:rPr>
                <w:sz w:val="18"/>
                <w:szCs w:val="18"/>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1,877.2</w:t>
            </w:r>
          </w:p>
        </w:tc>
        <w:tc>
          <w:tcPr>
            <w:tcW w:w="160" w:type="dxa"/>
            <w:vAlign w:val="bottom"/>
          </w:tcPr>
          <w:p>
            <w:pPr>
              <w:spacing w:after="0"/>
              <w:rPr>
                <w:sz w:val="18"/>
                <w:szCs w:val="18"/>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1,579.3</w:t>
            </w:r>
          </w:p>
        </w:tc>
        <w:tc>
          <w:tcPr>
            <w:tcW w:w="180" w:type="dxa"/>
            <w:vAlign w:val="bottom"/>
          </w:tcPr>
          <w:p>
            <w:pPr>
              <w:spacing w:after="0"/>
              <w:rPr>
                <w:sz w:val="18"/>
                <w:szCs w:val="18"/>
                <w:color w:val="auto"/>
              </w:rPr>
            </w:pPr>
          </w:p>
        </w:tc>
      </w:tr>
      <w:tr>
        <w:trPr>
          <w:trHeight w:val="20"/>
        </w:trPr>
        <w:tc>
          <w:tcPr>
            <w:tcW w:w="3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The increase in JAKAFI product revenues for the three months ended September 30, 2020 as compared to the corresponding period in 2019 was comprised of a volume increase of $40.8 million and a price increase of $13.6 million. The increase in JAKAFI product revenues for the nine months ended September 30, 2020 as compared to the corresponding period in 2019 was comprised of a volume increase of $176.4 million and a price increase of $26.1 million. Our product revenues may fluctuate from quarter to quarter due to our customers’ purchasing patterns over the course of the year, including as a result of increased inventory building by customers in advance of expected or announced price increases. Product revenues are recorded net of estimated product returns, pricing discounts including rebates offered pursuant to mandatory federal and state government programs and chargebacks, prompt pay discounts and distribution fees and co-pay assistance. Our revenue recognition policies require estimates of the aforementioned sales allowances each period.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activity with respect to our sales allowances and accruals (in thousands):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Discounts and</w:t>
            </w:r>
          </w:p>
        </w:tc>
        <w:tc>
          <w:tcPr>
            <w:tcW w:w="10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120" w:type="dxa"/>
            <w:vAlign w:val="bottom"/>
          </w:tcPr>
          <w:p>
            <w:pPr>
              <w:spacing w:after="0"/>
              <w:rPr>
                <w:sz w:val="13"/>
                <w:szCs w:val="13"/>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Co-Pay</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Assistance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c>
          <w:tcPr>
            <w:tcW w:w="10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Distribution</w:t>
            </w:r>
          </w:p>
        </w:tc>
        <w:tc>
          <w:tcPr>
            <w:tcW w:w="106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Rebates and</w:t>
            </w: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6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Fees</w:t>
            </w: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Chargebacks</w:t>
            </w:r>
          </w:p>
        </w:tc>
        <w:tc>
          <w:tcPr>
            <w:tcW w:w="12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Discounts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63,655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Allowances for current period sales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Allowances for prior period sales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(596)</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Credits/payments for current period sales</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(36,169)</w:t>
            </w: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(203,009)</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(10,595)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(249,773)</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Credits/payments for prior period sales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(5,753)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(30,537)</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(36,849)</w:t>
            </w:r>
          </w:p>
        </w:tc>
        <w:tc>
          <w:tcPr>
            <w:tcW w:w="0" w:type="dxa"/>
            <w:vAlign w:val="bottom"/>
          </w:tcPr>
          <w:p>
            <w:pPr>
              <w:spacing w:after="0"/>
              <w:rPr>
                <w:sz w:val="1"/>
                <w:szCs w:val="1"/>
                <w:color w:val="auto"/>
              </w:rPr>
            </w:pPr>
          </w:p>
        </w:tc>
      </w:tr>
      <w:tr>
        <w:trPr>
          <w:trHeight w:val="210"/>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September 30, 2020</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7,438</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67,482</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Government rebates and chargebacks are the most significant component of our sales allowances. Increases in certain government reimbursement rates are limited to a measure of inflation, and when the price of a drug increases faster than this measure of inflation it will result in a penalty adjustment factor that causes a larger sales allowance to those government related entities. We expect government rebates and chargebacks as a percentage of our gross product sales will continue to increase in connection with any future product price increases greater than the rate of inflation, and any such increase in these government rebates and chargebacks will have a negative impact on our reported product revenues, net. We adjust our estimates for government rebates and chargebacks based on new information regarding actual rebates as it becomes available. Claims by third-party payors for rebates and chargebacks are frequently submitted after the period in which the related sales occurred, which may result in adjustments to prior period accrual balances in the period in which the new information becomes available. We also adjust our allowance for product returns based on new information regarding actual returns as it becomes available.</w:t>
      </w:r>
    </w:p>
    <w:p>
      <w:pPr>
        <w:spacing w:after="0" w:line="192" w:lineRule="exact"/>
        <w:rPr>
          <w:sz w:val="20"/>
          <w:szCs w:val="20"/>
          <w:color w:val="auto"/>
        </w:rPr>
      </w:pPr>
    </w:p>
    <w:p>
      <w:pPr>
        <w:jc w:val="both"/>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We expect our sales allowances to fluctuate from quarter to quarter as a result of the Medicare Part D Coverage Gap, the volume of purchases eligible for government mandated discounts and rebates as well as changes in discount percentages which are impacted by potential future price increases, rate of inflation, and other factors.</w:t>
      </w:r>
    </w:p>
    <w:p>
      <w:pPr>
        <w:spacing w:after="0" w:line="176" w:lineRule="exact"/>
        <w:rPr>
          <w:sz w:val="20"/>
          <w:szCs w:val="20"/>
          <w:color w:val="auto"/>
        </w:rPr>
      </w:pPr>
    </w:p>
    <w:p>
      <w:pPr>
        <w:jc w:val="both"/>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Product royalty revenues on commercial sales of JAKAVI and TABRECTA by Novartis are based on net sales of licensed products in licensed territories as provided by Novartis. Product royalty revenues on commercial sales of OLUMIANT by Lilly are based on net sales of licensed products in licensed territories as provided by Lilly.</w:t>
      </w:r>
    </w:p>
    <w:p>
      <w:pPr>
        <w:spacing w:after="0" w:line="176"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Our milestone and contract revenues for the nine months ended September 30, 2020, were derived from a $5.0 million milestone under the Innovent research collaboration and licensing agreement and $90.0 million in milestones under the Novartis collaboration and license agreement. Our milestone and contract revenues for the nine months ended September 30, 2019, were derived from a $40.0 million upfront payment and a $20.0 million milestone under the Innovent research collaboration and licensing agreement and a $17.5 million upfront payment under the Zai Lab collaboration and license agreement.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0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73"/>
        </w:trPr>
        <w:tc>
          <w:tcPr>
            <w:tcW w:w="3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center"/>
              <w:ind w:left="43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3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180" w:type="dxa"/>
            <w:vAlign w:val="bottom"/>
          </w:tcPr>
          <w:p>
            <w:pPr>
              <w:spacing w:after="0"/>
              <w:rPr>
                <w:sz w:val="12"/>
                <w:szCs w:val="12"/>
                <w:color w:val="auto"/>
              </w:rPr>
            </w:pPr>
          </w:p>
        </w:tc>
      </w:tr>
      <w:tr>
        <w:trPr>
          <w:trHeight w:val="128"/>
        </w:trPr>
        <w:tc>
          <w:tcPr>
            <w:tcW w:w="3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4"/>
          </w:tcPr>
          <w:p>
            <w:pPr>
              <w:jc w:val="center"/>
              <w:ind w:left="437"/>
              <w:spacing w:after="0" w:line="129"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costs</w:t>
            </w:r>
          </w:p>
        </w:tc>
        <w:tc>
          <w:tcPr>
            <w:tcW w:w="980" w:type="dxa"/>
            <w:vAlign w:val="bottom"/>
            <w:gridSpan w:val="2"/>
            <w:shd w:val="clear" w:color="auto" w:fill="CCEEFF"/>
          </w:tcPr>
          <w:p>
            <w:pPr>
              <w:jc w:val="right"/>
              <w:ind w:right="50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52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2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Salary and benefits related</w:t>
            </w: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Royalty expense</w:t>
            </w: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23.9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8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definite-lived intangible assets</w:t>
            </w:r>
          </w:p>
        </w:tc>
        <w:tc>
          <w:tcPr>
            <w:tcW w:w="3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shd w:val="clear" w:color="auto" w:fill="CCEEFF"/>
          </w:tcPr>
          <w:p>
            <w:pPr>
              <w:spacing w:after="0"/>
              <w:rPr>
                <w:sz w:val="18"/>
                <w:szCs w:val="18"/>
                <w:color w:val="auto"/>
              </w:rPr>
            </w:pPr>
          </w:p>
        </w:tc>
      </w:tr>
      <w:tr>
        <w:trPr>
          <w:trHeight w:val="210"/>
        </w:trPr>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cost of product revenues</w:t>
            </w:r>
          </w:p>
        </w:tc>
        <w:tc>
          <w:tcPr>
            <w:tcW w:w="320" w:type="dxa"/>
            <w:vAlign w:val="bottom"/>
          </w:tcPr>
          <w:p>
            <w:pPr>
              <w:spacing w:after="0"/>
              <w:rPr>
                <w:sz w:val="18"/>
                <w:szCs w:val="18"/>
                <w:color w:val="auto"/>
              </w:rPr>
            </w:pPr>
          </w:p>
        </w:tc>
        <w:tc>
          <w:tcPr>
            <w:tcW w:w="66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34.3</w:t>
            </w:r>
          </w:p>
        </w:tc>
        <w:tc>
          <w:tcPr>
            <w:tcW w:w="160" w:type="dxa"/>
            <w:vAlign w:val="bottom"/>
          </w:tcPr>
          <w:p>
            <w:pPr>
              <w:spacing w:after="0"/>
              <w:rPr>
                <w:sz w:val="18"/>
                <w:szCs w:val="18"/>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80" w:type="dxa"/>
            <w:vAlign w:val="bottom"/>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Cost of product revenues includes all JAKAFI, ICLUSIG and PEMAZYRE related product costs, employee personnel costs, including stock compensation, for those employees dedicated to the production of our commercial products, low single-digit royalties to Novartis on all sales of JAKAFI in the United States and amortization of our licensed intellectual property rights for ICLUSIG using the straight-line method over the estimated useful life of 12.5 years. The increase in cost of product revenues for the three and nine months ended September 30, 2020 as compared to the corresponding periods in 2019 was due primarily to increased royalties to Novartis on all JAKAFI sales in the United States.</w:t>
      </w:r>
    </w:p>
    <w:p>
      <w:pPr>
        <w:spacing w:after="0" w:line="18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80" w:type="dxa"/>
            <w:vAlign w:val="bottom"/>
          </w:tcPr>
          <w:p>
            <w:pPr>
              <w:spacing w:after="0"/>
              <w:rPr>
                <w:sz w:val="13"/>
                <w:szCs w:val="13"/>
                <w:color w:val="auto"/>
              </w:rPr>
            </w:pPr>
          </w:p>
        </w:tc>
        <w:tc>
          <w:tcPr>
            <w:tcW w:w="19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73"/>
        </w:trPr>
        <w:tc>
          <w:tcPr>
            <w:tcW w:w="3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3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2019</w:t>
            </w:r>
          </w:p>
        </w:tc>
        <w:tc>
          <w:tcPr>
            <w:tcW w:w="1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2"/>
                <w:szCs w:val="12"/>
                <w:color w:val="auto"/>
              </w:rPr>
            </w:pPr>
          </w:p>
        </w:tc>
      </w:tr>
      <w:tr>
        <w:trPr>
          <w:trHeight w:val="128"/>
        </w:trPr>
        <w:tc>
          <w:tcPr>
            <w:tcW w:w="39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gridSpan w:val="4"/>
          </w:tcPr>
          <w:p>
            <w:pPr>
              <w:jc w:val="right"/>
              <w:ind w:right="413"/>
              <w:spacing w:after="0" w:line="129"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1"/>
                <w:szCs w:val="1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Salary and benefits related</w:t>
            </w:r>
          </w:p>
        </w:tc>
        <w:tc>
          <w:tcPr>
            <w:tcW w:w="11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4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20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20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research and outside services</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200" w:type="dxa"/>
            <w:vAlign w:val="bottom"/>
            <w:shd w:val="clear" w:color="auto" w:fill="CCEEFF"/>
          </w:tcPr>
          <w:p>
            <w:pPr>
              <w:spacing w:after="0"/>
              <w:rPr>
                <w:sz w:val="18"/>
                <w:szCs w:val="18"/>
                <w:color w:val="auto"/>
              </w:rPr>
            </w:pPr>
          </w:p>
        </w:tc>
      </w:tr>
      <w:tr>
        <w:trPr>
          <w:trHeight w:val="216"/>
        </w:trPr>
        <w:tc>
          <w:tcPr>
            <w:tcW w:w="3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Occupancy and all other costs</w:t>
            </w:r>
          </w:p>
        </w:tc>
        <w:tc>
          <w:tcPr>
            <w:tcW w:w="9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200" w:type="dxa"/>
            <w:vAlign w:val="bottom"/>
            <w:tcBorders>
              <w:bottom w:val="single" w:sz="8" w:color="CCEEFF"/>
            </w:tcBorders>
          </w:tcPr>
          <w:p>
            <w:pPr>
              <w:spacing w:after="0"/>
              <w:rPr>
                <w:sz w:val="18"/>
                <w:szCs w:val="18"/>
                <w:color w:val="auto"/>
              </w:rPr>
            </w:pPr>
          </w:p>
        </w:tc>
      </w:tr>
      <w:tr>
        <w:trPr>
          <w:trHeight w:val="209"/>
        </w:trPr>
        <w:tc>
          <w:tcPr>
            <w:tcW w:w="3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9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438.1</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r>
              <w:rPr>
                <w:rFonts w:ascii="Times New Roman" w:cs="Times New Roman" w:eastAsia="Times New Roman" w:hAnsi="Times New Roman"/>
                <w:sz w:val="18"/>
                <w:szCs w:val="18"/>
                <w:u w:val="single" w:color="auto"/>
                <w:color w:val="auto"/>
              </w:rPr>
              <w:t>3</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841.2</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We account for research and development costs by natural expense line and not costs by project. The increase in salary and benefits related expense for the three and nine months ended September 30, 2020 as compared to the corresponding periods in 2019 was due primarily to increased development headcount to sustain our development pipeline. Stock compensation expense may fluctuate from period to period based on the number of awards granted, stock price volatility and expected award lives, as well as expected award forfeiture rates which are used to value equity-based compensation.</w:t>
      </w:r>
    </w:p>
    <w:p>
      <w:pPr>
        <w:spacing w:after="0" w:line="187" w:lineRule="exact"/>
        <w:rPr>
          <w:sz w:val="20"/>
          <w:szCs w:val="20"/>
          <w:color w:val="auto"/>
        </w:rPr>
      </w:pPr>
    </w:p>
    <w:p>
      <w:pPr>
        <w:jc w:val="both"/>
        <w:ind w:left="40" w:right="59" w:firstLine="693"/>
        <w:spacing w:after="0" w:line="253" w:lineRule="auto"/>
        <w:rPr>
          <w:sz w:val="20"/>
          <w:szCs w:val="20"/>
          <w:color w:val="auto"/>
        </w:rPr>
      </w:pPr>
      <w:r>
        <w:rPr>
          <w:rFonts w:ascii="Times New Roman" w:cs="Times New Roman" w:eastAsia="Times New Roman" w:hAnsi="Times New Roman"/>
          <w:sz w:val="18"/>
          <w:szCs w:val="18"/>
          <w:color w:val="auto"/>
        </w:rPr>
        <w:t>The increase in clinical research and outside services expense for the three months ended September 30, 2020 as compared to the corresponding period in 2019 was primarily due to milestone achievement of $15.0 million under our collaboration and license agreement with MacroGenics and the cost of purchasing an FDA priority review voucher for $120.0 million, which we intend to use in connection with our submission seeking FDA approval of ruxolitinib cream for the treatment of atopic dermatitis. In addition, clinical research and outside services expense for the nine months ended September 30, 2020 included upfront consideration of $804.5 million related to our collaborative agreement with MorphoSys contributing to the increase as compared to the corresponding period in 2019. Research and development expenses include upfront and milestone expenses related to our collaborative agreements and priority review voucher of $141.5 million and $950.5 million, respectively, for the three and nine months ended September 30, 2020. Research and development expenses include upfront and milestone expenses related to our collaborative agreements of $0.0 million and $25.3 million, respectively, for the three and nine months ended September 30, 2019. Research and development expenses for the three and nine months ended September 30, 2020 and 2019 were net of $2.1 million, $7.0 million, $5.3 million and $11.6 million, respectively, of costs reimbursed by our collaborative partners.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to one-time expenses resulting from upfront fees in connection with the entry into any new or amended collaboration agreements and payment of milestones under those agreements, research and development expenses may fluctuate from period to period depending upon the stage of certain projects and the level of pre-clinical and clinical trial related activities. Many factors can affect the cost and timing of our clinical trials, including requests by regulatory agencies for more information, inconclusive results requiring additional clinical trials, slow patient enrollment, adverse side effects among patients, insufficient supplies for our clinical trials and real or perceived lack of effectiveness or safety of our investigational drugs in our clinical trials. In addition, the development of all of our products will be subject to extensive governmental regulation. These factors make it difficult for us to predict the timing and costs of the further development and approval of our products.</w:t>
      </w:r>
    </w:p>
    <w:p>
      <w:pPr>
        <w:spacing w:after="0" w:line="18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80" w:type="dxa"/>
            <w:vAlign w:val="bottom"/>
          </w:tcPr>
          <w:p>
            <w:pPr>
              <w:spacing w:after="0"/>
              <w:rPr>
                <w:sz w:val="13"/>
                <w:szCs w:val="13"/>
                <w:color w:val="auto"/>
              </w:rPr>
            </w:pPr>
          </w:p>
        </w:tc>
        <w:tc>
          <w:tcPr>
            <w:tcW w:w="196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73"/>
        </w:trPr>
        <w:tc>
          <w:tcPr>
            <w:tcW w:w="4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4"/>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4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2019</w:t>
            </w:r>
          </w:p>
        </w:tc>
        <w:tc>
          <w:tcPr>
            <w:tcW w:w="1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2"/>
                <w:szCs w:val="12"/>
                <w:color w:val="auto"/>
              </w:rPr>
            </w:pPr>
          </w:p>
        </w:tc>
      </w:tr>
      <w:tr>
        <w:trPr>
          <w:trHeight w:val="128"/>
        </w:trPr>
        <w:tc>
          <w:tcPr>
            <w:tcW w:w="4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5"/>
          </w:tcPr>
          <w:p>
            <w:pPr>
              <w:jc w:val="right"/>
              <w:ind w:right="414"/>
              <w:spacing w:after="0" w:line="129"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1"/>
                <w:szCs w:val="1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Salary and benefits related</w:t>
            </w:r>
          </w:p>
        </w:tc>
        <w:tc>
          <w:tcPr>
            <w:tcW w:w="8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4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20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0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contract services and outside costs</w:t>
            </w:r>
          </w:p>
        </w:tc>
        <w:tc>
          <w:tcPr>
            <w:tcW w:w="6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200" w:type="dxa"/>
            <w:vAlign w:val="bottom"/>
            <w:shd w:val="clear" w:color="auto" w:fill="CCEEFF"/>
          </w:tcPr>
          <w:p>
            <w:pPr>
              <w:spacing w:after="0"/>
              <w:rPr>
                <w:sz w:val="18"/>
                <w:szCs w:val="18"/>
                <w:color w:val="auto"/>
              </w:rPr>
            </w:pPr>
          </w:p>
        </w:tc>
      </w:tr>
      <w:tr>
        <w:trPr>
          <w:trHeight w:val="209"/>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64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20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r>
              <w:rPr>
                <w:rFonts w:ascii="Times New Roman" w:cs="Times New Roman" w:eastAsia="Times New Roman" w:hAnsi="Times New Roman"/>
                <w:sz w:val="18"/>
                <w:szCs w:val="18"/>
                <w:u w:val="single" w:color="auto"/>
                <w:color w:val="auto"/>
              </w:rPr>
              <w:t>6</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r>
              <w:rPr>
                <w:rFonts w:ascii="Times New Roman" w:cs="Times New Roman" w:eastAsia="Times New Roman" w:hAnsi="Times New Roman"/>
                <w:sz w:val="18"/>
                <w:szCs w:val="18"/>
                <w:u w:val="single" w:color="auto"/>
                <w:color w:val="auto"/>
              </w:rPr>
              <w:t>9</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r>
              <w:rPr>
                <w:rFonts w:ascii="Times New Roman" w:cs="Times New Roman" w:eastAsia="Times New Roman" w:hAnsi="Times New Roman"/>
                <w:sz w:val="18"/>
                <w:szCs w:val="18"/>
                <w:u w:val="single" w:color="auto"/>
                <w:color w:val="auto"/>
              </w:rPr>
              <w:t>5</w:t>
            </w:r>
          </w:p>
        </w:tc>
        <w:tc>
          <w:tcPr>
            <w:tcW w:w="200" w:type="dxa"/>
            <w:vAlign w:val="bottom"/>
          </w:tcPr>
          <w:p>
            <w:pPr>
              <w:spacing w:after="0"/>
              <w:rPr>
                <w:sz w:val="18"/>
                <w:szCs w:val="18"/>
                <w:color w:val="auto"/>
              </w:rPr>
            </w:pPr>
          </w:p>
        </w:tc>
      </w:tr>
      <w:tr>
        <w:trPr>
          <w:trHeight w:val="20"/>
        </w:trPr>
        <w:tc>
          <w:tcPr>
            <w:tcW w:w="4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The increase in salary and benefits related expense for the three and nine months ended September 30, 2020 as compared to the corresponding periods in 2019 was due primarily to increased headcount. This increased headcount was due primarily to the ongoing commercialization efforts related to JAKAFI for intermediate or high-risk myelofibrosis, uncontrolled polycythemia vera and GVHD as well as increased headcount related to our European operations. Stock compensation expense may fluctuate from period to period based on the number of awards granted, stock price volatility and expected award lives, as well as expected award forfeiture rates which are used to value equity-based compensation.</w:t>
      </w:r>
    </w:p>
    <w:p>
      <w:pPr>
        <w:spacing w:after="0" w:line="18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Change in fair value of acquisition-related contingent consideration</w:t>
      </w:r>
    </w:p>
    <w:p>
      <w:pPr>
        <w:spacing w:after="0" w:line="227" w:lineRule="exact"/>
        <w:rPr>
          <w:sz w:val="20"/>
          <w:szCs w:val="20"/>
          <w:color w:val="auto"/>
        </w:rPr>
      </w:pPr>
    </w:p>
    <w:p>
      <w:pPr>
        <w:jc w:val="both"/>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Acquisition-related contingent consideration, which consists of our future royalty obligations to Takeda, was recorded on the acquisition date, June 1, 2016, at the estimated fair value of the obligation, in accordance with the acquisition method of accounting. The fair value of the acquisition-related contingent consideration is remeasured quarterly. The change in fair value of the acquisition-related contingent consideration for the three and nine months ended September 30, 2020 was $7.1 million and $19.8 million, respectively, which is recorded in change in fair value of acquisition-related contingent consideration on the condensed consolidated statements of operations. The change in fair value of the acquisition-related contingent consideration for the three and nine months ended September 30, 2019 was $3.3 million and $16.6 million, respectively, which is recorded in change in fair value of acquisition-related contingent consideration on the condensed consolidated statements of operations. The change in fair value for the three and nine months ended September 30, 2020 and 2019 was due primarily to the passage of time as there were no other significant changes in the key assumptions during the periods.</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Collaboration loss sharing</w:t>
      </w:r>
    </w:p>
    <w:p>
      <w:pPr>
        <w:spacing w:after="0" w:line="227" w:lineRule="exact"/>
        <w:rPr>
          <w:sz w:val="20"/>
          <w:szCs w:val="20"/>
          <w:color w:val="auto"/>
        </w:rPr>
      </w:pPr>
    </w:p>
    <w:p>
      <w:pPr>
        <w:jc w:val="both"/>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Under the collaboration and license agreement with MorphoSys, which was executed in March 2020, we and MorphoSys are both responsible for the commercialization efforts of tafasitamab in the United States and will share equally the profits and losses from the co-commercialization efforts. For the three and nine months ended September 30, 2020, our 50% share of the costs for tafasitamab was $15.0 million and $30.4 million, respectively, as recorded in collaboration loss sharing on the condensed consolidated statement of operations.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7" w:lineRule="exact"/>
        <w:rPr>
          <w:sz w:val="20"/>
          <w:szCs w:val="20"/>
          <w:color w:val="auto"/>
        </w:rPr>
      </w:pPr>
    </w:p>
    <w:p>
      <w:pPr>
        <w:jc w:val="both"/>
        <w:ind w:left="40" w:right="5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Other income (expense), net for the three and nine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was $4.9 million and $18.4 million, respectively. Other income (expense), net for the three and nine months ended</w:t>
      </w:r>
    </w:p>
    <w:p>
      <w:pPr>
        <w:sectPr>
          <w:pgSz w:w="11900" w:h="16838" w:orient="portrait"/>
          <w:cols w:equalWidth="0" w:num="1">
            <w:col w:w="9019"/>
          </w:cols>
          <w:pgMar w:left="1440" w:top="513" w:right="1440"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82" w:lineRule="auto"/>
        <w:rPr>
          <w:sz w:val="20"/>
          <w:szCs w:val="20"/>
          <w:color w:val="auto"/>
        </w:rPr>
      </w:pPr>
      <w:r>
        <w:rPr>
          <w:rFonts w:ascii="Times New Roman" w:cs="Times New Roman" w:eastAsia="Times New Roman" w:hAnsi="Times New Roman"/>
          <w:sz w:val="18"/>
          <w:szCs w:val="18"/>
          <w:color w:val="auto"/>
        </w:rPr>
        <w:t>September 30, 2019 was $12.0 million and $36.3 million, respectively. The decrease in other income (expense), net for the three and nine months ended September 30, 2020 primarily relates to a decrease in interest income.</w:t>
      </w:r>
    </w:p>
    <w:p>
      <w:pPr>
        <w:spacing w:after="0" w:line="160" w:lineRule="exact"/>
        <w:rPr>
          <w:sz w:val="20"/>
          <w:szCs w:val="20"/>
          <w:color w:val="auto"/>
        </w:rPr>
      </w:pPr>
    </w:p>
    <w:p>
      <w:pPr>
        <w:jc w:val="both"/>
        <w:ind w:left="40" w:right="5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for the three and nine months ended September 30, 2020 was $0.5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$1.7 million, respectively. Interest expense for the three and nine months ended September 30, 2019 was $0.6 million and $1.2 million, respectively. Included in interest expense for the three and nine months ended September 30, 2020 was $0.2 million and $0.6 million, respectively, of non-cash charges to amortize the discount on the 2020 Notes and approximately $0.3 million and $0.9 million, respectively, of interest expense on our finance lease liabilities. Included in interest expense for the three and nine months ended September 30, 2019 was $0.2 million and $0.6 million, respectively, of non-cash charges to amortize the discount on the 2020 Notes and approximately $0.3 million of interest expense on our finance lease liabilities.</w:t>
      </w:r>
    </w:p>
    <w:p>
      <w:pPr>
        <w:spacing w:after="0" w:line="185" w:lineRule="exact"/>
        <w:rPr>
          <w:sz w:val="20"/>
          <w:szCs w:val="20"/>
          <w:color w:val="auto"/>
        </w:rPr>
      </w:pPr>
    </w:p>
    <w:p>
      <w:pPr>
        <w:jc w:val="both"/>
        <w:ind w:left="40" w:right="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Unrealized gain (loss) on long term investments. </w:t>
      </w:r>
      <w:r>
        <w:rPr>
          <w:rFonts w:ascii="Times New Roman" w:cs="Times New Roman" w:eastAsia="Times New Roman" w:hAnsi="Times New Roman"/>
          <w:sz w:val="18"/>
          <w:szCs w:val="18"/>
          <w:color w:val="auto"/>
        </w:rPr>
        <w:t>Unrealized gains and losses on long term investments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fluctuate from period to period, based on the change in fair value of the securities we hold in our publicly held collaboration partners. The following table provides a summary of those unrealized gains and (losses):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4"/>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gridSpan w:val="6"/>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73"/>
        </w:trPr>
        <w:tc>
          <w:tcPr>
            <w:tcW w:w="4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ind w:left="41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center"/>
              <w:ind w:left="41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4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2019</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200" w:type="dxa"/>
            <w:vAlign w:val="bottom"/>
          </w:tcPr>
          <w:p>
            <w:pPr>
              <w:spacing w:after="0"/>
              <w:rPr>
                <w:sz w:val="12"/>
                <w:szCs w:val="12"/>
                <w:color w:val="auto"/>
              </w:rPr>
            </w:pPr>
          </w:p>
        </w:tc>
      </w:tr>
      <w:tr>
        <w:trPr>
          <w:trHeight w:val="128"/>
        </w:trPr>
        <w:tc>
          <w:tcPr>
            <w:tcW w:w="4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3"/>
          </w:tcPr>
          <w:p>
            <w:pPr>
              <w:jc w:val="center"/>
              <w:ind w:left="437"/>
              <w:spacing w:after="0" w:line="129"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4"/>
          </w:tcPr>
          <w:p>
            <w:pPr>
              <w:jc w:val="center"/>
              <w:ind w:left="417"/>
              <w:spacing w:after="0" w:line="129"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Agenus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52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Calithera</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Merus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MorphoSys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Syros</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shd w:val="clear" w:color="auto" w:fill="CCEEFF"/>
          </w:tcPr>
          <w:p>
            <w:pPr>
              <w:spacing w:after="0"/>
              <w:rPr>
                <w:sz w:val="18"/>
                <w:szCs w:val="18"/>
                <w:color w:val="auto"/>
              </w:rPr>
            </w:pPr>
          </w:p>
        </w:tc>
      </w:tr>
      <w:tr>
        <w:trPr>
          <w:trHeight w:val="21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Total unrealized gain (loss) on long term investments</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tcPr>
          <w:p>
            <w:pPr>
              <w:spacing w:after="0"/>
              <w:rPr>
                <w:sz w:val="18"/>
                <w:szCs w:val="18"/>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00" w:type="dxa"/>
            <w:vAlign w:val="bottom"/>
          </w:tcPr>
          <w:p>
            <w:pPr>
              <w:spacing w:after="0"/>
              <w:rPr>
                <w:sz w:val="18"/>
                <w:szCs w:val="18"/>
                <w:color w:val="auto"/>
              </w:rPr>
            </w:pPr>
          </w:p>
        </w:tc>
      </w:tr>
      <w:tr>
        <w:trPr>
          <w:trHeight w:val="20"/>
        </w:trPr>
        <w:tc>
          <w:tcPr>
            <w:tcW w:w="4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The provision for income taxes for the three and nine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and was $11.7 million and $45.2 million, respectively. The provision for income taxes for the three and nine months ended September 30, 2019 and was $19.7 million and $24.9 million, respectively. The decrease in tax expense for the three months ended September 30, 2020 was primarily driven by increased tax benefits for stock-based compensation and foreign derived intangible income. The increase in tax expense for the nine months ended September 30, 2020 was primarily driven by increased federal and state tax liabilities that are not fully sheltered by net operating losses or research and development tax credit carryforwards.</w:t>
      </w:r>
    </w:p>
    <w:p>
      <w:pPr>
        <w:spacing w:after="0" w:line="18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Due to historical net losses, we had an accumulated deficit of $1.9 billion as of September 30, 2020. We have funded our research and development operations through sales of equity securities, the issuance of convertible notes, cash received from customers, and collaborative arrangements. At September 30, 2020, we had available cash, cash equivalents and marketable securities of $1.7 billion. Our cash and marketable securities balances are held in a variety of interest-bearing instruments, including money market accounts, and U.S. government debt securities. Available cash is invested in accordance with our investment policy’s primary objectives of liquidity, safety of principal and diversity of investments.</w:t>
      </w:r>
    </w:p>
    <w:p>
      <w:pPr>
        <w:spacing w:after="0" w:line="187"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2020 was $231.9 million and net cash provided by operating activities for the nine months ended September 30, 2019 was $579.0 million. The $810.9 million decrease in cash provided by operating activities was due primarily to cash outflows related to our collaboration and license agreements and changes in working capital.</w:t>
      </w:r>
    </w:p>
    <w:p>
      <w:pPr>
        <w:spacing w:after="0" w:line="180" w:lineRule="exact"/>
        <w:rPr>
          <w:sz w:val="20"/>
          <w:szCs w:val="20"/>
          <w:color w:val="auto"/>
        </w:rPr>
      </w:pPr>
    </w:p>
    <w:p>
      <w:pPr>
        <w:jc w:val="both"/>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Our investing activities, other than purchases, sales and maturities of marketable securities, have consisted predominantly of capital expenditures and purchases of long term investments. Net cash used by investing activities was $166.3 million for the nine months ended September 30, 2020, which represented purchases of marketable securities of $418.7 million, capital expenditures of $135.9 million and purchases of long term equity investments of $95.5 million, offset in part by the sale of long term investment of $17.3 million and the sale and maturity of marketable securities of</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$466.6 million. Net cash used in investing activities was $57.4 million for the nine months ended September 30, 2019, which represented purchases of marketable securities of $222.2 million and capital expenditures of $48.7 million, offset in part by the sale and maturity of marketable securities of $213.5 million. In the future, net cash used by investing activities may fluctuate significantly from period to period due to the timing of strategic equity investments, acquisitions, and capital expenditures and maturities/sales and purchases of marketable securities.</w:t>
      </w:r>
    </w:p>
    <w:p>
      <w:pPr>
        <w:spacing w:after="0" w:line="183" w:lineRule="exact"/>
        <w:rPr>
          <w:sz w:val="20"/>
          <w:szCs w:val="20"/>
          <w:color w:val="auto"/>
        </w:rPr>
      </w:pPr>
    </w:p>
    <w:p>
      <w:pPr>
        <w:jc w:val="both"/>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$59.8 million and $16.4 million, respectively, for the nine months ended September 30, 2020 and 2019, primarily representing proceeds from the issuance of common stock under our stock plans, offset in part by cash paid to ARIAD/Takeda for contingent consideration.</w:t>
      </w:r>
    </w:p>
    <w:p>
      <w:pPr>
        <w:spacing w:after="0" w:line="176" w:lineRule="exact"/>
        <w:rPr>
          <w:sz w:val="20"/>
          <w:szCs w:val="20"/>
          <w:color w:val="auto"/>
        </w:rPr>
      </w:pPr>
    </w:p>
    <w:p>
      <w:pPr>
        <w:jc w:val="both"/>
        <w:ind w:left="40" w:right="59" w:firstLine="648"/>
        <w:spacing w:after="0" w:line="282" w:lineRule="auto"/>
        <w:rPr>
          <w:sz w:val="20"/>
          <w:szCs w:val="20"/>
          <w:color w:val="auto"/>
        </w:rPr>
      </w:pPr>
      <w:r>
        <w:rPr>
          <w:rFonts w:ascii="Times New Roman" w:cs="Times New Roman" w:eastAsia="Times New Roman" w:hAnsi="Times New Roman"/>
          <w:sz w:val="18"/>
          <w:szCs w:val="18"/>
          <w:color w:val="auto"/>
        </w:rPr>
        <w:t>The following summarizes our significant contractual obligations as of September 30, 2020 and the effect those obligations are expected to have on our liquidity and cash flow in future periods (in millions):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3"/>
                <w:szCs w:val="13"/>
                <w:color w:val="auto"/>
              </w:rPr>
            </w:pPr>
          </w:p>
        </w:tc>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40" w:type="dxa"/>
            <w:vAlign w:val="bottom"/>
          </w:tcPr>
          <w:p>
            <w:pPr>
              <w:spacing w:after="0"/>
              <w:rPr>
                <w:sz w:val="13"/>
                <w:szCs w:val="13"/>
                <w:color w:val="auto"/>
              </w:rPr>
            </w:pPr>
          </w:p>
        </w:tc>
        <w:tc>
          <w:tcPr>
            <w:tcW w:w="5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3"/>
                <w:szCs w:val="13"/>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Over</w:t>
            </w: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4"/>
              </w:rPr>
              <w:t>1 Year</w:t>
            </w:r>
          </w:p>
        </w:tc>
        <w:tc>
          <w:tcPr>
            <w:tcW w:w="140" w:type="dxa"/>
            <w:vAlign w:val="bottom"/>
          </w:tcPr>
          <w:p>
            <w:pPr>
              <w:spacing w:after="0"/>
              <w:rPr>
                <w:sz w:val="15"/>
                <w:szCs w:val="15"/>
                <w:color w:val="auto"/>
              </w:rPr>
            </w:pPr>
          </w:p>
        </w:tc>
        <w:tc>
          <w:tcPr>
            <w:tcW w:w="58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2 - 3</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4 - 5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5 Years</w:t>
            </w:r>
          </w:p>
        </w:tc>
        <w:tc>
          <w:tcPr>
            <w:tcW w:w="0" w:type="dxa"/>
            <w:vAlign w:val="bottom"/>
          </w:tcPr>
          <w:p>
            <w:pPr>
              <w:spacing w:after="0"/>
              <w:rPr>
                <w:sz w:val="1"/>
                <w:szCs w:val="1"/>
                <w:color w:val="auto"/>
              </w:rPr>
            </w:pPr>
          </w:p>
        </w:tc>
      </w:tr>
      <w:tr>
        <w:trPr>
          <w:trHeight w:val="209"/>
        </w:trPr>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Principal on convertible senior debt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convertible senior debt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Other non-cancelable obligations</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We have entered into and may in the future seek to license additional rights relating to technologies or drug development candidates in connection with our drug discovery and development programs. Under these licenses, we may be required to pay upfront fees, milestone payments, and royalties on sales of future products, which are not reflected in the table above.</w:t>
      </w:r>
    </w:p>
    <w:p>
      <w:pPr>
        <w:spacing w:after="0" w:line="180" w:lineRule="exact"/>
        <w:rPr>
          <w:sz w:val="20"/>
          <w:szCs w:val="20"/>
          <w:color w:val="auto"/>
        </w:rPr>
      </w:pPr>
    </w:p>
    <w:p>
      <w:pPr>
        <w:jc w:val="both"/>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In October 2019, we entered into an agreement with Wilmington Friends School Inc., to purchase property for $50.0 million to expand our global headquarters. Under that agreement, closing of the purchase is subject to certain standard closing conditions, including an initial diligence period and a subsequent approval period.</w:t>
      </w:r>
    </w:p>
    <w:p>
      <w:pPr>
        <w:spacing w:after="0" w:line="176" w:lineRule="exact"/>
        <w:rPr>
          <w:sz w:val="20"/>
          <w:szCs w:val="20"/>
          <w:color w:val="auto"/>
        </w:rPr>
      </w:pPr>
    </w:p>
    <w:p>
      <w:pPr>
        <w:jc w:val="both"/>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We believe that our cash flow from operations, together with our cash, cash equivalents and marketable securities, will be adequate to satisfy our capital needs for the foreseeable future. Our cash requirements depend on numerous factors, including our expenditures in connection with our drug discovery and development programs and commercialization operations; expenditures in connection with litigation or other legal proceedings; costs for future facility requirements; our receipt of any milestone or other payments under any collaborative agreements we may enter into, including the agreements with Novartis, Lilly, Innovent and Zai Lab; and expenditures in connection with strategic relationships and license agreements, including our agreements with Agenus, ARIAD/Takeda, Calithera, Lilly, MacroGenics, MorphoSys, Merus and Syros, strategic equity investments or potential acquisitions. To the extent we seek to augment our existing cash resources and cash flow from operations to satisfy our cash requirements for future acquisitions or other strategic purposes, we expect that additional funding can be obtained through equity or debt financings or from other sources. The sale of equity or additional convertible debt securities in the future may be dilutive to our stockholders, and may provide for rights, preferences or privileges senior to those of our holders of common stock. Debt financing arrangements may require us to pledge certain assets or enter into covenants that could restrict our operations or our ability to incur further indebtedness.</w:t>
      </w:r>
    </w:p>
    <w:p>
      <w:pPr>
        <w:spacing w:after="0" w:line="18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have no off-balance sheet arrangements other than those that are discussed above.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40" w:right="59" w:firstLine="648"/>
        <w:spacing w:after="0" w:line="282" w:lineRule="auto"/>
        <w:rPr>
          <w:sz w:val="20"/>
          <w:szCs w:val="20"/>
          <w:color w:val="auto"/>
        </w:rPr>
      </w:pPr>
      <w:r>
        <w:rPr>
          <w:rFonts w:ascii="Times New Roman" w:cs="Times New Roman" w:eastAsia="Times New Roman" w:hAnsi="Times New Roman"/>
          <w:sz w:val="18"/>
          <w:szCs w:val="18"/>
          <w:color w:val="auto"/>
        </w:rPr>
        <w:t>Our investments in marketable securities, which are composed primarily of U.S. government debt securities, are subject to default, changes in credit rating and changes in market value. These investments are also subject to interest rate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8"/>
          <w:szCs w:val="18"/>
          <w:color w:val="auto"/>
        </w:rPr>
        <w:t>risk and will decrease in value if market interest rates increase. As of September 30, 2020, marketable securities were $237.0 million. Due to the nature of these investments, if market interest rates were to increase immediately and uniformly by 10% from levels as of September 30, 2020, the decline in fair value would not be material.</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jc w:val="both"/>
        <w:ind w:left="40" w:right="59"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Evaluation of disclosure controls and procedures. </w:t>
      </w:r>
      <w:r>
        <w:rPr>
          <w:rFonts w:ascii="Times New Roman" w:cs="Times New Roman" w:eastAsia="Times New Roman" w:hAnsi="Times New Roman"/>
          <w:sz w:val="18"/>
          <w:szCs w:val="18"/>
          <w:color w:val="auto"/>
        </w:rPr>
        <w:t>We maintain “disclosure controls and procedures,” as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term is defined in Rule 13a-15(e) under the Securities Exchange Act of 1934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89" w:lineRule="exact"/>
        <w:rPr>
          <w:sz w:val="20"/>
          <w:szCs w:val="20"/>
          <w:color w:val="auto"/>
        </w:rPr>
      </w:pPr>
    </w:p>
    <w:p>
      <w:pPr>
        <w:jc w:val="both"/>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Based on their evaluation as of the end of the period covered by this Quarterly Report on Form 10-Q, our Chief Executive Officer and Chief Financial Officer concluded that, as of such date, our disclosure controls and procedures were effective at the reasonable assurance level.</w:t>
      </w:r>
    </w:p>
    <w:p>
      <w:pPr>
        <w:spacing w:after="0" w:line="172" w:lineRule="exact"/>
        <w:rPr>
          <w:sz w:val="20"/>
          <w:szCs w:val="20"/>
          <w:color w:val="auto"/>
        </w:rPr>
      </w:pPr>
    </w:p>
    <w:p>
      <w:pPr>
        <w:jc w:val="both"/>
        <w:ind w:left="40" w:right="59"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r>
        <w:rPr>
          <w:rFonts w:ascii="Times New Roman" w:cs="Times New Roman" w:eastAsia="Times New Roman" w:hAnsi="Times New Roman"/>
          <w:sz w:val="18"/>
          <w:szCs w:val="18"/>
          <w:color w:val="auto"/>
        </w:rPr>
        <w:t>. There were no changes in our internal control over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reporting (as defined in Rules 13a-15(f) and 15d-15(f) under the Exchange Act) for the three months ended September 30, 2020, that materially affected or are reasonably likely to materially affect our internal control over financial reporting.</w:t>
      </w:r>
    </w:p>
    <w:p>
      <w:pPr>
        <w:spacing w:after="0" w:line="176" w:lineRule="exact"/>
        <w:rPr>
          <w:sz w:val="20"/>
          <w:szCs w:val="20"/>
          <w:color w:val="auto"/>
        </w:rPr>
      </w:pPr>
    </w:p>
    <w:p>
      <w:pPr>
        <w:ind w:left="8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ind w:left="4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RELATING TO COMMERCIALIZATION OF OUR PRODUCTS</w:t>
      </w:r>
    </w:p>
    <w:p>
      <w:pPr>
        <w:spacing w:after="0" w:line="225"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our lead product, JAKAFI (ruxolitinib), which is marketed as JAKAVI outside the United States. If we are unable to successfully commercialize JAKAFI in its approved indications or to successfully obtain regulatory approval for and commercialize ruxolitinib for the treatment of additional indications, or if we are significantly delayed or limited in doing so, our business may be materially harmed.</w:t>
      </w:r>
    </w:p>
    <w:p>
      <w:pPr>
        <w:spacing w:after="0" w:line="180" w:lineRule="exact"/>
        <w:rPr>
          <w:sz w:val="20"/>
          <w:szCs w:val="20"/>
          <w:color w:val="auto"/>
        </w:rPr>
      </w:pPr>
    </w:p>
    <w:p>
      <w:pPr>
        <w:jc w:val="both"/>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JAKAFI is our first product marketed by us that is approved for sale in the United States. JAKAFI was approved by the U.S. Food and Drug Administration, or FDA, in November 2011 for the treatment of patients with intermediate or high-risk myelofibrosis, in December 2014 for the treatment of patients with polycythemia vera who have had an inadequate response to or are intolerant of hydroxyurea, which we refer to as uncontrolled polycythemia vera, and in May 2019 for the treatment of steroid-refractory acute graft-versus-host disease in adult and pediatric patients 12 years and older. Although we have received regulatory approval for these indications, such approval does not guarantee future revenues. While we also sell ICLUSIG in the European Union, or EU, and other countries for the treatment of certain types of leukemia, and PEMAZYRE in the United States for the treatment of specified cholangiocarcinoma indications and our exclusive licensees sell OLUMIANT (baricitinib), for the treatment of specified rheumatoid arthritis and atopic dermatitis indications and TABRECTA for the treatment of a certain type of non small-cell lung cancer, and have recently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82" w:lineRule="auto"/>
        <w:rPr>
          <w:sz w:val="20"/>
          <w:szCs w:val="20"/>
          <w:color w:val="auto"/>
        </w:rPr>
      </w:pPr>
      <w:r>
        <w:rPr>
          <w:rFonts w:ascii="Times New Roman" w:cs="Times New Roman" w:eastAsia="Times New Roman" w:hAnsi="Times New Roman"/>
          <w:sz w:val="18"/>
          <w:szCs w:val="18"/>
          <w:color w:val="auto"/>
        </w:rPr>
        <w:t>commenced sales efforts for MONJUVI for the treatment of certain lymphoma indications, we anticipate that JAKAFI product sales will continue to contribute a significant percentage of our total revenues over the next several years.</w:t>
      </w:r>
    </w:p>
    <w:p>
      <w:pPr>
        <w:spacing w:after="0" w:line="162" w:lineRule="exact"/>
        <w:rPr>
          <w:sz w:val="20"/>
          <w:szCs w:val="20"/>
          <w:color w:val="auto"/>
        </w:rPr>
      </w:pPr>
    </w:p>
    <w:p>
      <w:pPr>
        <w:ind w:left="40" w:right="59" w:firstLine="648"/>
        <w:spacing w:after="0" w:line="282" w:lineRule="auto"/>
        <w:rPr>
          <w:sz w:val="20"/>
          <w:szCs w:val="20"/>
          <w:color w:val="auto"/>
        </w:rPr>
      </w:pPr>
      <w:r>
        <w:rPr>
          <w:rFonts w:ascii="Times New Roman" w:cs="Times New Roman" w:eastAsia="Times New Roman" w:hAnsi="Times New Roman"/>
          <w:sz w:val="18"/>
          <w:szCs w:val="18"/>
          <w:color w:val="auto"/>
        </w:rPr>
        <w:t>The commercial success of JAKAFI and our ability to generate and maintain revenues from the sale of JAKAFI will depend on a number of factors, including:</w:t>
      </w:r>
    </w:p>
    <w:p>
      <w:pPr>
        <w:spacing w:after="0" w:line="162" w:lineRule="exact"/>
        <w:rPr>
          <w:sz w:val="20"/>
          <w:szCs w:val="20"/>
          <w:color w:val="auto"/>
        </w:rPr>
      </w:pPr>
    </w:p>
    <w:p>
      <w:pPr>
        <w:jc w:val="both"/>
        <w:ind w:left="1040" w:right="79" w:hanging="321"/>
        <w:spacing w:after="0" w:line="266"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with intermediate or high-risk myelofibrosis, uncontrolled polycythemia vera or steroid-refractory acute graft-versus-host disease who are diagnosed with the diseases and the number of such patients that may be treated with JAKAFI;</w:t>
      </w:r>
    </w:p>
    <w:p>
      <w:pPr>
        <w:spacing w:after="0" w:line="17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JAKAFI by patients and the healthcare community;</w:t>
      </w:r>
    </w:p>
    <w:p>
      <w:pPr>
        <w:spacing w:after="0" w:line="225" w:lineRule="exact"/>
        <w:rPr>
          <w:rFonts w:ascii="Times New Roman" w:cs="Times New Roman" w:eastAsia="Times New Roman" w:hAnsi="Times New Roman"/>
          <w:sz w:val="18"/>
          <w:szCs w:val="18"/>
          <w:color w:val="auto"/>
        </w:rPr>
      </w:pPr>
    </w:p>
    <w:p>
      <w:pPr>
        <w:ind w:left="1040" w:right="59" w:hanging="321"/>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physicians, patients and healthcare payors view JAKAFI as therapeutically effective and safe relative to cost and any alternative therapies;</w:t>
      </w:r>
    </w:p>
    <w:p>
      <w:pPr>
        <w:spacing w:after="0" w:line="161"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and maintain sufficient coverage or reimbursement by third-party payors and pricing;</w:t>
      </w:r>
    </w:p>
    <w:p>
      <w:pPr>
        <w:spacing w:after="0" w:line="225" w:lineRule="exact"/>
        <w:rPr>
          <w:rFonts w:ascii="Times New Roman" w:cs="Times New Roman" w:eastAsia="Times New Roman" w:hAnsi="Times New Roman"/>
          <w:sz w:val="18"/>
          <w:szCs w:val="18"/>
          <w:color w:val="auto"/>
        </w:rPr>
      </w:pPr>
    </w:p>
    <w:p>
      <w:pPr>
        <w:ind w:left="1040" w:right="79" w:hanging="321"/>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third-party manufacturers to manufacture JAKAFI in sufficient quantities that meet all applicable quality standards;</w:t>
      </w:r>
    </w:p>
    <w:p>
      <w:pPr>
        <w:spacing w:after="0" w:line="161"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company and our third-party providers to provide marketing and distribution support for</w:t>
      </w:r>
    </w:p>
    <w:p>
      <w:pPr>
        <w:spacing w:after="0" w:line="27"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JAKAFI;</w:t>
      </w:r>
    </w:p>
    <w:p>
      <w:pPr>
        <w:spacing w:after="0" w:line="206" w:lineRule="exact"/>
        <w:rPr>
          <w:rFonts w:ascii="Times New Roman" w:cs="Times New Roman" w:eastAsia="Times New Roman" w:hAnsi="Times New Roman"/>
          <w:sz w:val="18"/>
          <w:szCs w:val="18"/>
          <w:color w:val="auto"/>
        </w:rPr>
      </w:pPr>
    </w:p>
    <w:p>
      <w:pPr>
        <w:jc w:val="both"/>
        <w:ind w:left="1040" w:right="59" w:hanging="321"/>
        <w:spacing w:after="0" w:line="255"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COVID-19 Pandemic, any associated quarantine, travel restriction, stay-at-home or shutdown orders, guidelines or practices, and any disruption in our supply chain for JAKAFI on our ability to provide marketing and distribution support for JAKAFI, our ability to produce sufficient quantities of JAKAFI that meet all applicable quality standards, patient demand (including new patient prescriptions) and other risks detailed further below under “—Other Risks Relating to our Business—Public health epidemics, such as the COVID-19 Pandemic, could adversely affect our business, results of operations, and financial condition”;</w:t>
      </w:r>
    </w:p>
    <w:p>
      <w:pPr>
        <w:spacing w:after="0" w:line="18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label and promotional claims allowed by the FDA;</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regulatory approval for the approved indications in the United States; and</w:t>
      </w:r>
    </w:p>
    <w:p>
      <w:pPr>
        <w:spacing w:after="0" w:line="225" w:lineRule="exact"/>
        <w:rPr>
          <w:rFonts w:ascii="Times New Roman" w:cs="Times New Roman" w:eastAsia="Times New Roman" w:hAnsi="Times New Roman"/>
          <w:sz w:val="18"/>
          <w:szCs w:val="18"/>
          <w:color w:val="auto"/>
        </w:rPr>
      </w:pPr>
    </w:p>
    <w:p>
      <w:pPr>
        <w:ind w:left="1040" w:right="79" w:hanging="321"/>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obtain regulatory approval for and commercialize ruxolitinib in the United States for additional indications.</w:t>
      </w:r>
    </w:p>
    <w:p>
      <w:pPr>
        <w:spacing w:after="0" w:line="162"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If we are not able to maintain revenues from JAKAFI in the United States, or our revenues from JAKAFI decrease, our business may be materially harmed and we may need to delay other drug discovery, development and commercialization initiatives or even significantly curtail operations, and our ability to license or acquire new products to diversify our revenue base could be limited.</w:t>
      </w:r>
    </w:p>
    <w:p>
      <w:pPr>
        <w:spacing w:after="0" w:line="180"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In addition, our receipt of royalties under our collaboration agreements with Novartis for sales of JAKAVI outside the United States and TABRECTA globally and with Eli Lilly and Company for worldwide sales of OLUMIANT will depend on factors similar to those listed above, with similar regulatory, pricing and reimbursement issues driven by applicable regulatory authorities and governmental and third-party payors affecting jurisdictions outside the United States.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4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or maintain at anticipated levels, reimbursement for our products from government health administration authorities, private health insurers and other organizations, our pricing may be affected or our product sales, results of operations or financial condition could be harmed.</w:t>
      </w:r>
    </w:p>
    <w:p>
      <w:pPr>
        <w:spacing w:after="0" w:line="175" w:lineRule="exact"/>
        <w:rPr>
          <w:sz w:val="20"/>
          <w:szCs w:val="20"/>
          <w:color w:val="auto"/>
        </w:rPr>
      </w:pPr>
    </w:p>
    <w:p>
      <w:pPr>
        <w:jc w:val="both"/>
        <w:ind w:left="40" w:right="59" w:firstLine="648"/>
        <w:spacing w:after="0" w:line="252" w:lineRule="auto"/>
        <w:rPr>
          <w:sz w:val="20"/>
          <w:szCs w:val="20"/>
          <w:color w:val="auto"/>
        </w:rPr>
      </w:pPr>
      <w:r>
        <w:rPr>
          <w:rFonts w:ascii="Times New Roman" w:cs="Times New Roman" w:eastAsia="Times New Roman" w:hAnsi="Times New Roman"/>
          <w:sz w:val="18"/>
          <w:szCs w:val="18"/>
          <w:color w:val="auto"/>
        </w:rPr>
        <w:t>We may not be able to sell our products on a profitable basis or our profitability may be reduced if we are required to sell our products at lower than anticipated prices or reimbursement is unavailable or limited in scope or amount. The costs of JAKAFI, ICLUSIG, PEMAZYRE and MONJUVI are not insignificant and almost all patients will require some form of third-party coverage to afford their cost. Our future revenues and profitability will be adversely affected if we cannot depend on government and other third-party payors to defray the cost of our products to the patient. Reimbursement systems in international markets vary significantly by country and by region, and reimbursement approvals must be obtained on a country-by-country basis. Reimbursement in the EU must be negotiated on a country-by-country basis and in many countries the product cannot be commercially launched until reimbursement is approved. The timing to complete the negotiation process in each country is highly uncertain, and in some countries, we expect that it may exceed 12 months. Risks related to pricing and reimbursement are described below under “—Other Risks Relating to our Business—Health care reform measures could impact the pricing and profitability of pharmaceuticals, and adversely affect the commercial viability of our or our collaborators’ products and drug candidates. Our ability to generate revenues will be diminished if we or our collaborators are unable to obtain an adequate level of reimbursement from private insurers, government insurance programs or other third party payors of health care costs, which could be affected by current and potential healthcare reform legislation, and diminished revenues will harm our operating results and financial condition and could adversely affect our ability to conduct our research and development operations.” If government and other third-party payors refuse to provide coverage and reimbursement with respect to our products, determine to provide a lower level of coverage and reimbursement than anticipated, reduce previously approved levels of coverage and reimbursement, or delay reimbursement payments due to budgetary constraints relating to the COVID-19 Pandemic, then our pricing or reimbursement for our products may be affected and our product sales, results of operations or financial condition could be harmed.</w:t>
      </w:r>
    </w:p>
    <w:p>
      <w:pPr>
        <w:spacing w:after="0" w:line="184" w:lineRule="exact"/>
        <w:rPr>
          <w:sz w:val="20"/>
          <w:szCs w:val="20"/>
          <w:color w:val="auto"/>
        </w:rPr>
      </w:pPr>
    </w:p>
    <w:p>
      <w:pPr>
        <w:jc w:val="both"/>
        <w:ind w:left="40" w:right="59" w:firstLine="5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upon a limited number of specialty pharmacies and wholesalers for a significant portion of any revenues from JAKAFI, and the loss of, or significant reduction in sales to, any one of these specialty pharmacies or wholesalers could adversely affect our operations and financial condition.</w:t>
      </w:r>
    </w:p>
    <w:p>
      <w:pPr>
        <w:spacing w:after="0" w:line="175" w:lineRule="exact"/>
        <w:rPr>
          <w:sz w:val="20"/>
          <w:szCs w:val="20"/>
          <w:color w:val="auto"/>
        </w:rPr>
      </w:pPr>
    </w:p>
    <w:p>
      <w:pPr>
        <w:jc w:val="both"/>
        <w:ind w:left="40" w:right="59" w:firstLine="648"/>
        <w:spacing w:after="0" w:line="252" w:lineRule="auto"/>
        <w:rPr>
          <w:sz w:val="20"/>
          <w:szCs w:val="20"/>
          <w:color w:val="auto"/>
        </w:rPr>
      </w:pPr>
      <w:r>
        <w:rPr>
          <w:rFonts w:ascii="Times New Roman" w:cs="Times New Roman" w:eastAsia="Times New Roman" w:hAnsi="Times New Roman"/>
          <w:sz w:val="18"/>
          <w:szCs w:val="18"/>
          <w:color w:val="auto"/>
        </w:rPr>
        <w:t>We sell JAKAFI primarily to specialty pharmacies and wholesalers. Specialty pharmacies dispense JAKAFI to patients in fulfillment of prescriptions and wholesalers sell JAKAFI to hospitals and physician offices. We do not promote JAKAFI to specialty pharmacies or wholesalers, and they do not set or determine demand for JAKAFI. Our ability to successfully commercialize JAKAFI will depend, in part, on the extent to which we are able to provide adequate distribution of JAKAFI to patients. Although we have contracted with a number of specialty pharmacies and wholesalers, they are expected generally to carry a very limited inventory and may be reluctant to be part of our distribution network in the future if demand for the product does not increase. Further, it is possible that these specialty pharmacies and wholesalers could decide to change their policies or fees, or both, at some time in the future. This could result in their refusal to carry smaller volume products such as JAKAFI, or lower margins or the need to find alternative methods of distributing our product. Although we believe we can find alternative channels to distribute JAKAFI on relatively short notice, our revenue during that period of time may suffer and we may incur additional costs to replace any such specialty pharmacy or wholesaler. The loss of any large specialty pharmacy or wholesaler as part of our distribution network, a significant reduction in sales we make to specialty pharmacies or wholesalers, or any failure to pay for the products we have shipped to them could materially and adversely affect our results of operations and financial condition.</w:t>
      </w:r>
    </w:p>
    <w:p>
      <w:pPr>
        <w:spacing w:after="0" w:line="193" w:lineRule="exact"/>
        <w:rPr>
          <w:sz w:val="20"/>
          <w:szCs w:val="20"/>
          <w:color w:val="auto"/>
        </w:rPr>
      </w:pPr>
    </w:p>
    <w:p>
      <w:pPr>
        <w:jc w:val="both"/>
        <w:ind w:left="4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and maintain effective sales, marketing and distribution capabilities, or to enter into agreements with third parties to do so, we will not be able to successfully commercialize our products.</w:t>
      </w:r>
    </w:p>
    <w:p>
      <w:pPr>
        <w:spacing w:after="0" w:line="159"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We have established commercial capabilities in the United States and outside of the United States, but cannot guarantee that we will be able to enter into and maintain any marketing, distribution or third-party logistics agreements with third-party providers on acceptable terms, if at all. We may not be able to correctly judge the size and experience of the sales and marketing force and the scale of distribution capabilities necessary to successfully market and sell any new products. Establishing and maintaining sales, marketing and distribution capabilities are expensive and time-consuming. Competition for personnel with experience in sales and marketing can be high. Our expenses associated with building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82" w:lineRule="auto"/>
        <w:rPr>
          <w:sz w:val="20"/>
          <w:szCs w:val="20"/>
          <w:color w:val="auto"/>
        </w:rPr>
      </w:pPr>
      <w:r>
        <w:rPr>
          <w:rFonts w:ascii="Times New Roman" w:cs="Times New Roman" w:eastAsia="Times New Roman" w:hAnsi="Times New Roman"/>
          <w:sz w:val="18"/>
          <w:szCs w:val="18"/>
          <w:color w:val="auto"/>
        </w:rPr>
        <w:t>maintaining the sales force and distribution capabilities may be disproportional compared to the revenues we may be able to generate on sales of our products.</w:t>
      </w:r>
    </w:p>
    <w:p>
      <w:pPr>
        <w:spacing w:after="0" w:line="162" w:lineRule="exact"/>
        <w:rPr>
          <w:sz w:val="20"/>
          <w:szCs w:val="20"/>
          <w:color w:val="auto"/>
        </w:rPr>
      </w:pPr>
    </w:p>
    <w:p>
      <w:pPr>
        <w:jc w:val="both"/>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To the extent that we are able to obtain marketing approval for ruxolitinib cream for dermatology indications such as atopic dermatitis and vitiligo, we will have to establish and maintain sales, marketing and distribution capabilities that will generally be separate from our existing capabilities for oncology indications, and we have no prior experience in commercializing products for dermatology indications. Successful commercialization of our drug candidates for dermatology indications, if approved, will require us to establish new physician and payor relationships, reimbursement strategies and governmental interactions. Our inability to commercialize successfully products in indications outside of oncology could harm our business and operating results.</w:t>
      </w:r>
    </w:p>
    <w:p>
      <w:pPr>
        <w:spacing w:after="0" w:line="185" w:lineRule="exact"/>
        <w:rPr>
          <w:sz w:val="20"/>
          <w:szCs w:val="20"/>
          <w:color w:val="auto"/>
        </w:rPr>
      </w:pPr>
    </w:p>
    <w:p>
      <w:pPr>
        <w:jc w:val="both"/>
        <w:ind w:left="4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applicable laws and regulations, we could lose our approval to market our products or be subject to other governmental enforcement activity.</w:t>
      </w:r>
    </w:p>
    <w:p>
      <w:pPr>
        <w:spacing w:after="0" w:line="159" w:lineRule="exact"/>
        <w:rPr>
          <w:sz w:val="20"/>
          <w:szCs w:val="20"/>
          <w:color w:val="auto"/>
        </w:rPr>
      </w:pPr>
    </w:p>
    <w:p>
      <w:pPr>
        <w:jc w:val="both"/>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We cannot guarantee that we will be able to maintain regulatory approval to market our products in the jurisdictions in which they are currently marketed. If we do not maintain our regulatory approval to market our products, in particular JAKAFI, our results of operations will be materially harmed. We and our collaborators, third-party manufacturers and suppliers are subject to rigorous and extensive regulation by the FDA and other federal and state agencies as well as foreign governmental agencies. These regulations continue to apply after product marketing approval, and cover, among other things, testing, manufacturing, quality control and assurance, labeling, advertising, promotion, risk mitigation, and adverse event reporting requirements.</w:t>
      </w:r>
    </w:p>
    <w:p>
      <w:pPr>
        <w:spacing w:after="0" w:line="189" w:lineRule="exact"/>
        <w:rPr>
          <w:sz w:val="20"/>
          <w:szCs w:val="20"/>
          <w:color w:val="auto"/>
        </w:rPr>
      </w:pPr>
    </w:p>
    <w:p>
      <w:pPr>
        <w:jc w:val="both"/>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The commercialization of our products is subject to post-regulatory approval product surveillance, and our products may have to be withdrawn from the market or subject to restrictions if previously unknown problems occur. Regulatory agencies may also require additional clinical trials or testing for our products, and our products may be recalled or may be subject to reformulation, additional studies, changes in labeling, warnings to the public and negative publicity. For example, from late 2013 through 2014, ICLUSIG was subject to review by the European Medicines Agency, or EMA, of the benefits and risks of ICLUSIG to better understand the nature, frequency and severity of events obstructing the arteries or veins, the potential mechanism that leads to these side effects and whether there needed to be a revision in the dosing recommendation, patient monitoring and a risk management plan for ICLUSIG. This review was completed in January 2015, with additional warnings in the product information but without any change in the approved indications. The EMA could take additional actions in the future that reduce the commercial potential of ICLUSIG.</w:t>
      </w:r>
    </w:p>
    <w:p>
      <w:pPr>
        <w:spacing w:after="0" w:line="19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Failure to comply with the laws and regulations administered by the FDA or other agencies could result in:</w:t>
      </w:r>
    </w:p>
    <w:p>
      <w:pPr>
        <w:spacing w:after="0" w:line="225" w:lineRule="exact"/>
        <w:rPr>
          <w:sz w:val="20"/>
          <w:szCs w:val="20"/>
          <w:color w:val="auto"/>
        </w:rPr>
      </w:pPr>
    </w:p>
    <w:p>
      <w:pPr>
        <w:ind w:left="1040" w:hanging="321"/>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and judicial sanctions, including warning letters;</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and other civil penalties;</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 to market or manufacture our products;</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production;</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 or seizure;</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and</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occurrence of any such event may have a material adverse effect on our business.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4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use of our products harms patients, or is perceived to harm patients even when such harm is unrelated to our products, our regulatory approvals could be revoked or otherwise negatively impacted or we could be subject to costly and damaging product liability claims.</w:t>
      </w:r>
    </w:p>
    <w:p>
      <w:pPr>
        <w:spacing w:after="0" w:line="175" w:lineRule="exact"/>
        <w:rPr>
          <w:sz w:val="20"/>
          <w:szCs w:val="20"/>
          <w:color w:val="auto"/>
        </w:rPr>
      </w:pPr>
    </w:p>
    <w:p>
      <w:pPr>
        <w:jc w:val="both"/>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The testing of JAKAFI, ICLUSIG, PEMAZYRE and MONJUVI, the manufacturing, marketing and sale of JAKAFI and PEMAZYRE and the marketing and sale of ICLUSIG and MONJUVI expose us to product liability and other risks. Side effects and other problems experienced by patients from the use of our products could:</w:t>
      </w:r>
    </w:p>
    <w:p>
      <w:pPr>
        <w:spacing w:after="0" w:line="176" w:lineRule="exact"/>
        <w:rPr>
          <w:sz w:val="20"/>
          <w:szCs w:val="20"/>
          <w:color w:val="auto"/>
        </w:rPr>
      </w:pPr>
    </w:p>
    <w:p>
      <w:pPr>
        <w:ind w:left="1040" w:hanging="321"/>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lessen the frequency with which physicians decide to prescribe our products;</w:t>
      </w:r>
    </w:p>
    <w:p>
      <w:pPr>
        <w:spacing w:after="0" w:line="225" w:lineRule="exact"/>
        <w:rPr>
          <w:rFonts w:ascii="Times New Roman" w:cs="Times New Roman" w:eastAsia="Times New Roman" w:hAnsi="Times New Roman"/>
          <w:sz w:val="18"/>
          <w:szCs w:val="18"/>
          <w:color w:val="auto"/>
        </w:rPr>
      </w:pPr>
    </w:p>
    <w:p>
      <w:pPr>
        <w:ind w:left="1040" w:right="79" w:hanging="321"/>
        <w:spacing w:after="0" w:line="282"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physicians to stop prescribing our products to their patients who previously had been prescribed our products;</w:t>
      </w:r>
    </w:p>
    <w:p>
      <w:pPr>
        <w:spacing w:after="0" w:line="161"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serious harm to patients that may give rise to product liability claims against us; and</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our need to withdraw or recall our products from the marketplace.</w:t>
      </w:r>
    </w:p>
    <w:p>
      <w:pPr>
        <w:spacing w:after="0" w:line="225" w:lineRule="exact"/>
        <w:rPr>
          <w:sz w:val="20"/>
          <w:szCs w:val="20"/>
          <w:color w:val="auto"/>
        </w:rPr>
      </w:pPr>
    </w:p>
    <w:p>
      <w:pPr>
        <w:jc w:val="both"/>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If our products are used by a wide patient population, new risks and side effects may be discovered, the rate of known risks or side effects may increase, and risks previously viewed as less significant could be determined to be significant.</w:t>
      </w:r>
    </w:p>
    <w:p>
      <w:pPr>
        <w:spacing w:after="0" w:line="176" w:lineRule="exact"/>
        <w:rPr>
          <w:sz w:val="20"/>
          <w:szCs w:val="20"/>
          <w:color w:val="auto"/>
        </w:rPr>
      </w:pPr>
    </w:p>
    <w:p>
      <w:pPr>
        <w:jc w:val="both"/>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Previously unknown risks and adverse effects of our products may also be discovered in connection with unapproved, or off-label, uses of our products. We are prohibited by law from promoting or in any way supporting or encouraging the promotion of our products for off-label uses, but physicians are permitted to use products for off-label purposes. In addition, we are studying and expect to continue to study JAKAFI in diseases for potential additional indications in controlled clinical settings, and independent investigators are doing so as well. In the event of any new risks or adverse effects discovered as new patients are treated for intermediate or high-risk myelofibrosis, uncontrolled polycythemia vera or acute graft-versus-host disease and as JAKAFI is studied in or used by patients for off-label indications, regulatory authorities may delay or revoke their approvals, we may be required to conduct additional clinical trials, make changes in labeling of JAKAFI, reformulate JAKAFI or make changes and obtain new approvals. We may also experience a significant drop in the sales of JAKAFI, experience harm to our reputation and the reputation of JAKAFI in the marketplace or become subject to lawsuits, including class actions. Any of these results could decrease or prevent sales of JAKAFI or substantially increase the costs and expenses of commercializing JAKAFI. Similar results could occur with respect to our commercialization of ICLUSIG, PEMAZYRE and MONJUVI.</w:t>
      </w:r>
    </w:p>
    <w:p>
      <w:pPr>
        <w:spacing w:after="0" w:line="187" w:lineRule="exact"/>
        <w:rPr>
          <w:sz w:val="20"/>
          <w:szCs w:val="20"/>
          <w:color w:val="auto"/>
        </w:rPr>
      </w:pPr>
    </w:p>
    <w:p>
      <w:pPr>
        <w:jc w:val="both"/>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Patients who have been enrolled in our clinical trials or who may use our products in the future often have severe and advanced stages of disease and known as well as unknown significant pre-existing and potentially life-threatening health risks. During the course of treatment, patients may suffer adverse events, including death, for reasons that may or may not be related to our products.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 consuming or inconclusive. These investigations may interrupt our sales efforts, impact and limit the type of regulatory approvals our products receive or maintain, or delay the regulatory approval process in other countries.</w:t>
      </w:r>
    </w:p>
    <w:p>
      <w:pPr>
        <w:spacing w:after="0" w:line="188"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Factors similar to those listed above also apply to our collaborator Novartis for jurisdictions in which it has development and commercialization rights, to ICLUSIG for jurisdictions outside the United States, to our collaborator Lilly for all jurisdictions and to our collaborator Innovent for PEMAZYRE in the jurisdictions in which it has development and commercialization rights.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4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market our products in a manner that violates various laws and regulations, we may be subject to civil or criminal penalties.</w:t>
      </w:r>
    </w:p>
    <w:p>
      <w:pPr>
        <w:spacing w:after="0" w:line="159" w:lineRule="exact"/>
        <w:rPr>
          <w:sz w:val="20"/>
          <w:szCs w:val="20"/>
          <w:color w:val="auto"/>
        </w:rPr>
      </w:pPr>
    </w:p>
    <w:p>
      <w:pPr>
        <w:jc w:val="both"/>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knowingly and willfully offering, paying, soliciting or receiving remuneration to induce, or in return for purchasing, leasing, ordering or arranging for the purchase, lease or order of any health care item or service reimbursable under Medicare, Medicaid, or other federally- or state-financed health care programs. 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w:t>
      </w:r>
    </w:p>
    <w:p>
      <w:pPr>
        <w:spacing w:after="0" w:line="188" w:lineRule="exact"/>
        <w:rPr>
          <w:sz w:val="20"/>
          <w:szCs w:val="20"/>
          <w:color w:val="auto"/>
        </w:rPr>
      </w:pPr>
    </w:p>
    <w:p>
      <w:pPr>
        <w:jc w:val="both"/>
        <w:ind w:left="40" w:right="59" w:firstLine="648"/>
        <w:spacing w:after="0" w:line="268" w:lineRule="auto"/>
        <w:rPr>
          <w:sz w:val="20"/>
          <w:szCs w:val="20"/>
          <w:color w:val="auto"/>
        </w:rPr>
      </w:pPr>
      <w:r>
        <w:rPr>
          <w:rFonts w:ascii="Times New Roman" w:cs="Times New Roman" w:eastAsia="Times New Roman" w:hAnsi="Times New Roman"/>
          <w:sz w:val="17"/>
          <w:szCs w:val="17"/>
          <w:color w:val="auto"/>
        </w:rPr>
        <w:t>Although physicians are permitted, based on their medical judgment, to prescribe products for indications other than those approved by the FDA, manufacturers are prohibited from promoting their products for such off-label uses. We market JAKAFI for intermediate or high-risk myelofibrosis, uncontrolled polycythemia vera and acute graft-versus-host disease and provide promotional materials to physicians regarding the use of JAKAFI for these indications. Although we believe that our promotional materials for physicians do not constitute improper promotion of JAKAFI, the FDA or other agencies may disagree. If the FDA or another agency determines that our promotional materials or other activities constitute improper promotion of JAKAFI, it could request that we modify our promotional materials or other activities or subject us to regulatory enforcement actions, including the issuance of a warning letter, injunction, seizure, civil fine and criminal penalties. It is also possible that other federal, state or foreign enforcement authorities might take action if they believe that the alleged improper promotion led to the submission and payment of claims for an unapproved use, which could result in significant fines or penalties under other statutory authorities, such as laws prohibiting false claims for reimbursement. Even if it is later determined we are not in violation of these laws, we may be faced with negative publicity, incur significant expenses defending our position and have to divert significant management resources from other matters. Similar risks exist for our marketing of PEMAZYRE and our and our collaborator MorphoSys’s marketing of MONJUVI.</w:t>
      </w:r>
    </w:p>
    <w:p>
      <w:pPr>
        <w:spacing w:after="0" w:line="184"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The European Union and member countries, as well as governmental authorities in other countries, impose similar strict restrictions on the promotion and marketing of drug products. The off-label promotion of medicinal products is prohibited in the EU and in other territories, and the EU also maintains strict controls on advertising and promotional materials. The promotion of medicinal products that are not subject to a marketing authorization is also prohibited in the EU. Violations of the rules governing the promotion of medicinal products in the EU and in other territories could be penalized by administrative measures, fines and imprisonment.</w:t>
      </w:r>
    </w:p>
    <w:p>
      <w:pPr>
        <w:spacing w:after="0" w:line="187" w:lineRule="exact"/>
        <w:rPr>
          <w:sz w:val="20"/>
          <w:szCs w:val="20"/>
          <w:color w:val="auto"/>
        </w:rPr>
      </w:pPr>
    </w:p>
    <w:p>
      <w:pPr>
        <w:jc w:val="both"/>
        <w:ind w:left="40" w:right="59" w:firstLine="648"/>
        <w:spacing w:after="0" w:line="252" w:lineRule="auto"/>
        <w:rPr>
          <w:sz w:val="20"/>
          <w:szCs w:val="20"/>
          <w:color w:val="auto"/>
        </w:rPr>
      </w:pPr>
      <w:r>
        <w:rPr>
          <w:rFonts w:ascii="Times New Roman" w:cs="Times New Roman" w:eastAsia="Times New Roman" w:hAnsi="Times New Roman"/>
          <w:sz w:val="18"/>
          <w:szCs w:val="18"/>
          <w:color w:val="auto"/>
        </w:rPr>
        <w:t>The majority of states also have statutes or regulations similar to the federal anti-kickback law and false claims laws, which apply to items and services reimbursed under Medicaid and other state programs, or, in several states, apply regardless of the payor. Numerous states and localities have enacted or are considering enacting legislation requiring pharmaceutical companies to establish marketing compliance programs, file periodic reports or make periodic public disclosures on sales, marketing, pricing, clinical trials, and other activities. Additionally, as part of the Patient Protection and Affordable Care Act, the federal government has enacted the Physician Payment Sunshine provisions. The Sunshine provisions and similar laws and regulations in other jurisdictions where we do business require manufacturers to publicly report certain payments or other transfers of value made to physicians and teaching hospitals. Many of these requirements are new and uncertain, and the penalties for failure to comply with these requirements are unclear. Nonetheless, if we are found not to be in full compliance with these laws, we could face enforcement action and fines and other penalties, which could be significant in amount or result in exclusion from federal healthcare programs such as Medicare and Medicaid. Any action initiated against us for violation of these laws, even if we successfully defend against it, could require the expenditure of significant resources and generate negative publicity, which could harm our business and operating results. See also “—Other Risks Relating to our Business—If we fail to comply with the extensive legal and regulatory requirements affecting the health care industry, we could face increased costs, penalties and a loss of business” below.</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Competition for our products could harm our business and result in a decrease in our revenue.</w:t>
      </w:r>
    </w:p>
    <w:p>
      <w:pPr>
        <w:spacing w:after="0" w:line="229" w:lineRule="exact"/>
        <w:rPr>
          <w:sz w:val="20"/>
          <w:szCs w:val="20"/>
          <w:color w:val="auto"/>
        </w:rPr>
      </w:pPr>
    </w:p>
    <w:p>
      <w:pPr>
        <w:jc w:val="both"/>
        <w:ind w:left="40" w:right="59" w:firstLine="648"/>
        <w:spacing w:after="0" w:line="252" w:lineRule="auto"/>
        <w:rPr>
          <w:sz w:val="20"/>
          <w:szCs w:val="20"/>
          <w:color w:val="auto"/>
        </w:rPr>
      </w:pPr>
      <w:r>
        <w:rPr>
          <w:rFonts w:ascii="Times New Roman" w:cs="Times New Roman" w:eastAsia="Times New Roman" w:hAnsi="Times New Roman"/>
          <w:sz w:val="18"/>
          <w:szCs w:val="18"/>
          <w:color w:val="auto"/>
        </w:rPr>
        <w:t>Present and potential competitors for JAKAFI could include major pharmaceutical and biotechnology companies, as well as specialty pharmaceutical firms. For example, in August 2019, Celgene Corporation, now a subsidiary of Bristol-Myers Squibb Company, announced that the FDA had approved INREBIC (fedratinib) for the treatment of myelofibrosis. See “—Other Risks Relating to our Business— We face significant competition for our drug discovery and development efforts, and if we do not compete effectively, our commercial opportunities will be reduced or eliminated” for a description of risks relating to this type of competition. In addition, JAKAFI could face competition from generic products. As a result of the Drug Price Competition and Patent Term Restoration Act of 1984, commonly known as the Hatch-Waxman Act, in the United States, generic manufacturers may seek approval of a generic version of an innovative pharmaceutical by filing with the FDA an Abbreviated New Drug Application, or ANDA. The Hatch-Waxman Act provides significant incentives to generic manufacturers to challenge U.S. patents on successful innovative pharmaceutical products. In February 2016, we received a notice letter regarding an ANDA that requested approval to market a generic version of JAKAFI and purported to challenge patents covering ruxolitinib phosphate and its use that expire in 2028. The notice letter does not challenge the ruxolitinib composition of matter patent, which expires in December 2027. To date, to our knowledge, the FDA has taken no action with respect to this ANDA. Separately, in January 2018 the Patent Trial and Appeal Board (PTAB) of United States Patent and Trademark Office denied a petition challenging our patent covering deuterated ruxolitinib analogs and the PTAB subsequently denied the petitioner’s request for rehearing in May 2018. Nevertheless, the petitioner still has the right separately to challenge the validity of our patent in federal court. There can be no assurance that our patents will be upheld or that any litigation in which we might engage with any such generic manufacturer would be successful in protecting JAKAFI’s exclusivity. The entry of a generic version of JAKAFI could result in a decrease in JAKAFI sales and materially harm our business, operating results and financial condition.</w:t>
      </w:r>
    </w:p>
    <w:p>
      <w:pPr>
        <w:spacing w:after="0" w:line="189" w:lineRule="exact"/>
        <w:rPr>
          <w:sz w:val="20"/>
          <w:szCs w:val="20"/>
          <w:color w:val="auto"/>
        </w:rPr>
      </w:pPr>
    </w:p>
    <w:p>
      <w:pPr>
        <w:jc w:val="both"/>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ICLUSIG currently competes with existing therapies that are approved for the treatment of patients with chronic myeloid leukemia, or CML, who are resistant or intolerant to prior tyrosine kinase inhibitor, or TKI, therapies, on the basis of, among other things, efficacy, cost, breadth of approved use and the safety and side-effect profile. In addition, generic versions of imatinib are available and, while we currently believe that generic versions of imatinib will not materially impact our commercialization of ICLUSIG, given ICLUSIG’s various indication statements globally that are currently focused on resistant or intolerant CML, we cannot be certain how physicians, payors, patients, regulatory authorities and other market participants will respond to the availability of generic versions of imatinib.</w:t>
      </w:r>
    </w:p>
    <w:p>
      <w:pPr>
        <w:spacing w:after="0" w:line="189" w:lineRule="exact"/>
        <w:rPr>
          <w:sz w:val="20"/>
          <w:szCs w:val="20"/>
          <w:color w:val="auto"/>
        </w:rPr>
      </w:pPr>
    </w:p>
    <w:p>
      <w:pPr>
        <w:jc w:val="both"/>
        <w:ind w:left="40" w:right="59" w:firstLine="648"/>
        <w:spacing w:after="0" w:line="282" w:lineRule="auto"/>
        <w:rPr>
          <w:sz w:val="20"/>
          <w:szCs w:val="20"/>
          <w:color w:val="auto"/>
        </w:rPr>
      </w:pPr>
      <w:r>
        <w:rPr>
          <w:rFonts w:ascii="Times New Roman" w:cs="Times New Roman" w:eastAsia="Times New Roman" w:hAnsi="Times New Roman"/>
          <w:sz w:val="18"/>
          <w:szCs w:val="18"/>
          <w:color w:val="auto"/>
        </w:rPr>
        <w:t>Present and potential competitors for PEMAZYRE and MONJUVI could include major pharmaceutical and biotechnology companies, as well as specialty pharmaceutical firms.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RISKS RELATING TO OUR BUSINESS</w:t>
      </w:r>
    </w:p>
    <w:p>
      <w:pPr>
        <w:spacing w:after="0" w:line="225" w:lineRule="exact"/>
        <w:rPr>
          <w:sz w:val="20"/>
          <w:szCs w:val="20"/>
          <w:color w:val="auto"/>
        </w:rPr>
      </w:pPr>
    </w:p>
    <w:p>
      <w:pPr>
        <w:jc w:val="both"/>
        <w:ind w:left="4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Public health epidemics, such as the COVID-19 Pandemic, could adversely affect our business, results of operations, and financial condition.</w:t>
      </w:r>
    </w:p>
    <w:p>
      <w:pPr>
        <w:spacing w:after="0" w:line="159" w:lineRule="exact"/>
        <w:rPr>
          <w:sz w:val="20"/>
          <w:szCs w:val="20"/>
          <w:color w:val="auto"/>
        </w:rPr>
      </w:pPr>
    </w:p>
    <w:p>
      <w:pPr>
        <w:jc w:val="both"/>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Our global operations expose us to risks associated with public health epidemics, such as the COVID-19 Pandemic that has spread globally. The extent to which the COVID-19 Pandemic and the measures taken to limit COVID-19’s spread impact our operations and those of our suppliers, collaborators, service providers and healthcare organizations serving patients, as well as demand for our drug products, will depend on future developments, which are highly uncertain and cannot be predicted with confidence, including the duration of the outbreak and any future resurgence of the outbreak, additional or modified government actions, including any further restrictions or reopening of local, state or national social or economic activity, new information that may emerge concerning the severity of COVID-19 and the actions taken to contain COVID-19 or treat its impact, among others.</w:t>
      </w:r>
    </w:p>
    <w:p>
      <w:pPr>
        <w:spacing w:after="0" w:line="192" w:lineRule="exact"/>
        <w:rPr>
          <w:sz w:val="20"/>
          <w:szCs w:val="20"/>
          <w:color w:val="auto"/>
        </w:rPr>
      </w:pPr>
    </w:p>
    <w:p>
      <w:pPr>
        <w:jc w:val="both"/>
        <w:ind w:left="40" w:right="59"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COVID-19 Pandemic, we may experience disruptions that could severely impact our business, results of operations and financial condition, including the following:</w:t>
      </w:r>
    </w:p>
    <w:p>
      <w:pPr>
        <w:spacing w:after="0" w:line="162" w:lineRule="exact"/>
        <w:rPr>
          <w:sz w:val="20"/>
          <w:szCs w:val="20"/>
          <w:color w:val="auto"/>
        </w:rPr>
      </w:pPr>
    </w:p>
    <w:p>
      <w:pPr>
        <w:jc w:val="both"/>
        <w:ind w:left="720" w:right="79" w:hanging="325"/>
        <w:spacing w:after="0" w:line="266"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protect the health of our employees and their families, and our communities, in accordance with – and in some cases in advance or - direction from state and local government authorities, we currently have limited access to certain of our facilities and instituted additional precautions in our facilities that have reopened, and a significant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59"/>
        <w:spacing w:after="0" w:line="254" w:lineRule="auto"/>
        <w:rPr>
          <w:sz w:val="20"/>
          <w:szCs w:val="20"/>
          <w:color w:val="auto"/>
        </w:rPr>
      </w:pPr>
      <w:r>
        <w:rPr>
          <w:rFonts w:ascii="Times New Roman" w:cs="Times New Roman" w:eastAsia="Times New Roman" w:hAnsi="Times New Roman"/>
          <w:sz w:val="18"/>
          <w:szCs w:val="18"/>
          <w:color w:val="auto"/>
        </w:rPr>
        <w:t>percentage of our personnel continue to work remotely a significant portion of their time. In the event that governmental authorities were to modify current restrictions or re-establish greater restrictions, our employees conducting research and development activities may not be able to access our laboratory space, and our research and development activities may be significantly limited or curtailed, possibly for an extended period of time. These research and development activities could include completing Investigational New Drug (IND)/Clinical Trial Application (CTA)-enabling studies, our ability to select future development candidates, and initiation of additional clinical trials for our development programs. Having a significant portion of our employees work from home can strain our information technology infrastructure, which may affect our ability to operate effectively, may make us more susceptible to communications disruptions, and expose us to greater cybersecurity risks.</w:t>
      </w:r>
    </w:p>
    <w:p>
      <w:pPr>
        <w:spacing w:after="0" w:line="188" w:lineRule="exact"/>
        <w:rPr>
          <w:sz w:val="20"/>
          <w:szCs w:val="20"/>
          <w:color w:val="auto"/>
        </w:rPr>
      </w:pPr>
    </w:p>
    <w:p>
      <w:pPr>
        <w:jc w:val="both"/>
        <w:ind w:left="720" w:right="59" w:hanging="325"/>
        <w:spacing w:after="0" w:line="266"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and marketing activities, including our interactions with healthcare professionals, have been limited and made more difficult by the work from home orders and travel restrictions, and we cannot predict the effects on patient demand or future sales if there are prolonged quarantines, work from home orders or travel restrictions.</w:t>
      </w:r>
    </w:p>
    <w:p>
      <w:pPr>
        <w:spacing w:after="0" w:line="175" w:lineRule="exact"/>
        <w:rPr>
          <w:rFonts w:ascii="Times New Roman" w:cs="Times New Roman" w:eastAsia="Times New Roman" w:hAnsi="Times New Roman"/>
          <w:sz w:val="18"/>
          <w:szCs w:val="18"/>
          <w:color w:val="auto"/>
        </w:rPr>
      </w:pPr>
    </w:p>
    <w:p>
      <w:pPr>
        <w:jc w:val="both"/>
        <w:ind w:left="720" w:right="59" w:hanging="325"/>
        <w:spacing w:after="0" w:line="256"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have been and may in the future be affected by delays in site initiation, patient screening, patient enrollment, and monitoring and data collection as a result of prioritization of hospital resources for the COVID-19 Pandemic, travel restrictions, and the inability to access sites for initiation and monitoring. In addition, some patients may be unable to comply with clinical trial protocols if quarantines or stay at home orders impede patient movement or interrupt health services, we may be unable to obtain blood samples for testing, and we may not be able to provide the trial drug candidate to patients.</w:t>
      </w:r>
    </w:p>
    <w:p>
      <w:pPr>
        <w:spacing w:after="0" w:line="187" w:lineRule="exact"/>
        <w:rPr>
          <w:rFonts w:ascii="Times New Roman" w:cs="Times New Roman" w:eastAsia="Times New Roman" w:hAnsi="Times New Roman"/>
          <w:sz w:val="18"/>
          <w:szCs w:val="18"/>
          <w:color w:val="auto"/>
        </w:rPr>
      </w:pPr>
    </w:p>
    <w:p>
      <w:pPr>
        <w:jc w:val="both"/>
        <w:ind w:left="720" w:right="59" w:hanging="325"/>
        <w:spacing w:after="0" w:line="256"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regulatory agencies globally have experienced disruptions in their operations as a result of the coronavirus pandemic. The FDA and comparable foreign regulatory agencies may have slower response times or be under-resourced to continue to monitor our clinical trials and, as a result, review, inspection, and other timelines may be materially delayed. If any of these disruptions occur or continue to occur, we cannot predict how long they may last. Our drug candidate application reviews and potential approvals could be impacted or delayed by these disruptions, if they occur or continue to occur.</w:t>
      </w:r>
    </w:p>
    <w:p>
      <w:pPr>
        <w:spacing w:after="0" w:line="187" w:lineRule="exact"/>
        <w:rPr>
          <w:rFonts w:ascii="Times New Roman" w:cs="Times New Roman" w:eastAsia="Times New Roman" w:hAnsi="Times New Roman"/>
          <w:sz w:val="18"/>
          <w:szCs w:val="18"/>
          <w:color w:val="auto"/>
        </w:rPr>
      </w:pPr>
    </w:p>
    <w:p>
      <w:pPr>
        <w:jc w:val="both"/>
        <w:ind w:left="720" w:right="59" w:hanging="325"/>
        <w:spacing w:after="0" w:line="254"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outbreak and measures taken to limit the spread of the outbreak, especially if prolonged, could also disrupt our supply chain or limit our ability to obtain sufficient materials for our drug products and product candidates, which could adversely affect our revenues and clinical trial timelines. Currently, our supply chain for our drug products and product candidates depends on operations by us and by other companies in multiple countries around the world, and the effects of the COVID-19 Pandemic on any or all of these countries is uncertain and unpredictable and potential disruption is possible. And, for JAKAFI, while our strategy is to maintain a 24 month stock of active pharmaceutical ingredient, or API, inclusive of finished product, ruxolitinib phosphate might be used by us either to make JAKAFI or for ruxolitinib drug candidates in clinical trials.</w:t>
      </w:r>
    </w:p>
    <w:p>
      <w:pPr>
        <w:spacing w:after="0" w:line="191" w:lineRule="exact"/>
        <w:rPr>
          <w:rFonts w:ascii="Times New Roman" w:cs="Times New Roman" w:eastAsia="Times New Roman" w:hAnsi="Times New Roman"/>
          <w:sz w:val="18"/>
          <w:szCs w:val="18"/>
          <w:color w:val="auto"/>
        </w:rPr>
      </w:pPr>
    </w:p>
    <w:p>
      <w:pPr>
        <w:jc w:val="both"/>
        <w:ind w:left="720" w:right="79" w:hanging="325"/>
        <w:spacing w:after="0" w:line="266"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deterioration of worldwide credit and financial markets could result in losses on our holdings of cash and investments due to failures of financial institutions and other parties, and interruptions and delays in our ability to collect, or potential losses on, our accounts receivable.</w:t>
      </w:r>
    </w:p>
    <w:p>
      <w:pPr>
        <w:spacing w:after="0" w:line="176"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Our collaborators could be affected by similar factors as those that have or could affect our business. The ultimate impact of the COVID-19 Pandemic or a similar health epidemic is highly uncertain and subject to change. We do not yet know the full extent of potential impacts or delays on our or our collaborators’ businesses, our revenues, including milestone and royalty revenues from our collaborators, our and our collaborators’ clinical trials, healthcare systems or the global economy as a whole. However, these effects could have a material adverse impact on our business, results of operations, and financial condition.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We may be unsuccessful in our efforts to discover and develop drug candidates and commercialize drug products.</w:t>
      </w:r>
    </w:p>
    <w:p>
      <w:pPr>
        <w:spacing w:after="0" w:line="229" w:lineRule="exact"/>
        <w:rPr>
          <w:sz w:val="20"/>
          <w:szCs w:val="20"/>
          <w:color w:val="auto"/>
        </w:rPr>
      </w:pPr>
    </w:p>
    <w:p>
      <w:pPr>
        <w:jc w:val="both"/>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Our long-term success, revenue growth and diversification of revenues depends on our ability to obtain regulatory approval for new drug products and new indications for our existing drug products. Our ability to discover and develop drug candidates and to commercialize additional drug products and indications will depend on our ability to:</w:t>
      </w:r>
    </w:p>
    <w:p>
      <w:pPr>
        <w:spacing w:after="0" w:line="176" w:lineRule="exact"/>
        <w:rPr>
          <w:sz w:val="20"/>
          <w:szCs w:val="20"/>
          <w:color w:val="auto"/>
        </w:rPr>
      </w:pPr>
    </w:p>
    <w:p>
      <w:pPr>
        <w:ind w:left="1040" w:hanging="321"/>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key employees;</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high quality therapeutic targets;</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potential drug candidates;</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products internally or license drug candidates from others;</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enroll suitable human subjects, either in the United States or abroad, for our clinical trials;</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laboratory testing;</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conduct and complete safe and effective clinical trials on humans;</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necessary intellectual property rights to our products;</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necessary regulatory approvals for our products, both in the United States and abroad;</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arrangements with third parties to provide services or to manufacture our products on our behalf;</w:t>
      </w:r>
    </w:p>
    <w:p>
      <w:pPr>
        <w:spacing w:after="0" w:line="225" w:lineRule="exact"/>
        <w:rPr>
          <w:rFonts w:ascii="Times New Roman" w:cs="Times New Roman" w:eastAsia="Times New Roman" w:hAnsi="Times New Roman"/>
          <w:sz w:val="18"/>
          <w:szCs w:val="18"/>
          <w:color w:val="auto"/>
        </w:rPr>
      </w:pPr>
    </w:p>
    <w:p>
      <w:pPr>
        <w:ind w:left="1040" w:right="79" w:hanging="321"/>
        <w:spacing w:after="0" w:line="282"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 sales, marketing, distribution and manufacturing resources effectively or enter into arrangements with third parties to provide these functions in compliance with all applicable laws;</w:t>
      </w:r>
    </w:p>
    <w:p>
      <w:pPr>
        <w:spacing w:after="0" w:line="161" w:lineRule="exact"/>
        <w:rPr>
          <w:rFonts w:ascii="Times New Roman" w:cs="Times New Roman" w:eastAsia="Times New Roman" w:hAnsi="Times New Roman"/>
          <w:sz w:val="18"/>
          <w:szCs w:val="18"/>
          <w:color w:val="auto"/>
        </w:rPr>
      </w:pPr>
    </w:p>
    <w:p>
      <w:pPr>
        <w:ind w:left="1040" w:right="59" w:hanging="321"/>
        <w:spacing w:after="0" w:line="282"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appropriate coverage and reimbursement levels for the cost of our products from governmental authorities, private health insurers and other third-party payors;</w:t>
      </w:r>
    </w:p>
    <w:p>
      <w:pPr>
        <w:spacing w:after="0" w:line="161"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facilities at reasonable rates to support our growth; and</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arrangements with third parties to license and commercialize our products.</w:t>
      </w:r>
    </w:p>
    <w:p>
      <w:pPr>
        <w:spacing w:after="0" w:line="225"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We may not be successful in discovering, developing, or commercializing additional drug products or our existing drug products in new indications. Discovery and development of drug candidates are expensive, uncertain and time-consuming, and we do not know if our efforts will lead to discovery of any drug candidates that can be successfully developed and marketed. Of the compounds or biologics that we identify as potential drug products or that we may in-license from other companies, including potential products for which we are conducting clinical trials, only a few, if any, are likely to lead to successful drug development programs and commercialized drug products.</w:t>
      </w:r>
    </w:p>
    <w:p>
      <w:pPr>
        <w:spacing w:after="0" w:line="183" w:lineRule="exact"/>
        <w:rPr>
          <w:sz w:val="20"/>
          <w:szCs w:val="20"/>
          <w:color w:val="auto"/>
        </w:rPr>
      </w:pPr>
    </w:p>
    <w:p>
      <w:pPr>
        <w:jc w:val="both"/>
        <w:ind w:left="4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the success of our most advanced drug candidates. We might not be able to commercialize any of our drug candidates successfully, and we may spend significant time and money attempting to do so.</w:t>
      </w:r>
    </w:p>
    <w:p>
      <w:pPr>
        <w:spacing w:after="0" w:line="159" w:lineRule="exact"/>
        <w:rPr>
          <w:sz w:val="20"/>
          <w:szCs w:val="20"/>
          <w:color w:val="auto"/>
        </w:rPr>
      </w:pPr>
    </w:p>
    <w:p>
      <w:pPr>
        <w:jc w:val="both"/>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We have invested significant resources in the development of our most advanced drug candidates. We and our collaborator MorphoSys have submitted a European Marketing Authorization Application with the EMA for tafasitamab in combination with lenalidomide for the treatment of patients with a specified type of lymphoma. Ruxolitinib is in Phase III clinical trials for the treatment of patients with steroid-refractory graft-versus-host disease and patients with COVID-19 and is in other clinical trials. Ruxolitinib cream is in Phase III clinical trials for the treatment of patients with atopic dermatitis and vitiligo. Itacitinib is in Phase III clinical trials for the treatment of patients with chronic graft-versus-host disease. Further, we have a number of drug candidates in Phase I and Phase II clinical trials. Our ability to generate product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revenues will depend on the successful development and eventual commercialization of our most advanced drug candidates. We, or our collaborators or licensees, may decide to discontinue development of any or all of our drug candidates at any time for commercial, scientific or other reasons. For example: in early 2016, we decided to discontinue the clinical trials of ruxolitinib in pancreatic cancer and solid tumors and itacitinib in pancreatic cancer; and, in April 2018, we along with Merck stopped the ECHO-301 study with epacadostat, and we also significantly downsized the epacadostat development program. In addition, in January 2020 we announced that itacitinib did not meet the primary endpoint in the Phase III clinical trial for the treatment of patients with acute graft-versus-host disease. If a product is developed but not approved or marketed, we may have spent significant amounts of time and money on it, which could adversely affect our operating results and financial condition as well as our business plans.</w:t>
      </w:r>
    </w:p>
    <w:p>
      <w:pPr>
        <w:spacing w:after="0" w:line="184" w:lineRule="exact"/>
        <w:rPr>
          <w:sz w:val="20"/>
          <w:szCs w:val="20"/>
          <w:color w:val="auto"/>
        </w:rPr>
      </w:pPr>
    </w:p>
    <w:p>
      <w:pPr>
        <w:jc w:val="both"/>
        <w:ind w:left="4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are unable to obtain regulatory approval for our drug candidates in the United States and foreign jurisdictions, we or our collaborators will not be permitted to commercialize products resulting from our research.</w:t>
      </w:r>
    </w:p>
    <w:p>
      <w:pPr>
        <w:spacing w:after="0" w:line="175" w:lineRule="exact"/>
        <w:rPr>
          <w:sz w:val="20"/>
          <w:szCs w:val="20"/>
          <w:color w:val="auto"/>
        </w:rPr>
      </w:pPr>
    </w:p>
    <w:p>
      <w:pPr>
        <w:jc w:val="both"/>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In order to commercialize drug products in the United States, drug candidates will have to obtain regulatory approval from the FDA. Satisfaction of regulatory requirements typically takes many years. To obtain regulatory approval, we or our collaborators, as the case may be, must first show that our or our collaborators’ drug candidates are safe and effective for target indications through preclinical testing (animal testing) and clinical trials (human testing). Preclinical testing and clinical development are long, expensive and uncertain processes, and we do not know whether the FDA will allow us or our collaborators to undertake clinical trials of any drug candidates in addition to our or our collaborators’ compounds currently in clinical trials. If regulatory approval of a product is granted, this approval will be limited to those disease states and conditions for which the product is demonstrated through clinical trials to be safe and effective.</w:t>
      </w:r>
    </w:p>
    <w:p>
      <w:pPr>
        <w:spacing w:after="0" w:line="192" w:lineRule="exact"/>
        <w:rPr>
          <w:sz w:val="20"/>
          <w:szCs w:val="20"/>
          <w:color w:val="auto"/>
        </w:rPr>
      </w:pPr>
    </w:p>
    <w:p>
      <w:pPr>
        <w:jc w:val="both"/>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Completion of clinical trials may take several years and failure may occur at any stage of testing. The length of time required varies substantially according to the type, complexity, novelty and intended use of the drug candidate. Interim results of a preclinical test or clinical trial do not necessarily predict final results, and acceptable results in early clinical trials may not be repeated in later clinical trials. For example, a drug candidate that is successful at the preclinical level may cause harmful or dangerous side effects when tested at the clinical level. Our rate of commencement and completion of clinical trials may be delayed, and existing clinical trials with our or our collaborators’ drug candidates may be stopped, due to many potential factors, including:</w:t>
      </w:r>
    </w:p>
    <w:p>
      <w:pPr>
        <w:spacing w:after="0" w:line="189" w:lineRule="exact"/>
        <w:rPr>
          <w:sz w:val="20"/>
          <w:szCs w:val="20"/>
          <w:color w:val="auto"/>
        </w:rPr>
      </w:pPr>
    </w:p>
    <w:p>
      <w:pPr>
        <w:ind w:left="1040" w:hanging="321"/>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 degree of risk and uncertainty associated with drug development;</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formulate or manufacture sufficient quantities of materials for use in clinical trials;</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the number and types of patients available for each study;</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maintaining contact with patients after treatment, resulting in incomplete data;</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or side effects;</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or unanticipated effectiveness of drug candidates during the clinical trials; or</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or regulatory delays.</w:t>
      </w:r>
    </w:p>
    <w:p>
      <w:pPr>
        <w:spacing w:after="0" w:line="225" w:lineRule="exact"/>
        <w:rPr>
          <w:sz w:val="20"/>
          <w:szCs w:val="20"/>
          <w:color w:val="auto"/>
        </w:rPr>
      </w:pPr>
    </w:p>
    <w:p>
      <w:pPr>
        <w:jc w:val="both"/>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Data obtained from clinical trials are susceptible to varying interpretation, which may delay, limit or prevent regulatory approval. Many companies in the pharmaceutical and biopharmaceutical industry, including our company, have suffered significant setbacks in advanced clinical trials, even after achieving promising results in earlier clinical trials. In addition, regulatory authorities may refuse or delay approval as a result of other factors, such as changes in regulatory policy during the period of product development and regulatory agency review. For example, the FDA has in the past required, and could in the future require, that we or our collaborators conduct additional trials of any of our drug candidates, which would result in delays. In April 2017, we and our collaborator Lilly announced that the FDA had issued a complete response letter for the New Drug Application, or NDA, of OLUMIANT as a once-daily oral medication for the treatment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1" w:name="page82"/>
    <w:bookmarkEnd w:id="81"/>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8"/>
          <w:szCs w:val="18"/>
          <w:color w:val="auto"/>
        </w:rPr>
        <w:t>of moderate-to-severe rheumatoid arthritis. The letter indicated that additional clinical data were needed to determine the most appropriate doses and to further characterize safety concerns across treatment arms. In June 2018, after a resubmission of the NDA, the FDA approved the 2mg dose of OLUMIANT for the treatment of adults with moderately-to-severely active rheumatoid arthritis who have had an inadequate response to one or more tumor necrosis factor inhibitor therapies. The FDA did not at that time approve any higher dose of OLUMIANT and required a warning label in connection with its approval.</w:t>
      </w:r>
    </w:p>
    <w:p>
      <w:pPr>
        <w:spacing w:after="0" w:line="187" w:lineRule="exact"/>
        <w:rPr>
          <w:sz w:val="20"/>
          <w:szCs w:val="20"/>
          <w:color w:val="auto"/>
        </w:rPr>
      </w:pPr>
    </w:p>
    <w:p>
      <w:pPr>
        <w:jc w:val="both"/>
        <w:ind w:left="40" w:right="59" w:firstLine="648"/>
        <w:spacing w:after="0" w:line="252" w:lineRule="auto"/>
        <w:rPr>
          <w:sz w:val="20"/>
          <w:szCs w:val="20"/>
          <w:color w:val="auto"/>
        </w:rPr>
      </w:pPr>
      <w:r>
        <w:rPr>
          <w:rFonts w:ascii="Times New Roman" w:cs="Times New Roman" w:eastAsia="Times New Roman" w:hAnsi="Times New Roman"/>
          <w:sz w:val="18"/>
          <w:szCs w:val="18"/>
          <w:color w:val="auto"/>
        </w:rPr>
        <w:t>Compounds or biologics developed by us or with or by our collaborators and licensees may not prove to be safe and effective in clinical trials and may not meet all of the applicable regulatory requirements needed to receive marketing approval. For example, in January 2016, a Phase II trial that was evaluating ruxolitinib in combination with regorafenib in patients with relapsed or refractory metastatic colorectal cancer and high C-reactive protein was stopped early after a planned analysis of interim efficacy data determined that the likelihood of the trial meeting its efficacy endpoint was insufficient. In addition, in February 2016, we made a decision to discontinue our JANUS 1 study, our JANUS 2 study, our other studies of ruxolitinib in colorectal, breast and lung cancer, and our study of INCB39110 in pancreatic cancer after a planned analysis of interim efficacy data of JANUS 1 demonstrated that ruxolitinib plus capecitabine did not show a sufficient level of efficacy to warrant continuation. Also, in April 2018, we along with Merck announced that the ECHO-301 study had been stopped and we also significantly downsized the epacadostat development program and in January 2020 we stopped our Phase III trial of itacitinib for the treatment of acute graft-versus-host-disease. If clinical trials of any of our or our collaborators’ compounds or biologics are stopped for safety, efficacy or other reasons or fail to meet their respective endpoints, our overall development plans, business, prospects, expected operating results and financial condition could be materially harmed and the value of our company could be negatively affected.</w:t>
      </w:r>
    </w:p>
    <w:p>
      <w:pPr>
        <w:spacing w:after="0" w:line="197" w:lineRule="exact"/>
        <w:rPr>
          <w:sz w:val="20"/>
          <w:szCs w:val="20"/>
          <w:color w:val="auto"/>
        </w:rPr>
      </w:pPr>
    </w:p>
    <w:p>
      <w:pPr>
        <w:jc w:val="both"/>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Even if any of our applications receives an FDA priority review designation (including based on a priority review voucher, one of which we recently acquired and intend to use in connection with our submission seeking FDA approval of ruxolitinib cream for atopic dermatitis), this designation may not result in faster review or approval for our product candidate compared to product candidates considered for approval under conventional FDA procedures and, in any event, does not assure ultimate approval of our product candidate by FDA.</w:t>
      </w:r>
    </w:p>
    <w:p>
      <w:pPr>
        <w:spacing w:after="0" w:line="183" w:lineRule="exact"/>
        <w:rPr>
          <w:sz w:val="20"/>
          <w:szCs w:val="20"/>
          <w:color w:val="auto"/>
        </w:rPr>
      </w:pPr>
    </w:p>
    <w:p>
      <w:pPr>
        <w:jc w:val="both"/>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Outside the United States, our and our collaborators’ ability to market a product is contingent upon receiving a marketing authorization from the appropriate regulatory authorities. This foreign regulatory approval process typically includes all of the risks associated with the FDA approval process described above and may also include additional risks. The requirements governing the conduct of clinical trials, product licensing, pricing and reimbursement vary greatly from country to country and may require us to perform additional testing and expend additional resources. Approval by the FDA does not ensure approval by regulatory authorities in other countries, and approval by one foreign regulatory authority does not ensure approval by regulatory authorities in other countries or by the FDA.</w:t>
      </w:r>
    </w:p>
    <w:p>
      <w:pPr>
        <w:spacing w:after="0" w:line="185"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Health care reform measures could impact the pricing and profitability of pharmaceuticals, and adversely affect the commercial viability of our or our collaborators’ products and drug candidates. Our ability to generate revenues will be diminished if we or our collaborators are unable to obtain an adequate level of reimbursement from private insurers, government insurance programs or other third-party payors of health care costs, which could be affected by current and potential healthcare reform legislation, and diminished revenues will harm our operating results and financial condition and could adversely affect our ability to conduct our research and development operations.</w:t>
      </w:r>
    </w:p>
    <w:p>
      <w:pPr>
        <w:spacing w:after="0" w:line="186" w:lineRule="exact"/>
        <w:rPr>
          <w:sz w:val="20"/>
          <w:szCs w:val="20"/>
          <w:color w:val="auto"/>
        </w:rPr>
      </w:pPr>
    </w:p>
    <w:p>
      <w:pPr>
        <w:jc w:val="both"/>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Our ability to commercialize our current and any future approved products successfully will depend in part on the prices we are able to charge for our approved products and the extent to which adequate reimbursement levels for the cost of our products and related treatment are obtained from third-party payors, such as private insurers, government insurance programs, including Medicare and Medicaid, health maintenance organizations (HMOs) and other health care related organizations in the U.S. and abroad.</w:t>
      </w:r>
    </w:p>
    <w:p>
      <w:pPr>
        <w:spacing w:after="0" w:line="183" w:lineRule="exact"/>
        <w:rPr>
          <w:sz w:val="20"/>
          <w:szCs w:val="20"/>
          <w:color w:val="auto"/>
        </w:rPr>
      </w:pPr>
    </w:p>
    <w:p>
      <w:pPr>
        <w:jc w:val="both"/>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In recent years, through legislative and regulatory actions and executive orders, the U.S. federal government has made substantial changes to various payment systems under the Medicare and other federal health care programs. Comprehensive reforms to the U.S. healthcare system were enacted, including changes to the methods for, and amounts of, Medicare reimbursement. While there is currently significant uncertainty regarding the implementation of some of these reforms or the scope of amended or additional reforms, the implementation of reforms could significantly reduce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payments from Medicare and Medicaid. Reforms or other changes to these payment systems may change the availability, methods and rates of reimbursements from Medicare, private insurers and other third-party payors for our current and any future approved products. Some of these changes and proposed changes could result in reduced reimbursement rates or in eliminating dual sources of payment, which could reduce the price that we or any of our collaborators or licensees receive for any products in the future, and which would adversely affect our business strategy, operations and financial results.</w:t>
      </w:r>
    </w:p>
    <w:p>
      <w:pPr>
        <w:spacing w:after="0" w:line="183" w:lineRule="exact"/>
        <w:rPr>
          <w:sz w:val="20"/>
          <w:szCs w:val="20"/>
          <w:color w:val="auto"/>
        </w:rPr>
      </w:pPr>
    </w:p>
    <w:p>
      <w:pPr>
        <w:jc w:val="both"/>
        <w:ind w:left="40" w:right="59" w:firstLine="648"/>
        <w:spacing w:after="0" w:line="252" w:lineRule="auto"/>
        <w:rPr>
          <w:sz w:val="20"/>
          <w:szCs w:val="20"/>
          <w:color w:val="auto"/>
        </w:rPr>
      </w:pPr>
      <w:r>
        <w:rPr>
          <w:rFonts w:ascii="Times New Roman" w:cs="Times New Roman" w:eastAsia="Times New Roman" w:hAnsi="Times New Roman"/>
          <w:sz w:val="18"/>
          <w:szCs w:val="18"/>
          <w:color w:val="auto"/>
        </w:rPr>
        <w:t>In addition, there has been an increasing legislative and enforcement interest in the United States with respect to drug pricing practices. This has resulted in several recent federal and state proposals, including executive orders issued by the Trump Administration in July 2020, to regulate prices of pharmaceutical products and other health care reforms, any of which could limit the prices that we can charge for our products and may further limit the commercial viability of our products and drug candidates. Specifically, there have been several federal congressional inquiries and proposed and enacted federal and state legislation and the July 2020 executive orders designed to, among other things, bring more transparency to drug pricing, reduce the cost of prescription drugs under Medicare, reform government program reimbursement methodologies for prescription drugs, allow importation of drugs into the U.S. from other countries and limit allowable prices for drugs to a function of an average international reference price that may be substantially lower than what we currently or would otherwise charge. In certain foreign markets, pricing or profitability of prescription pharmaceuticals is subject to government control. We expect that the health care reform measures that have been adopted in the United States and in foreign markets, and further reforms that may be adopted in the future, could result in more rigorous coverage criteria and additional downward pressure on the prices that we may receive for our approved products. If reimbursement for our products is unavailable or limited in scope or amount, or if pricing is set at unsatisfactory levels, our business could be materially harmed, including by our revenue potentially being materially adversely affected and our research and development efforts potentially being materially curtailed or, in some cases, ceasing. There may be future changes that result in reductions in current prices, coverage and reimbursement levels for our current or any future approved products, and we cannot predict the scope of any future changes or the impact that those changes would have on our operations.</w:t>
      </w:r>
    </w:p>
    <w:p>
      <w:pPr>
        <w:spacing w:after="0" w:line="191"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The consequences of the COVID-19 Pandemic, including the economic effect on government budgets in the U.S. and elsewhere, may accelerate any of the healthcare reform efforts described above or result in future reform efforts, any of which could have adverse effects on our business, including higher costs for us, lower reimbursement rates for our products and lower demand for our products.</w:t>
      </w:r>
    </w:p>
    <w:p>
      <w:pPr>
        <w:spacing w:after="0" w:line="180" w:lineRule="exact"/>
        <w:rPr>
          <w:sz w:val="20"/>
          <w:szCs w:val="20"/>
          <w:color w:val="auto"/>
        </w:rPr>
      </w:pPr>
    </w:p>
    <w:p>
      <w:pPr>
        <w:jc w:val="both"/>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If third parties institute high co-payment amounts or other benefit limits for our products, the demand for our products and, accordingly, our revenues and results of operations, could be adversely affected. Our patient assistance programs have provided support for non-profit organizations that provide financial assistance to eligible patients or in some cases have provided our products without charge to patients who have no or limited insurance coverage through these charitable organizations. Substantial support in this manner could harm our profitability in the future. Further, those organizations’ ability to provide assistance to patients is dependent on funding from external sources, and we cannot guarantee that such funding will be provided at adequate levels, or at all.</w:t>
      </w:r>
    </w:p>
    <w:p>
      <w:pPr>
        <w:spacing w:after="0" w:line="189" w:lineRule="exact"/>
        <w:rPr>
          <w:sz w:val="20"/>
          <w:szCs w:val="20"/>
          <w:color w:val="auto"/>
        </w:rPr>
      </w:pPr>
    </w:p>
    <w:p>
      <w:pPr>
        <w:jc w:val="both"/>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Further, if we become the subject of any governmental or other regulatory hearing or investigation with respect to the pricing of our products or other business practices, we could incur significant expenses and could be distracted from the operation of our business and execution of our business strategy. Any such hearing or investigation could also result in significant negative publicity and harm to our reputation, reduced market acceptance and demand, which could adversely affect our financial results and growth prospects.</w:t>
      </w:r>
    </w:p>
    <w:p>
      <w:pPr>
        <w:spacing w:after="0" w:line="183" w:lineRule="exact"/>
        <w:rPr>
          <w:sz w:val="20"/>
          <w:szCs w:val="20"/>
          <w:color w:val="auto"/>
        </w:rPr>
      </w:pPr>
    </w:p>
    <w:p>
      <w:pPr>
        <w:jc w:val="both"/>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Third-party payors are increasingly challenging the prices charged for medical products and services. Also, the trend toward managed health care in the United States, the organizations for which could control or significantly influence the purchase of health care services and products, as well as legislative and regulatory proposals to reform health care or reduce government insurance programs, may all result in lower prices for or rejection of our products. Adoption of our products by the medical community may be limited without adequate reimbursement for those products. Cost control initiatives may decrease coverage and payment levels for our products and, in turn, the price that we will be able to charge for any product. Our products may not be considered cost-effective, and coverage and reimbursement may not be available or sufficient to allow us to sell our products on a profitable basis. We are unable to predict all changes to the coverage 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82" w:lineRule="auto"/>
        <w:rPr>
          <w:sz w:val="20"/>
          <w:szCs w:val="20"/>
          <w:color w:val="auto"/>
        </w:rPr>
      </w:pPr>
      <w:r>
        <w:rPr>
          <w:rFonts w:ascii="Times New Roman" w:cs="Times New Roman" w:eastAsia="Times New Roman" w:hAnsi="Times New Roman"/>
          <w:sz w:val="18"/>
          <w:szCs w:val="18"/>
          <w:color w:val="auto"/>
        </w:rPr>
        <w:t>reimbursement methodologies that will be applied by private or government payors to our current and any future approved products.</w:t>
      </w:r>
    </w:p>
    <w:p>
      <w:pPr>
        <w:spacing w:after="0" w:line="162"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The continuing efforts of legislatures, health agencies and third-party payors to contain or reduce the costs of health care, any denial of private or government payor coverage or inadequate reimbursement for our drug candidates could materially and adversely affect our business strategy, operations, future revenues and profitability, and the future revenues and profitability of our potential customers, suppliers, collaborators and licensees and the availability of capital. The same risks apply to our compounds developed and marketed by our collaborators, and our future potential milestone and royalty revenues could be affected in a similar manner.</w:t>
      </w:r>
    </w:p>
    <w:p>
      <w:pPr>
        <w:spacing w:after="0" w:line="183" w:lineRule="exact"/>
        <w:rPr>
          <w:sz w:val="20"/>
          <w:szCs w:val="20"/>
          <w:color w:val="auto"/>
        </w:rPr>
      </w:pPr>
    </w:p>
    <w:p>
      <w:pPr>
        <w:jc w:val="both"/>
        <w:ind w:left="4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w:t>
      </w:r>
    </w:p>
    <w:p>
      <w:pPr>
        <w:spacing w:after="0" w:line="175" w:lineRule="exact"/>
        <w:rPr>
          <w:sz w:val="20"/>
          <w:szCs w:val="20"/>
          <w:color w:val="auto"/>
        </w:rPr>
      </w:pPr>
    </w:p>
    <w:p>
      <w:pPr>
        <w:jc w:val="both"/>
        <w:ind w:left="40" w:right="59" w:firstLine="648"/>
        <w:spacing w:after="0" w:line="252" w:lineRule="auto"/>
        <w:rPr>
          <w:sz w:val="20"/>
          <w:szCs w:val="20"/>
          <w:color w:val="auto"/>
        </w:rPr>
      </w:pPr>
      <w:r>
        <w:rPr>
          <w:rFonts w:ascii="Times New Roman" w:cs="Times New Roman" w:eastAsia="Times New Roman" w:hAnsi="Times New Roman"/>
          <w:sz w:val="18"/>
          <w:szCs w:val="18"/>
          <w:color w:val="auto"/>
        </w:rPr>
        <w:t>We have licensed to Novartis rights to ruxolitinib outside of the United States and worldwide rights to our MET inhibitor compounds, including TABRECTA, and licensed to Lilly worldwide rights to baricitinib. In addition, we have licensed to Innovent and to Zai Lab certain Asian rights to some of our clinical stage compounds. Under the terms of our agreements with these collaborators, we have no or limited control over the further clinical development of these drug candidates in the relevant territories and any revenues we may receive if these drug candidates receive regulatory approval and are commercialized in the relevant territories will depend primarily on the development and commercialization efforts of others. While OLUMIANT was approved by the European Commission in February 2017 for the treatment of moderate-to-severe rheumatoid arthritis in adult patients and by Japan’s Ministry of Health, Labor and Welfare in July 2017 for the treatment of rheumatoid arthritis in patients with inadequate response to standard-of-care therapies, the NDA for OLUMIANT for the treatment of moderate-to-severe rheumatoid arthritis was approved in June 2018, and only in the lower dosage tablet and with a warning label. Delays in any marketing approval by the FDA, European or other regulatory authorities, or any label modifications or restrictions in connection with any such approval, or the existence of other risks relating to approved drug products, including those described under “Risks Relating to Commercialization of Our Products,” could delay the receipt of and reduce resulting potential royalty and milestone revenue from baricitinib or any of our other out-licensed drug candidates.</w:t>
      </w:r>
    </w:p>
    <w:p>
      <w:pPr>
        <w:spacing w:after="0" w:line="196" w:lineRule="exact"/>
        <w:rPr>
          <w:sz w:val="20"/>
          <w:szCs w:val="20"/>
          <w:color w:val="auto"/>
        </w:rPr>
      </w:pPr>
    </w:p>
    <w:p>
      <w:pPr>
        <w:jc w:val="both"/>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Conflicts may arise with our collaborators and licensees if they pursue alternative technologies or develop alternative products either on their own or in collaboration with others as a means for developing treatments for the diseases that we have targeted. Competing products and product opportunities may lead our collaborators and licensees to withdraw their support for our drug candidates. Any failure of our collaborators and licensees to perform their obligations under our agreements with them or otherwise to support our drug candidates could negatively impact the development of our drug candidates, lead to our loss of potential revenues from product sales and milestones and delay our achievement, if any, of profitability. Additionally, conflicts have from time to time occurred, and may in the future arise, relating to, among other things, disputes about the achievement and payment of milestone amounts, the ownership of intellectual property that is developed during the course of a collaborative relationship or the operation or interpretation of other provisions in our collaboration agreements. These disputes could lead to litigation or arbitration, which could be costly and divert the efforts of our management and scientific staff, and could diminish the expected effectiveness of the collaboration.</w:t>
      </w:r>
    </w:p>
    <w:p>
      <w:pPr>
        <w:spacing w:after="0" w:line="192"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Our existing collaborative and license agreements can be terminated by our collaborators and licensees for convenience, among other circumstances. If any of our collaborators or licensees terminates its agreement with us, or terminates its rights with respect to certain indications or drug candidates, we may not be able to find a new collaborator for them, and our business could be adversely affected. Should an agreement be terminated before we have realized the benefits of the collaboration or license, our reputation could be harmed, we may not obtain revenues that we anticipated receiving, and our business could be adversely affected.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drug discovery and development efforts may depend on our ability to find suitable collaborators to fully exploit our capabilities. If we are unable to establish collaborations or if these future collaborations are unsuccessful in the development and commercialization of our drug candidates, our research, development and commercialization efforts may be unsuccessful, which could adversely affect our results of operations and financial condition.</w:t>
      </w:r>
    </w:p>
    <w:p>
      <w:pPr>
        <w:spacing w:after="0" w:line="183" w:lineRule="exact"/>
        <w:rPr>
          <w:sz w:val="20"/>
          <w:szCs w:val="20"/>
          <w:color w:val="auto"/>
        </w:rPr>
      </w:pPr>
    </w:p>
    <w:p>
      <w:pPr>
        <w:jc w:val="both"/>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An element of our business strategy is to enter into collaborative or license arrangements with other parties, under which we license our drug candidates to those parties for development and commercialization or under which we study our drug candidates in combination with other parties’ compounds or biologics. For example, in addition to our Novartis, Lilly, Innovent and Zai Lab collaborations, we have entered into clinical study relationships with respect to several of our programs, including epacadostat, and are evaluating strategic relationships with respect to several of our other programs. However, because collaboration and license arrangements are complex to negotiate, we may not be successful in our attempts to establish these arrangements. Also, we may not have drug candidates that are desirable to other parties, or we may be unwilling to license a drug candidate to a particular party because such party interested in it is a competitor or for other reasons. The terms of any such arrangements that we establish may not be favorable to us. Alternatively, potential collaborators may decide against entering into an agreement with us because of our financial, regulatory or intellectual property position or for scientific, commercial or other reasons. If we are not able to establish collaboration or license arrangements, we may not be able to develop and commercialize a drug product, which could adversely affect our business and our revenues.</w:t>
      </w:r>
    </w:p>
    <w:p>
      <w:pPr>
        <w:spacing w:after="0" w:line="187" w:lineRule="exact"/>
        <w:rPr>
          <w:sz w:val="20"/>
          <w:szCs w:val="20"/>
          <w:color w:val="auto"/>
        </w:rPr>
      </w:pPr>
    </w:p>
    <w:p>
      <w:pPr>
        <w:jc w:val="both"/>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We will likely not be able to control the amount and timing of resources that our collaborators or licensees devote to our programs or drug candidates. If our collaborators or licensees prove difficult to work with, are less skilled than we originally expected, do not devote adequate resources to the program, are unable to obtain regulatory approval of our drug candidates, pursue alternative technologies or develop alternative products, or do not agree with our approach to development or manufacturing of the drug candidate, the relationship could be unsuccessful. Our collaborations with respect to epacadostat involved the study of our collaborators’ drugs used in combination with epacadostat on a number of indications or tumor types, many of which were the same across multiple collaborations. We cannot assure you that potential conflicts will not arise or be alleged among these collaborations. If a business combination involving a collaborator or licensee and a third-party were to occur, the effect could be to terminate or cause delays in development of a drug candidate.</w:t>
      </w:r>
    </w:p>
    <w:p>
      <w:pPr>
        <w:spacing w:after="0" w:line="190" w:lineRule="exact"/>
        <w:rPr>
          <w:sz w:val="20"/>
          <w:szCs w:val="20"/>
          <w:color w:val="auto"/>
        </w:rPr>
      </w:pPr>
    </w:p>
    <w:p>
      <w:pPr>
        <w:jc w:val="both"/>
        <w:ind w:left="4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enter into additional licensing agreements or if these arrangements are unsuccessful, our business and operations might be adversely affected.</w:t>
      </w:r>
    </w:p>
    <w:p>
      <w:pPr>
        <w:spacing w:after="0" w:line="159" w:lineRule="exact"/>
        <w:rPr>
          <w:sz w:val="20"/>
          <w:szCs w:val="20"/>
          <w:color w:val="auto"/>
        </w:rPr>
      </w:pPr>
    </w:p>
    <w:p>
      <w:pPr>
        <w:jc w:val="both"/>
        <w:ind w:left="40" w:right="59" w:firstLine="648"/>
        <w:spacing w:after="0" w:line="252" w:lineRule="auto"/>
        <w:rPr>
          <w:sz w:val="20"/>
          <w:szCs w:val="20"/>
          <w:color w:val="auto"/>
        </w:rPr>
      </w:pPr>
      <w:r>
        <w:rPr>
          <w:rFonts w:ascii="Times New Roman" w:cs="Times New Roman" w:eastAsia="Times New Roman" w:hAnsi="Times New Roman"/>
          <w:sz w:val="18"/>
          <w:szCs w:val="18"/>
          <w:color w:val="auto"/>
        </w:rPr>
        <w:t>In addition to establishing collaborative or license arrangements under which other parties license our drug candidates for development and commercialization or under which we study our drug candidates in combination with such parties’ compounds or biologics, we may explore opportunities to develop our clinical pipeline by in-licensing drug candidates or therapeutics targets that fit within our focus on oncology, such as our collaborations with Agenus Inc., Calithera Biosciences, Inc., MacroGenics, Inc., Merus N.V., MorphoSys, and Syros Pharmaceuticals, Inc., or explore additional opportunities to further develop and commercialize existing drug candidates in specific jurisdictions, such as our June 2016 acquisition of the development and commercialization rights to ICLUSIG in certain countries. We may be unable to enter into any additional in-licensing agreements because suitable drug candidates that are within our expertise may not be available to us on terms that are acceptable to us or because competitors with greater resources seek to in-license the same drug candidates. Drug candidates that we would like to develop or commercialize may not be available to us because they are controlled by competitors who are unwilling to license the rights to the drug candidate to us. In addition, we may enter into license agreements that are unsuccessful and our business and operations might be adversely affected if we are unable to realize the expected economic benefits of a collaboration or other licensing arrangement, by the termination of a drug candidate and termination and winding down of the related license agreement, or due to other business or regulatory issues, including financial difficulties, that may adversely affect a licensor’s ability to continue to perform its obligations under an in-license agreement. For example, we may make or incur contractual obligations to make significant upfront payments in connection with licenses for late-stage drug candidates, as we did in March 2020 in connection with the effectiveness of our collaboration agreement with MorphoSys, and if any of those drug candidates do not receive marketing approval or commercial sales as anticipated or we have to fund additional clinical trials before marketing approval can be obtained, we will have expended significant funds that might otherwise be applied for other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8"/>
          <w:szCs w:val="18"/>
          <w:color w:val="auto"/>
        </w:rPr>
        <w:t>uses or have to expend funds that were not otherwise budgeted or anticipated in connection with the collaboration, and such developments could have a material adverse effect on our stock price and our ability to pursue other transactions. As discussed above under “We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conflicts or other issues may arise with our licensors. Those conflicts could result in delays in our plans to develop drug candidates or result in the expenditure of additional funds to resolve those conflicts that could have an adverse effect on our results of operations. We may also need to license drug delivery or other technology in order to continue to develop our drug candidates. If we are unable to enter into additional agreements to license drug candidates, drug delivery technology or other technology or if these arrangements are unsuccessful, our research and development efforts could be adversely affected.</w:t>
      </w:r>
    </w:p>
    <w:p>
      <w:pPr>
        <w:spacing w:after="0" w:line="188" w:lineRule="exact"/>
        <w:rPr>
          <w:sz w:val="20"/>
          <w:szCs w:val="20"/>
          <w:color w:val="auto"/>
        </w:rPr>
      </w:pPr>
    </w:p>
    <w:p>
      <w:pPr>
        <w:jc w:val="both"/>
        <w:ind w:left="4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 drug candidate that we develop receives regulatory approval, we may decide not to commercialize it if we determine that commercialization of that product would require more money and time than we are willing to invest.</w:t>
      </w:r>
    </w:p>
    <w:p>
      <w:pPr>
        <w:spacing w:after="0" w:line="159" w:lineRule="exact"/>
        <w:rPr>
          <w:sz w:val="20"/>
          <w:szCs w:val="20"/>
          <w:color w:val="auto"/>
        </w:rPr>
      </w:pPr>
    </w:p>
    <w:p>
      <w:pPr>
        <w:jc w:val="both"/>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Even if any of our drug candidates receives regulatory approval, it could be subject to post-regulatory surveillance, and may have to be withdrawn from the market or subject to restrictions if previously unknown problems occur. Regulatory agencies may also require additional clinical trials or testing, and the drug product may be recalled or may be subject to reformulation, additional studies, changes in labeling, warnings to the public and negative publicity. As a result, we may not continue to commercialize a product even though it has obtained regulatory approval. Further, we may decide not to continue to commercialize a product if the market does not accept the product because it is too expensive or because third parties such as insurance companies or Medicare, have not approved it for substantial reimbursement. In addition, we may decide not to continue to commercialize a product if competitors develop and commercialize similar or superior products or have proprietary rights that preclude us from ultimately marketing our products.</w:t>
      </w:r>
    </w:p>
    <w:p>
      <w:pPr>
        <w:spacing w:after="0" w:line="184" w:lineRule="exact"/>
        <w:rPr>
          <w:sz w:val="20"/>
          <w:szCs w:val="20"/>
          <w:color w:val="auto"/>
        </w:rPr>
      </w:pPr>
    </w:p>
    <w:p>
      <w:pPr>
        <w:jc w:val="both"/>
        <w:ind w:left="4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approved drug product that we bring to the market may not gain market acceptance by physicians, patients, healthcare payors and others in the medical community.</w:t>
      </w:r>
    </w:p>
    <w:p>
      <w:pPr>
        <w:spacing w:after="0" w:line="159" w:lineRule="exact"/>
        <w:rPr>
          <w:sz w:val="20"/>
          <w:szCs w:val="20"/>
          <w:color w:val="auto"/>
        </w:rPr>
      </w:pPr>
    </w:p>
    <w:p>
      <w:pPr>
        <w:jc w:val="both"/>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Even if we or our collaborators are successful in gaining regulatory approval of any of our or our collaborators’ drug candidates in addition to JAKAFI, OLUMIANT, PEMAZYRE and MONJUVI or acquire rights to approved drug products in addition to ICLUSIG, we may not generate significant product revenues if these drug products do not achieve an adequate level of acceptance. Physicians may not recommend our or our collaborators’ drug products until longer-term clinical data or other factors demonstrate the safety and efficacy of our or our collaborators’ drug products as compared to other alternative treatments. Even if the clinical safety and efficacy of our or our collaborators’ drug products is established, physicians may elect not to prescribe these drug products for a variety of reasons, including the reimbursement policies of government and other third-party payors and the effectiveness of our or our collaborators’ competitors in marketing their products.</w:t>
      </w:r>
    </w:p>
    <w:p>
      <w:pPr>
        <w:spacing w:after="0" w:line="188" w:lineRule="exact"/>
        <w:rPr>
          <w:sz w:val="20"/>
          <w:szCs w:val="20"/>
          <w:color w:val="auto"/>
        </w:rPr>
      </w:pPr>
    </w:p>
    <w:p>
      <w:pPr>
        <w:jc w:val="both"/>
        <w:ind w:left="40" w:right="59" w:firstLine="648"/>
        <w:spacing w:after="0" w:line="282" w:lineRule="auto"/>
        <w:rPr>
          <w:sz w:val="20"/>
          <w:szCs w:val="20"/>
          <w:color w:val="auto"/>
        </w:rPr>
      </w:pPr>
      <w:r>
        <w:rPr>
          <w:rFonts w:ascii="Times New Roman" w:cs="Times New Roman" w:eastAsia="Times New Roman" w:hAnsi="Times New Roman"/>
          <w:sz w:val="18"/>
          <w:szCs w:val="18"/>
          <w:color w:val="auto"/>
        </w:rPr>
        <w:t>Market acceptance of our drug products, if approved for commercial sale, will depend on a number of factors, including the following, and market acceptance of our collaborators’ drug products will depend on similar factors:</w:t>
      </w:r>
    </w:p>
    <w:p>
      <w:pPr>
        <w:spacing w:after="0" w:line="162" w:lineRule="exact"/>
        <w:rPr>
          <w:sz w:val="20"/>
          <w:szCs w:val="20"/>
          <w:color w:val="auto"/>
        </w:rPr>
      </w:pPr>
    </w:p>
    <w:p>
      <w:pPr>
        <w:ind w:left="1040" w:hanging="321"/>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and ability of patients and the healthcare community to use our drug products;</w:t>
      </w:r>
    </w:p>
    <w:p>
      <w:pPr>
        <w:spacing w:after="0" w:line="225" w:lineRule="exact"/>
        <w:rPr>
          <w:rFonts w:ascii="Times New Roman" w:cs="Times New Roman" w:eastAsia="Times New Roman" w:hAnsi="Times New Roman"/>
          <w:sz w:val="18"/>
          <w:szCs w:val="18"/>
          <w:color w:val="auto"/>
        </w:rPr>
      </w:pPr>
    </w:p>
    <w:p>
      <w:pPr>
        <w:ind w:left="1040" w:right="59" w:hanging="321"/>
        <w:spacing w:after="0" w:line="282"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manufacture our drug products in sufficient quantities that meet all applicable quality standards and to offer our drug products for sale at competitive prices;</w:t>
      </w:r>
    </w:p>
    <w:p>
      <w:pPr>
        <w:spacing w:after="0" w:line="161" w:lineRule="exact"/>
        <w:rPr>
          <w:rFonts w:ascii="Times New Roman" w:cs="Times New Roman" w:eastAsia="Times New Roman" w:hAnsi="Times New Roman"/>
          <w:sz w:val="18"/>
          <w:szCs w:val="18"/>
          <w:color w:val="auto"/>
        </w:rPr>
      </w:pPr>
    </w:p>
    <w:p>
      <w:pPr>
        <w:ind w:left="1040" w:right="79" w:hanging="321"/>
        <w:spacing w:after="0" w:line="282"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patients and the healthcare community, including third-party payors, regarding the safety, efficacy and benefits of our drug products compared to those of competing products or therapies;</w:t>
      </w:r>
    </w:p>
    <w:p>
      <w:pPr>
        <w:spacing w:after="0" w:line="161"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label and promotional claims allowed by the FDA;</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drug products relative to existing treatments;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21"/>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distribution support for our drug products.</w:t>
      </w:r>
    </w:p>
    <w:p>
      <w:pPr>
        <w:spacing w:after="0" w:line="221" w:lineRule="exact"/>
        <w:rPr>
          <w:sz w:val="20"/>
          <w:szCs w:val="20"/>
          <w:color w:val="auto"/>
        </w:rPr>
      </w:pPr>
    </w:p>
    <w:p>
      <w:pPr>
        <w:jc w:val="both"/>
        <w:ind w:left="4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capacity to conduct preclinical testing and clinical trials, and our resulting dependence on other parties could result in delays in and additional costs for our drug development efforts.</w:t>
      </w:r>
    </w:p>
    <w:p>
      <w:pPr>
        <w:spacing w:after="0" w:line="159" w:lineRule="exact"/>
        <w:rPr>
          <w:sz w:val="20"/>
          <w:szCs w:val="20"/>
          <w:color w:val="auto"/>
        </w:rPr>
      </w:pPr>
    </w:p>
    <w:p>
      <w:pPr>
        <w:jc w:val="both"/>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We have limited internal resources and capacity to perform preclinical testing and clinical trials. As part of our development strategy, we often hire clinical research organizations, or CROs, to perform preclinical testing and clinical trials for drug candidates. If the CROs that we hire to perform our preclinical testing and clinical trials do not meet deadlines, do not follow proper procedures, or a conflict arises between us and our CROs, our preclinical testing and clinical trials may take longer than expected, may cost more, may be delayed or may be terminated. If we were forced to find a replacement entity to perform any of our preclinical testing or clinical trials, we may not be able to find a suitable entity on favorable terms, or at all. Even if we were able to find another company to perform a preclinical test or clinical trial, the delay in the test or trial may result in significant additional expenditures. Events such as these may result in delays in our obtaining regulatory approval for our drug candidates or our ability to commercialize our products and could result in increased expenditures that would adversely affect our operating results.</w:t>
      </w:r>
    </w:p>
    <w:p>
      <w:pPr>
        <w:spacing w:after="0" w:line="190" w:lineRule="exact"/>
        <w:rPr>
          <w:sz w:val="20"/>
          <w:szCs w:val="20"/>
          <w:color w:val="auto"/>
        </w:rPr>
      </w:pPr>
    </w:p>
    <w:p>
      <w:pPr>
        <w:jc w:val="both"/>
        <w:ind w:left="4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for our drug discovery and development efforts, and if we do not compete effectively, our commercial opportunities will be reduced or eliminated.</w:t>
      </w:r>
    </w:p>
    <w:p>
      <w:pPr>
        <w:spacing w:after="0" w:line="159" w:lineRule="exact"/>
        <w:rPr>
          <w:sz w:val="20"/>
          <w:szCs w:val="20"/>
          <w:color w:val="auto"/>
        </w:rPr>
      </w:pPr>
    </w:p>
    <w:p>
      <w:pPr>
        <w:jc w:val="both"/>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The biotechnology and pharmaceutical industries are intensely competitive and subject to rapid and significant technological change. Our drug discovery and development efforts may target diseases and conditions that are already subject to existing therapies or that are being developed by our competitors, many of which have substantially greater resources, larger research and development staffs and facilities, more experience in completing preclinical testing and clinical trials, and formulation, marketing and manufacturing capabilities. As a result of these resources, our competitors may develop drug products that render our products obsolete or noncompetitive by developing more effective drugs, developing their products more efficiently or pricing their products more competitively. Our ability to develop competitive products would be limited if our competitors succeeded in obtaining regulatory approvals for drug candidates more rapidly than we were able to or in obtaining patent protection or other intellectual property rights that limited our drug development efforts. Any drug products resulting from our research and development efforts, or from our joint efforts with collaborators or licensees, might not be able to compete successfully with our competitors’ existing and future products, or obtain regulatory approval in the United States or elsewhere. The development of products or processes by our competitors with significant advantages over those that we are developing could harm our future revenues and profitability.</w:t>
      </w:r>
    </w:p>
    <w:p>
      <w:pPr>
        <w:spacing w:after="0" w:line="183" w:lineRule="exact"/>
        <w:rPr>
          <w:sz w:val="20"/>
          <w:szCs w:val="20"/>
          <w:color w:val="auto"/>
        </w:rPr>
      </w:pPr>
    </w:p>
    <w:p>
      <w:pPr>
        <w:jc w:val="both"/>
        <w:ind w:left="4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reliance on other parties to manufacture our drug products and drug candidates could result in a short supply of the drugs, delays in clinical trials or drug development, increased costs, and withdrawal or denial of a regulatory authority’s approval.</w:t>
      </w:r>
    </w:p>
    <w:p>
      <w:pPr>
        <w:spacing w:after="0" w:line="175" w:lineRule="exact"/>
        <w:rPr>
          <w:sz w:val="20"/>
          <w:szCs w:val="20"/>
          <w:color w:val="auto"/>
        </w:rPr>
      </w:pPr>
    </w:p>
    <w:p>
      <w:pPr>
        <w:jc w:val="both"/>
        <w:ind w:left="40" w:right="59" w:firstLine="648"/>
        <w:spacing w:after="0" w:line="252" w:lineRule="auto"/>
        <w:rPr>
          <w:sz w:val="20"/>
          <w:szCs w:val="20"/>
          <w:color w:val="auto"/>
        </w:rPr>
      </w:pPr>
      <w:r>
        <w:rPr>
          <w:rFonts w:ascii="Times New Roman" w:cs="Times New Roman" w:eastAsia="Times New Roman" w:hAnsi="Times New Roman"/>
          <w:sz w:val="18"/>
          <w:szCs w:val="18"/>
          <w:color w:val="auto"/>
        </w:rPr>
        <w:t>We do not currently operate manufacturing facilities for clinical or commercial production of JAKAFI, PEMAZYRE and our other drug candidates or for ICLUSIG or MONJUVI. We currently hire third parties to manufacture the raw materials, API and finished drug product of JAKAFI, ICLUSIG, PEMAZYRE and our other drug candidates for clinical trials and our collaborator MorphoSys is currently responsible for sourcing manufacturing of MONJUVI. In addition, we expect to continue to rely on third parties for the manufacture of commercial supplies of raw materials, API and finished drug product for any drugs that we successfully develop. We also hire third parties to package and label the finished product. The FDA requires that the raw materials, API and finished product for drug products such as JAKAFI and PEMAZYRE and our other drug candidates be manufactured according to its current Good Manufacturing Practices regulations and regulatory authorities in other countries have similar requirements. There are only a limited number of manufacturers that comply with these requirements. Failure to comply with current Good Manufacturing Practices and the applicable regulatory requirements of other countries in the manufacture of our drug candidates and products could result in the FDA or a foreign regulatory authority halting our clinical trials, withdrawing or denying regulatory approval of our drug product, enforcing product recalls or other enforcement actions, which could have a material adverse effect on our business.</w:t>
      </w:r>
    </w:p>
    <w:p>
      <w:pPr>
        <w:spacing w:after="0" w:line="197" w:lineRule="exact"/>
        <w:rPr>
          <w:sz w:val="20"/>
          <w:szCs w:val="20"/>
          <w:color w:val="auto"/>
        </w:rPr>
      </w:pPr>
    </w:p>
    <w:p>
      <w:pPr>
        <w:jc w:val="both"/>
        <w:ind w:left="40" w:right="59" w:firstLine="648"/>
        <w:spacing w:after="0" w:line="282" w:lineRule="auto"/>
        <w:rPr>
          <w:sz w:val="20"/>
          <w:szCs w:val="20"/>
          <w:color w:val="auto"/>
        </w:rPr>
      </w:pPr>
      <w:r>
        <w:rPr>
          <w:rFonts w:ascii="Times New Roman" w:cs="Times New Roman" w:eastAsia="Times New Roman" w:hAnsi="Times New Roman"/>
          <w:sz w:val="18"/>
          <w:szCs w:val="18"/>
          <w:color w:val="auto"/>
        </w:rPr>
        <w:t>We may not be able to obtain sufficient quantities of our drug candidates or any drug products we may develop if our designated manufacturers do not have the capacity or capability to manufacture them according to our schedule and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8"/>
          <w:szCs w:val="18"/>
          <w:color w:val="auto"/>
        </w:rPr>
        <w:t>specifications. Manufacturers of pharmaceutical products often encounter difficulties in production, especially in scaling up initial production. These problems include difficulties with production costs and yields, quality control and assurance and shortages of qualified personnel. To the extent our supply chain involves parties in China or materials originating in areas of China that are or could be affected by disease outbreaks such as the COVID-19 Pandemic in 2020, we could see disruptions to our supply chain. Currently, our supply chain for our drug products and product candidates depends on operations by us and by other companies in multiple countries around the world, and the effects of the COVID-19 Pandemic on any or all of these countries is uncertain and unpredictable and potential disruption is possible. And, for JAKAFI, while our strategy is to maintain a 24 months stock of API, inclusive of finished product, ruxolitinib phosphate might be used by us either to make JAKAFI or for ruxolitinib drug candidates in clinical trials. In addition, we may not be able to arrange for our drug candidates or any drug products that we may develop to be manufactured by one of these parties on reasonable terms, if at all. We generally have a single source or a limited number of suppliers that are qualified to supply each of the API and finished product of our drug products and our other drug candidates and, in the case of JAKAFI, we only have a single source for its raw materials. If any of these suppliers were to become unable or unwilling to supply us with raw materials, API or finished product that complies with applicable regulatory requirements, we could incur significant delays in our clinical trials or interruption of commercial supply that could have a material adverse effect on our business. If we have promised delivery of a drug candidate or drug product and are unable to meet the delivery requirement due to manufacturing difficulties, our development programs could be delayed, we may have to expend additional sums in order to ensure that manufacturing capacity is available when we need it even if we do not use all of the manufacturing capacity, and our business and operating results could be harmed.</w:t>
      </w:r>
    </w:p>
    <w:p>
      <w:pPr>
        <w:spacing w:after="0" w:line="191" w:lineRule="exact"/>
        <w:rPr>
          <w:sz w:val="20"/>
          <w:szCs w:val="20"/>
          <w:color w:val="auto"/>
        </w:rPr>
      </w:pPr>
    </w:p>
    <w:p>
      <w:pPr>
        <w:jc w:val="both"/>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We may not be able to adequately manage and oversee the manufacturers we choose, they may not perform as agreed or they may terminate their agreements with us. Foreign manufacturing approval processes typically include all of the risks associated with the FDA approval process for manufacturing and may also include additional risks.</w:t>
      </w:r>
    </w:p>
    <w:p>
      <w:pPr>
        <w:spacing w:after="0" w:line="176" w:lineRule="exact"/>
        <w:rPr>
          <w:sz w:val="20"/>
          <w:szCs w:val="20"/>
          <w:color w:val="auto"/>
        </w:rPr>
      </w:pPr>
    </w:p>
    <w:p>
      <w:pPr>
        <w:jc w:val="both"/>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A number of our collaborations involve the manufacture of antibodies. Either we or our collaborators have primary responsibility for manufacturing activities, and we are currently using third-party contract manufacturing organizations. Manufacturing antibodies and products containing antibodies is a more complex process than manufacturing small molecule drugs and subject to additional risks. The process of manufacturing antibodies and products containing antibodies is highly susceptible to product loss due to contamination, equipment failure or improper installation or operation of equipment, vendor or operator error, inconsistency in yields, variability in product characteristics, and difficulties in scaling up the production process.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90" w:lineRule="exact"/>
        <w:rPr>
          <w:sz w:val="20"/>
          <w:szCs w:val="20"/>
          <w:color w:val="auto"/>
        </w:rPr>
      </w:pPr>
    </w:p>
    <w:p>
      <w:pPr>
        <w:jc w:val="both"/>
        <w:ind w:left="4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extensive legal and regulatory requirements affecting the health care industry, we could face increased costs, penalties and a loss of business.</w:t>
      </w:r>
    </w:p>
    <w:p>
      <w:pPr>
        <w:spacing w:after="0" w:line="159" w:lineRule="exact"/>
        <w:rPr>
          <w:sz w:val="20"/>
          <w:szCs w:val="20"/>
          <w:color w:val="auto"/>
        </w:rPr>
      </w:pPr>
    </w:p>
    <w:p>
      <w:pPr>
        <w:jc w:val="both"/>
        <w:ind w:left="40" w:right="59" w:firstLine="648"/>
        <w:spacing w:after="0" w:line="252" w:lineRule="auto"/>
        <w:rPr>
          <w:sz w:val="20"/>
          <w:szCs w:val="20"/>
          <w:color w:val="auto"/>
        </w:rPr>
      </w:pPr>
      <w:r>
        <w:rPr>
          <w:rFonts w:ascii="Times New Roman" w:cs="Times New Roman" w:eastAsia="Times New Roman" w:hAnsi="Times New Roman"/>
          <w:sz w:val="18"/>
          <w:szCs w:val="18"/>
          <w:color w:val="auto"/>
        </w:rPr>
        <w:t>Our activities, and the activities of our collaborators, partners and third-party providers, are subject to extensive government regulation and oversight both in the United States and in foreign jurisdictions. The FDA and comparable agencies in other jurisdictions directly regulate many of our most critical business activities, including the conduct of preclinical and clinical studies, product manufacturing, advertising and promotion, product distribution, adverse event reporting and product risk management. States increasingly have been placing greater restrictions on the marketing practices of healthcare companies and have instituted pricing disclosure and other requirements for companies selling pharmaceuticals. In addition, pharmaceutical and biotechnology companies have been the target of lawsuits and investigations alleging violations of government regulations, including claims asserting submission of incorrect pricing information, improper promotion of pharmaceutical products, payments intended to influence the referral of federal or state healthcare business, submission of false claims for government reimbursement, antitrust violations, violations of the U.S. Foreign Corrupt Practices Act, the U.K. Bribery Act and similar anti-bribery or anti-corruption laws, or violations related to environmental matters. There is also enhanced scrutiny of company-sponsored patient assistance programs, including insurance premium and co-pay assistance programs and donations to third-party charities that provide such assistance. In December 2018, we received a civil investigative demand from the U.S. Department of Justice for documents and information relating to our speaker programs and patient assistance programs, including our support of non-profit organizations that provide financial assistance to eligible patients. Violations of governmental regulation by us, our vendors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8"/>
          <w:szCs w:val="18"/>
          <w:color w:val="auto"/>
        </w:rPr>
        <w:t>or donation recipients may be punishable by criminal and civil sanctions, including damages, fines and penalties and exclusion from participation in government programs, including Medicare and Medicaid. In addition to damages, fines and penalties for violation of laws and regulations, we could be required to repay amounts we received from government payors, or pay additional rebates and interest if we are found to have miscalculated the pricing information we have submitted to the government. Actions taken by federal or local governments, legislative bodies and enforcement agencies with respect to these legal and regulatory compliance matters could also result in reduced demand for our products, reduced coverage of our products by health care payors, or both. We cannot ensure that our compliance controls, policies, and procedures will in every instance protect us from acts committed by our employees, collaborators, partners or third-party providers that would violate the laws or regulations of the jurisdictions in which we operate. Whether or not we have complied with the law, an investigation into alleged unlawful conduct could increase our expenses, damage our reputation, divert management time and attention and adversely affect our business. Risks relating to compliance with laws and regulations may be heightened as we continue to expand our global operations and enter new therapeutic areas with different patient populations, which due to different product distribution methods, marketing programs or patient assistance programs may result in additional regulatory burdens and obligations.</w:t>
      </w:r>
    </w:p>
    <w:p>
      <w:pPr>
        <w:spacing w:after="0" w:line="193" w:lineRule="exact"/>
        <w:rPr>
          <w:sz w:val="20"/>
          <w:szCs w:val="20"/>
          <w:color w:val="auto"/>
        </w:rPr>
      </w:pPr>
    </w:p>
    <w:p>
      <w:pPr>
        <w:jc w:val="both"/>
        <w:ind w:left="4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illegal distribution and sale by third parties of counterfeit or unfit versions of our or our collaborators’ products or stolen products could harm our business and reputation.</w:t>
      </w:r>
    </w:p>
    <w:p>
      <w:pPr>
        <w:spacing w:after="0" w:line="159" w:lineRule="exact"/>
        <w:rPr>
          <w:sz w:val="20"/>
          <w:szCs w:val="20"/>
          <w:color w:val="auto"/>
        </w:rPr>
      </w:pPr>
    </w:p>
    <w:p>
      <w:pPr>
        <w:jc w:val="both"/>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We are aware that counterfeit versions of our products have been distributed or sold by entities not authorized by us using product packaging suggesting that the product was provided by us. If unauthorized third parties illegally distribute and sell counterfeit versions of our or our collaborators’ products, those products may not meet our or our collaborators’ rigorous manufacturing, distribution and handling standards. In addition, inventory that is stolen from warehouses, plants or while in-transit, and that is subsequently improperly stored and sold through unauthorized channels, may not meet our or our collaborators’ distribution and handling standards. A patient who receives a counterfeit or unfit drug may suffer dangerous health consequences. Our reputation and business could suffer harm as a result of counterfeit or unfit drugs sold under our brand name and could result in lost sales for us and decreased revenues. If counterfeit or unfit drugs are sold under our or our collaborators’ brand names, our reputation and business could suffer harm and we could experience decreased royalty revenues.</w:t>
      </w:r>
    </w:p>
    <w:p>
      <w:pPr>
        <w:spacing w:after="0" w:line="190" w:lineRule="exact"/>
        <w:rPr>
          <w:sz w:val="20"/>
          <w:szCs w:val="20"/>
          <w:color w:val="auto"/>
        </w:rPr>
      </w:pPr>
    </w:p>
    <w:p>
      <w:pPr>
        <w:jc w:val="both"/>
        <w:ind w:left="4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most of our drug discovery and development operations are conducted at our headquarters in Wilmington, Delaware, the loss of access to this facility would negatively impact our business.</w:t>
      </w:r>
    </w:p>
    <w:p>
      <w:pPr>
        <w:spacing w:after="0" w:line="159"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Our facility in Wilmington, Delaware is our headquarters and is also where we conduct most of our drug discovery, research, development and marketing activities. In addition, natural disasters, the effects of or measures taken to limit the effects of health epidemics such as the COVID-19 Pandemic, or actions of activists opposed to aspects of pharmaceutical research may disrupt our experiments or our ability to access or use our facility. The loss of access to or use of our Wilmington, Delaware facility, either on a temporary or permanent basis, would result in an interruption of our business and, consequently, would adversely affect our overall business.</w:t>
      </w:r>
    </w:p>
    <w:p>
      <w:pPr>
        <w:spacing w:after="0" w:line="183" w:lineRule="exact"/>
        <w:rPr>
          <w:sz w:val="20"/>
          <w:szCs w:val="20"/>
          <w:color w:val="auto"/>
        </w:rPr>
      </w:pPr>
    </w:p>
    <w:p>
      <w:pPr>
        <w:jc w:val="both"/>
        <w:ind w:left="4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key employees in a competitive market for skilled personnel, and the loss of the services of any of our key employees or our inability to attract and retain additional personnel would affect our ability to expand our drug discovery and development programs and achieve our objectives.</w:t>
      </w:r>
    </w:p>
    <w:p>
      <w:pPr>
        <w:spacing w:after="0" w:line="175" w:lineRule="exact"/>
        <w:rPr>
          <w:sz w:val="20"/>
          <w:szCs w:val="20"/>
          <w:color w:val="auto"/>
        </w:rPr>
      </w:pPr>
    </w:p>
    <w:p>
      <w:pPr>
        <w:jc w:val="both"/>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We are highly dependent on the members of our executive management team and principal members of our commercial, development, medical, operations and scientific staff. We experience intense competition for qualified personnel. Our future success also depends in part on the continued service of our executive management team and key personnel and our ability to recruit, train and retain essential personnel for our drug discovery and development programs, and for our medical affairs and commercialization activities. If we lose the services of any of these people or if we are unable to recruit sufficient qualified personnel, our research and product development goals, and our commercialization efforts could be delayed or curtailed. We do not maintain “key person” insurance on any of our employees.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9" w:name="page90"/>
    <w:bookmarkEnd w:id="89"/>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our ability to develop and commercialize products could suffer.</w:t>
      </w:r>
    </w:p>
    <w:p>
      <w:pPr>
        <w:spacing w:after="0" w:line="229" w:lineRule="exact"/>
        <w:rPr>
          <w:sz w:val="20"/>
          <w:szCs w:val="20"/>
          <w:color w:val="auto"/>
        </w:rPr>
      </w:pPr>
    </w:p>
    <w:p>
      <w:pPr>
        <w:jc w:val="both"/>
        <w:ind w:left="40" w:right="59" w:firstLine="648"/>
        <w:spacing w:after="0" w:line="274" w:lineRule="auto"/>
        <w:rPr>
          <w:sz w:val="20"/>
          <w:szCs w:val="20"/>
          <w:color w:val="auto"/>
        </w:rPr>
      </w:pPr>
      <w:r>
        <w:rPr>
          <w:rFonts w:ascii="Times New Roman" w:cs="Times New Roman" w:eastAsia="Times New Roman" w:hAnsi="Times New Roman"/>
          <w:sz w:val="17"/>
          <w:szCs w:val="17"/>
          <w:color w:val="auto"/>
        </w:rPr>
        <w:t>We expect that if our drug discovery efforts continue to generate drug candidates, our clinical drug candidates continue to progress in development, and we continue to build our development, medical and commercial organizations, we will require significant additional investment in personnel, management and resources. Our ability to achieve our research, development and commercialization objectives depends on our ability to respond effectively to these demands and expand our internal organization, systems, controls and facilities to accommodate additional anticipated growth. If we are unable to manage our growth effectively, our business could be harmed and our ability to execute our business strategy could suffer.</w:t>
      </w:r>
    </w:p>
    <w:p>
      <w:pPr>
        <w:spacing w:after="0" w:line="169" w:lineRule="exact"/>
        <w:rPr>
          <w:sz w:val="20"/>
          <w:szCs w:val="20"/>
          <w:color w:val="auto"/>
        </w:rPr>
      </w:pPr>
    </w:p>
    <w:p>
      <w:pPr>
        <w:jc w:val="both"/>
        <w:ind w:left="4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businesses or assets, form joint ventures or make investments in other companies that may be unsuccessful, divert our management’s attention and harm our operating results and prospects.</w:t>
      </w:r>
    </w:p>
    <w:p>
      <w:pPr>
        <w:spacing w:after="0" w:line="159" w:lineRule="exact"/>
        <w:rPr>
          <w:sz w:val="20"/>
          <w:szCs w:val="20"/>
          <w:color w:val="auto"/>
        </w:rPr>
      </w:pPr>
    </w:p>
    <w:p>
      <w:pPr>
        <w:jc w:val="both"/>
        <w:ind w:left="40" w:right="59" w:firstLine="648"/>
        <w:spacing w:after="0" w:line="252" w:lineRule="auto"/>
        <w:rPr>
          <w:sz w:val="20"/>
          <w:szCs w:val="20"/>
          <w:color w:val="auto"/>
        </w:rPr>
      </w:pPr>
      <w:r>
        <w:rPr>
          <w:rFonts w:ascii="Times New Roman" w:cs="Times New Roman" w:eastAsia="Times New Roman" w:hAnsi="Times New Roman"/>
          <w:sz w:val="18"/>
          <w:szCs w:val="18"/>
          <w:color w:val="auto"/>
        </w:rPr>
        <w:t>As part of our business strategy, we may pursue additional acquisitions of what we believe to be complementary businesses or assets or seek to enter into joint ventures. We also may pursue strategic alliances in an effort to leverage our existing infrastructure and industry experience to expand our product offerings or distribution, or make investments in other companies. For example, in June 2016, we completed the acquisition of the European operations of ARIAD. The success of our acquisitions, joint ventures, strategic alliances and investments will depend on our ability to identify, negotiate, complete and, in the case of acquisitions, integrate those transactions and, if necessary, obtain satisfactory debt or equity financing to fund those transactions. We may not realize the anticipated benefits of any acquisition, joint venture, strategic alliance or investment. We may not be able to integrate acquisitions successfully into our existing business, achieve planned synergies or cost savings, maintain the key business relationships of businesses we acquire, or retain key personnel of an acquired business, and we could assume unknown or contingent liabilities or incur unanticipated expenses. Integration of acquired companies or businesses also may require management resources that otherwise would be available for ongoing development of our existing business. Any acquisitions or investments made by us also could result in significant write-offs or the incurrence of debt and contingent liabilities, any of which could harm our operating results. For example, as recently as the three months ended March 31, 2020, we recorded unrealized losses related to all of our investments in our collaboration partners, and we may in the future experience additional losses related to our investments. In addition, if we choose to issue shares of our stock as consideration for any acquisition, dilution to our stockholders could result.</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our operations outside of the United States could adversely affect our business.</w:t>
      </w:r>
    </w:p>
    <w:p>
      <w:pPr>
        <w:spacing w:after="0" w:line="229" w:lineRule="exact"/>
        <w:rPr>
          <w:sz w:val="20"/>
          <w:szCs w:val="20"/>
          <w:color w:val="auto"/>
        </w:rPr>
      </w:pPr>
    </w:p>
    <w:p>
      <w:pPr>
        <w:jc w:val="both"/>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Our acquisition of ARIAD’s European operations significantly expanded our operations in Europe, and we plan to continue to expand our operations and conduct certain development activities outside of the United States. For example, as part of our plans to expand our activities outside of the United States, we now conduct some of our operations in Canada, drug development activities in Japan and are in the process of opening an office in China. International operations and business expansion plans are subject to numerous additional risks, including:</w:t>
      </w:r>
    </w:p>
    <w:p>
      <w:pPr>
        <w:spacing w:after="0" w:line="183" w:lineRule="exact"/>
        <w:rPr>
          <w:sz w:val="20"/>
          <w:szCs w:val="20"/>
          <w:color w:val="auto"/>
        </w:rPr>
      </w:pPr>
    </w:p>
    <w:p>
      <w:pPr>
        <w:jc w:val="both"/>
        <w:ind w:left="1040" w:right="79" w:hanging="321"/>
        <w:spacing w:after="0" w:line="261"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tax laws, privacy regulations, tariffs, export and import restrictions, employment, immigration and labor laws, regulatory requirements, and other governmental approvals, permits and licenses, compliance with which can increase in complexity as we enter into additional jurisdictions;</w:t>
      </w:r>
    </w:p>
    <w:p>
      <w:pPr>
        <w:spacing w:after="0" w:line="179" w:lineRule="exact"/>
        <w:rPr>
          <w:rFonts w:ascii="Times New Roman" w:cs="Times New Roman" w:eastAsia="Times New Roman" w:hAnsi="Times New Roman"/>
          <w:sz w:val="18"/>
          <w:szCs w:val="18"/>
          <w:color w:val="auto"/>
        </w:rPr>
      </w:pPr>
    </w:p>
    <w:p>
      <w:pPr>
        <w:ind w:left="1040" w:right="59" w:hanging="321"/>
        <w:spacing w:after="0" w:line="282"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operations in diverse countries and difficulties in connection with assimilating and integrating any operations and personnel we might acquire into our company;</w:t>
      </w:r>
    </w:p>
    <w:p>
      <w:pPr>
        <w:spacing w:after="0" w:line="161" w:lineRule="exact"/>
        <w:rPr>
          <w:rFonts w:ascii="Times New Roman" w:cs="Times New Roman" w:eastAsia="Times New Roman" w:hAnsi="Times New Roman"/>
          <w:sz w:val="18"/>
          <w:szCs w:val="18"/>
          <w:color w:val="auto"/>
        </w:rPr>
      </w:pPr>
    </w:p>
    <w:p>
      <w:pPr>
        <w:ind w:left="1040" w:right="79" w:hanging="321"/>
        <w:spacing w:after="0" w:line="282"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obtaining and maintaining, or the failure to obtain or maintain, regulatory approvals for the sale or use of our products in various countries;</w:t>
      </w:r>
    </w:p>
    <w:p>
      <w:pPr>
        <w:spacing w:after="0" w:line="161" w:lineRule="exact"/>
        <w:rPr>
          <w:rFonts w:ascii="Times New Roman" w:cs="Times New Roman" w:eastAsia="Times New Roman" w:hAnsi="Times New Roman"/>
          <w:sz w:val="18"/>
          <w:szCs w:val="18"/>
          <w:color w:val="auto"/>
        </w:rPr>
      </w:pPr>
    </w:p>
    <w:p>
      <w:pPr>
        <w:ind w:left="1040" w:right="79" w:hanging="321"/>
        <w:spacing w:after="0" w:line="282"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government payor systems, multiple payor-reimbursement regimes or patient self-pay systems;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0" w:name="page91"/>
    <w:bookmarkEnd w:id="90"/>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21"/>
        <w:spacing w:after="0" w:line="266"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obtaining financing in foreign markets, difficulty enforcing contracts and intellectual property rights, difficulty collecting accounts receivable and exposure to foreign currency exchange rate fluctuations;</w:t>
      </w:r>
    </w:p>
    <w:p>
      <w:pPr>
        <w:spacing w:after="0" w:line="175" w:lineRule="exact"/>
        <w:rPr>
          <w:rFonts w:ascii="Times New Roman" w:cs="Times New Roman" w:eastAsia="Times New Roman" w:hAnsi="Times New Roman"/>
          <w:sz w:val="18"/>
          <w:szCs w:val="18"/>
          <w:color w:val="auto"/>
        </w:rPr>
      </w:pPr>
    </w:p>
    <w:p>
      <w:pPr>
        <w:jc w:val="both"/>
        <w:ind w:left="1040" w:right="59" w:hanging="321"/>
        <w:spacing w:after="0" w:line="266"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and economic conditions in the countries in which we operate, including terrorism and political unrest, curtailment of trade and other business restrictions, and uncertainties associated with the future relationship between the United Kingdom and the European Union;</w:t>
      </w:r>
    </w:p>
    <w:p>
      <w:pPr>
        <w:spacing w:after="0" w:line="175" w:lineRule="exact"/>
        <w:rPr>
          <w:rFonts w:ascii="Times New Roman" w:cs="Times New Roman" w:eastAsia="Times New Roman" w:hAnsi="Times New Roman"/>
          <w:sz w:val="18"/>
          <w:szCs w:val="18"/>
          <w:color w:val="auto"/>
        </w:rPr>
      </w:pPr>
    </w:p>
    <w:p>
      <w:pPr>
        <w:ind w:left="1040" w:right="79" w:hanging="321"/>
        <w:spacing w:after="0" w:line="282"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risks, such as the spread globally of COVID-19 in 2020, and related effects on supply chain, travel and employee health and availability; and</w:t>
      </w:r>
    </w:p>
    <w:p>
      <w:pPr>
        <w:spacing w:after="0" w:line="161" w:lineRule="exact"/>
        <w:rPr>
          <w:rFonts w:ascii="Times New Roman" w:cs="Times New Roman" w:eastAsia="Times New Roman" w:hAnsi="Times New Roman"/>
          <w:sz w:val="18"/>
          <w:szCs w:val="18"/>
          <w:color w:val="auto"/>
        </w:rPr>
      </w:pPr>
    </w:p>
    <w:p>
      <w:pPr>
        <w:jc w:val="both"/>
        <w:ind w:left="1040" w:right="79" w:hanging="321"/>
        <w:spacing w:after="0" w:line="258"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activities that may fall within the purview of the U.S. Foreign Corrupt Practices Act, its books and records provisions or its anti-bribery provisions, or similar anti-bribery or anti-corruption laws and regulations in other countries, such as the U.K. Anti-Bribery Act and the U.K. Criminal Finances Act, which may have similarly broad extraterritorial reach.</w:t>
      </w:r>
    </w:p>
    <w:p>
      <w:pPr>
        <w:spacing w:after="0" w:line="183"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In addition, our revenues are subject to foreign currency exchange rate fluctuations due to the global nature of our operations. To the extent that our non-U.S. source revenues represent a more significant portion of our total revenues, these fluctuations could materially affect our operating results. Any of the risks described above, if encountered, could significantly increase our costs of operating internationally, prevent us from operating in certain jurisdictions, or otherwise significantly harm our future international expansion and operations, which could have a material adverse effect on our business, financial condition and results of operations.</w:t>
      </w:r>
    </w:p>
    <w:p>
      <w:pPr>
        <w:spacing w:after="0" w:line="183" w:lineRule="exact"/>
        <w:rPr>
          <w:sz w:val="20"/>
          <w:szCs w:val="20"/>
          <w:color w:val="auto"/>
        </w:rPr>
      </w:pPr>
    </w:p>
    <w:p>
      <w:pPr>
        <w:jc w:val="both"/>
        <w:ind w:left="4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could face substantial liabilities and may be required to limit commercialization of our products and our results of operations could be harmed.</w:t>
      </w:r>
    </w:p>
    <w:p>
      <w:pPr>
        <w:spacing w:after="0" w:line="159" w:lineRule="exact"/>
        <w:rPr>
          <w:sz w:val="20"/>
          <w:szCs w:val="20"/>
          <w:color w:val="auto"/>
        </w:rPr>
      </w:pPr>
    </w:p>
    <w:p>
      <w:pPr>
        <w:jc w:val="both"/>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In addition to the risks described above under “—Risks Relating to Commercialization of Our Products—If the use of our products harms patients, or is perceived to harm patients even when such harm is unrelated to our products, our regulatory approvals could be revoked or otherwise negatively impacted or we could be subject to costly and damaging product liability claims,” the conduct of clinical trials of medical products that are intended for human use entails an inherent risk of product liability. If any product that we or any of our collaborators or licensees develops causes or is alleged to cause injury during clinical trials or commercialization, we may be held liable. If we cannot successfully defend ourselves against product liability claims, we may incur substantial liabilities, including substantial damages to be paid to the plaintiffs and legal costs, or we may be required to limit further development and commercialization of our products. Additionally, any product liability lawsuit could cause injury to our reputation, participants and investigators to withdraw from clinical trials, and potential collaborators or licensees to seek other partners, any of which could impact our results of operations.</w:t>
      </w:r>
    </w:p>
    <w:p>
      <w:pPr>
        <w:spacing w:after="0" w:line="192" w:lineRule="exact"/>
        <w:rPr>
          <w:sz w:val="20"/>
          <w:szCs w:val="20"/>
          <w:color w:val="auto"/>
        </w:rPr>
      </w:pPr>
    </w:p>
    <w:p>
      <w:pPr>
        <w:jc w:val="both"/>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Our product liability insurance policy may not fully cover our potential liabilities. In addition, we may determine that we should increase our coverage, and this insurance may be prohibitively expensive to us or our collaborators or licensees and may not fully cover our potential liabilities. Since December 30, 2017, we elected to self-insure a portion of our exposure to product liability risks through our wholly-owned captive insurance subsidiary, in tandem with third-party insurance policies. Our inability to obtain sufficient product liability insurance at an acceptable cost to protect against potential product liability claims could prevent or inhibit the development or commercialization of our drug candidates and products, and if our liabilities from any such claims exceed our third-party insurance limits and self-insurance reserves, our results of operations, cash flows and financial condition could be adversely impacted.</w:t>
      </w:r>
    </w:p>
    <w:p>
      <w:pPr>
        <w:spacing w:after="0" w:line="188" w:lineRule="exact"/>
        <w:rPr>
          <w:sz w:val="20"/>
          <w:szCs w:val="20"/>
          <w:color w:val="auto"/>
        </w:rPr>
      </w:pPr>
    </w:p>
    <w:p>
      <w:pPr>
        <w:jc w:val="both"/>
        <w:ind w:left="4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activities involve the use of hazardous materials, we may be subject to claims relating to improper handling, storage or disposal of these materials that could be time consuming and costly.</w:t>
      </w:r>
    </w:p>
    <w:p>
      <w:pPr>
        <w:spacing w:after="0" w:line="159" w:lineRule="exact"/>
        <w:rPr>
          <w:sz w:val="20"/>
          <w:szCs w:val="20"/>
          <w:color w:val="auto"/>
        </w:rPr>
      </w:pPr>
    </w:p>
    <w:p>
      <w:pPr>
        <w:jc w:val="both"/>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We are subject to various environmental, health and safety laws and regulations governing, among other things, the use, handling, storage and disposal of regulated substances and the health and safety of our employees. Our research and development processes involve the controlled use of hazardous and radioactive materials and biological waste resulting</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in the production of hazardous waste products. We cannot completely eliminate the risk of accidental contamination or discharge and any resultant injury from these materials. If any injury or contamination results from our use or the use by our collaborators or licensees of these materials, we may be sued and our liability may exceed our insurance coverage and our total assets. Further, we may be required to indemnify our collaborators or licensees against all damages and other liabilities arising out of our development activities or products produced in connection with these collaborations or licenses. Compliance with the applicable environmental and workplace laws and regulations is expensive. Future changes to environmental, health, workplace and safety laws could cause us to incur additional expense or may restrict our operations or impair our research, development and production efforts.</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RISKS RELATING TO OUR FINANCIAL RESULTS</w:t>
      </w:r>
    </w:p>
    <w:p>
      <w:pPr>
        <w:spacing w:after="0" w:line="225" w:lineRule="exact"/>
        <w:rPr>
          <w:sz w:val="20"/>
          <w:szCs w:val="20"/>
          <w:color w:val="auto"/>
        </w:rPr>
      </w:pPr>
    </w:p>
    <w:p>
      <w:pPr>
        <w:jc w:val="both"/>
        <w:ind w:left="4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losses in the future, and we expect to continue to incur significant expenses to discover and develop drugs, which may make it difficult for us to achieve sustained profitability on a quarterly or annual basis in the future.</w:t>
      </w:r>
    </w:p>
    <w:p>
      <w:pPr>
        <w:spacing w:after="0" w:line="159"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Due to historical net losses, we had an accumulated deficit of $1.9 billion as of September 30, 2020. We intend to continue to spend significant amounts on our efforts to discover and develop drugs. As a result, we may incur losses in future periods as well. Our revenues, expenses and net income (loss) may fluctuate, even significantly, due to the risks described in these “Risk Factors” and factors discussed in “Management’s Discussion and Analysis of Financial Condition and Results of Operations” as well as the timing of charges and expenses that we may take, including those relating to transactions such as acquisitions and the entry into collaborative agreements.</w:t>
      </w:r>
    </w:p>
    <w:p>
      <w:pPr>
        <w:spacing w:after="0" w:line="187" w:lineRule="exact"/>
        <w:rPr>
          <w:sz w:val="20"/>
          <w:szCs w:val="20"/>
          <w:color w:val="auto"/>
        </w:rPr>
      </w:pPr>
    </w:p>
    <w:p>
      <w:pPr>
        <w:jc w:val="both"/>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We anticipate that our drug discovery and development efforts and related expenditures will increase as we focus on the studies, including preclinical tests and clinical trials prior to seeking regulatory approval, that are required before we can sell a drug product.</w:t>
      </w:r>
    </w:p>
    <w:p>
      <w:pPr>
        <w:spacing w:after="0" w:line="176" w:lineRule="exact"/>
        <w:rPr>
          <w:sz w:val="20"/>
          <w:szCs w:val="20"/>
          <w:color w:val="auto"/>
        </w:rPr>
      </w:pPr>
    </w:p>
    <w:p>
      <w:pPr>
        <w:jc w:val="both"/>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The development of drug products will require us to spend significant funds on research, development, testing, obtaining regulatory approvals, manufacturing and marketing. To date, we do not have any drug products that have generated significant revenues other than from sales of JAKAFI and we cannot assure you that we will generate significant revenues from the drug candidates that we license or develop, including ICLUSIG, PEMAZYRE and MONJUVI, for several years, if ever.</w:t>
      </w:r>
    </w:p>
    <w:p>
      <w:pPr>
        <w:spacing w:after="0" w:line="183" w:lineRule="exact"/>
        <w:rPr>
          <w:sz w:val="20"/>
          <w:szCs w:val="20"/>
          <w:color w:val="auto"/>
        </w:rPr>
      </w:pPr>
    </w:p>
    <w:p>
      <w:pPr>
        <w:jc w:val="both"/>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We cannot be certain whether or when we will achieve sustained or increased profitability on a quarterly or annual basis because of the factors discussed above and the significant uncertainties relating to our ability to generate commercially successful drug products. Even if we are successful in obtaining regulatory approvals for manufacturing and commercializing drug products in addition to JAKAFI, ICLUSIG, PEMAZYRE and MONJUVI, we may incur losses if our drug products do not generate significant revenues.</w:t>
      </w:r>
    </w:p>
    <w:p>
      <w:pPr>
        <w:spacing w:after="0" w:line="179"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capital in the future. If we are unable to generate sufficient funds from operations, the capital markets may not permit us to raise additional capital at the time that we require it, which could result in limitations on our research and development or commercialization efforts or the loss of certain of our rights in our technologies or drug candidates.</w:t>
      </w:r>
    </w:p>
    <w:p>
      <w:pPr>
        <w:spacing w:after="0" w:line="180" w:lineRule="exact"/>
        <w:rPr>
          <w:sz w:val="20"/>
          <w:szCs w:val="20"/>
          <w:color w:val="auto"/>
        </w:rPr>
      </w:pPr>
    </w:p>
    <w:p>
      <w:pPr>
        <w:jc w:val="both"/>
        <w:ind w:left="40" w:right="59" w:firstLine="648"/>
        <w:spacing w:after="0" w:line="282" w:lineRule="auto"/>
        <w:rPr>
          <w:sz w:val="20"/>
          <w:szCs w:val="20"/>
          <w:color w:val="auto"/>
        </w:rPr>
      </w:pPr>
      <w:r>
        <w:rPr>
          <w:rFonts w:ascii="Times New Roman" w:cs="Times New Roman" w:eastAsia="Times New Roman" w:hAnsi="Times New Roman"/>
          <w:sz w:val="18"/>
          <w:szCs w:val="18"/>
          <w:color w:val="auto"/>
        </w:rPr>
        <w:t>Our future funding requirements will depend on many factors and we anticipate that we may need to raise additional capital to fund our business plan and research and development efforts going-forward.</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Additional factors that may affect our future funding requirements include:</w:t>
      </w:r>
    </w:p>
    <w:p>
      <w:pPr>
        <w:spacing w:after="0" w:line="225" w:lineRule="exact"/>
        <w:rPr>
          <w:sz w:val="20"/>
          <w:szCs w:val="20"/>
          <w:color w:val="auto"/>
        </w:rPr>
      </w:pPr>
    </w:p>
    <w:p>
      <w:pPr>
        <w:ind w:left="1040" w:hanging="321"/>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revenues generated from our business activities;</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the breadth of our research and development programs;</w:t>
      </w:r>
    </w:p>
    <w:p>
      <w:pPr>
        <w:spacing w:after="0" w:line="225" w:lineRule="exact"/>
        <w:rPr>
          <w:rFonts w:ascii="Times New Roman" w:cs="Times New Roman" w:eastAsia="Times New Roman" w:hAnsi="Times New Roman"/>
          <w:sz w:val="18"/>
          <w:szCs w:val="18"/>
          <w:color w:val="auto"/>
        </w:rPr>
      </w:pPr>
    </w:p>
    <w:p>
      <w:pPr>
        <w:ind w:left="1040" w:right="59" w:hanging="321"/>
        <w:spacing w:after="0" w:line="282"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research and development, preclinical testing and clinical trials conducted by us or our current or future collaborators or licensees, if any;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2" w:name="page93"/>
    <w:bookmarkEnd w:id="92"/>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59" w:hanging="321"/>
        <w:spacing w:after="0" w:line="282" w:lineRule="auto"/>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exercise of any co-development options with collaborators that may require us to fund future development;</w:t>
      </w:r>
    </w:p>
    <w:p>
      <w:pPr>
        <w:spacing w:after="0" w:line="161" w:lineRule="exact"/>
        <w:rPr>
          <w:rFonts w:ascii="Times New Roman" w:cs="Times New Roman" w:eastAsia="Times New Roman" w:hAnsi="Times New Roman"/>
          <w:sz w:val="18"/>
          <w:szCs w:val="18"/>
          <w:color w:val="auto"/>
        </w:rPr>
      </w:pPr>
    </w:p>
    <w:p>
      <w:pPr>
        <w:ind w:left="1040" w:right="79" w:hanging="321"/>
        <w:spacing w:after="0" w:line="282" w:lineRule="auto"/>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businesses, technologies, or drug candidates, or the licensing of technologies or drug candidates, if any;</w:t>
      </w:r>
    </w:p>
    <w:p>
      <w:pPr>
        <w:spacing w:after="0" w:line="161"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future facility requirements;</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new corporate relationships and research collaborations;</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technological and market developments;</w:t>
      </w:r>
    </w:p>
    <w:p>
      <w:pPr>
        <w:spacing w:after="0" w:line="225" w:lineRule="exact"/>
        <w:rPr>
          <w:rFonts w:ascii="Times New Roman" w:cs="Times New Roman" w:eastAsia="Times New Roman" w:hAnsi="Times New Roman"/>
          <w:sz w:val="18"/>
          <w:szCs w:val="18"/>
          <w:color w:val="auto"/>
        </w:rPr>
      </w:pPr>
    </w:p>
    <w:p>
      <w:pPr>
        <w:ind w:left="1040" w:right="79" w:hanging="321"/>
        <w:spacing w:after="0" w:line="282" w:lineRule="auto"/>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filing, prosecuting, defending and enforcing patent and intellectual property claims;</w:t>
      </w:r>
    </w:p>
    <w:p>
      <w:pPr>
        <w:spacing w:after="0" w:line="161" w:lineRule="exact"/>
        <w:rPr>
          <w:rFonts w:ascii="Times New Roman" w:cs="Times New Roman" w:eastAsia="Times New Roman" w:hAnsi="Times New Roman"/>
          <w:sz w:val="18"/>
          <w:szCs w:val="18"/>
          <w:color w:val="auto"/>
        </w:rPr>
      </w:pPr>
    </w:p>
    <w:p>
      <w:pPr>
        <w:ind w:left="1040" w:right="79" w:hanging="321"/>
        <w:spacing w:after="0" w:line="282" w:lineRule="auto"/>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contingent licensing or milestone fees or royalties on product sales from our current or future collaborative and license arrangements, if established; and</w:t>
      </w:r>
    </w:p>
    <w:p>
      <w:pPr>
        <w:spacing w:after="0" w:line="161"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regulatory approvals, if any.</w:t>
      </w:r>
    </w:p>
    <w:p>
      <w:pPr>
        <w:spacing w:after="0" w:line="225" w:lineRule="exact"/>
        <w:rPr>
          <w:sz w:val="20"/>
          <w:szCs w:val="20"/>
          <w:color w:val="auto"/>
        </w:rPr>
      </w:pPr>
    </w:p>
    <w:p>
      <w:pPr>
        <w:jc w:val="both"/>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If we require additional capital at a time when investment in companies such as ours, or in the marketplace generally, is limited due to the then prevailing market or other conditions, we may have to scale back our operations, eliminate one or more of our research or development programs, or attempt to obtain funds by entering into an agreement with a collaborator or licensee that would result in terms that are not favorable to us or relinquishing our rights in certain of our proprietary technologies or drug candidates. If we are unable to raise funds at the time that we desire or at any time thereafter on acceptable terms, we may not be able to continue to develop our drug candidates. The sale of equity or equity-linked securities in the future may be dilutive to our stockholders and may provide for rights, preferences or privileges senior to those of our holders of common stock, and debt financing arrangements may require us to pledge certain assets or enter into covenants that could restrict our operations or our ability to pay dividends or other distributions on our common stock or incur further indebtedness.</w:t>
      </w:r>
    </w:p>
    <w:p>
      <w:pPr>
        <w:spacing w:after="0" w:line="190" w:lineRule="exact"/>
        <w:rPr>
          <w:sz w:val="20"/>
          <w:szCs w:val="20"/>
          <w:color w:val="auto"/>
        </w:rPr>
      </w:pPr>
    </w:p>
    <w:p>
      <w:pPr>
        <w:jc w:val="both"/>
        <w:ind w:left="4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marketable securities and long term investments are subject to risks that could adversely affect our overall financial position.</w:t>
      </w:r>
    </w:p>
    <w:p>
      <w:pPr>
        <w:spacing w:after="0" w:line="159"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We invest our cash in accordance with an established internal policy and customarily in instruments, money market funds, U.S. government backed-funds and Treasury assets, which historically have been highly liquid and carried relatively low risk. In recent periods, similar types of investments and money market funds have experienced losses in value or liquidity issues that differ from their historical pattern.</w:t>
      </w:r>
    </w:p>
    <w:p>
      <w:pPr>
        <w:spacing w:after="0" w:line="180"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Should a portion of our cash or marketable securities lose value or have their liquidity impaired, it could adversely affect our overall financial position by imperiling our ability to fund our operations and forcing us to seek additional financing sooner than we would otherwise. Such financing, if available, may not be available on commercially attractive terms.</w:t>
      </w:r>
    </w:p>
    <w:p>
      <w:pPr>
        <w:spacing w:after="0" w:line="180"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As discussed under “Other Risks Relating to Our Business— We may acquire businesses or assets, form joint ventures or make investments in other companies that may be unsuccessful, divert our management’s attention and harm our operating results and prospects,” any investments that we may make in companies with which we have strategic alliances, such as Agenus and Merus, could result in our recognition of losses on those investments. In addition, to the extent we may seek to sell or otherwise monetize those investments, we may not be able to do so at our desired price or valuation levels, or at all, due to the limited liquidity of some or all of those investments.</w:t>
      </w:r>
    </w:p>
    <w:p>
      <w:pPr>
        <w:spacing w:after="0" w:line="187" w:lineRule="exact"/>
        <w:rPr>
          <w:sz w:val="20"/>
          <w:szCs w:val="20"/>
          <w:color w:val="auto"/>
        </w:rPr>
      </w:pPr>
    </w:p>
    <w:p>
      <w:pPr>
        <w:jc w:val="both"/>
        <w:ind w:left="40" w:right="59" w:firstLine="648"/>
        <w:spacing w:after="0" w:line="282" w:lineRule="auto"/>
        <w:rPr>
          <w:sz w:val="20"/>
          <w:szCs w:val="20"/>
          <w:color w:val="auto"/>
        </w:rPr>
      </w:pPr>
      <w:r>
        <w:rPr>
          <w:rFonts w:ascii="Times New Roman" w:cs="Times New Roman" w:eastAsia="Times New Roman" w:hAnsi="Times New Roman"/>
          <w:sz w:val="18"/>
          <w:szCs w:val="18"/>
          <w:color w:val="auto"/>
        </w:rPr>
        <w:t>Any loss in value of our long term investments could adversely affect our financial position on the consolidated balance sheets and consolidated statements of operations.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derive a substantial portion of our revenues from royalties, milestone payments and other payments under our collaboration agreements. If we are unable to achieve milestones, develop product candidates to license or renew or enter into new collaborations, our revenues may decrease, and future milestone and royalty payments may not contribute significantly to revenues for several years, and may never result in revenues.</w:t>
      </w:r>
    </w:p>
    <w:p>
      <w:pPr>
        <w:spacing w:after="0" w:line="180" w:lineRule="exact"/>
        <w:rPr>
          <w:sz w:val="20"/>
          <w:szCs w:val="20"/>
          <w:color w:val="auto"/>
        </w:rPr>
      </w:pPr>
    </w:p>
    <w:p>
      <w:pPr>
        <w:jc w:val="both"/>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We derived a substantial portion of our revenues for the nine months ended September 30, 2020 from JAKAVI and OLUMIANT product royalties and from milestone payments under our collaboration agreements. Future revenues from research and development collaborations depend upon continuation of the collaborations, the achievement of milestones and royalties we earn from any future products developed from our research. If we are unable to successfully achieve milestones or our collaborators fail to develop successful products, we will not earn the future revenues contemplated under our collaborative agreements. For example, delays in or other limitations with respect to the approval of baricitinib in the United States for the treatment of moderate-to-severe rheumatoid arthritis, or the failure to obtain such approval, as discussed under “—We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would affect potential future royalty and milestone and contract revenue.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RELATING TO INTELLECTUAL PROPERTY AND LEGAL MATTERS</w:t>
      </w:r>
    </w:p>
    <w:p>
      <w:pPr>
        <w:spacing w:after="0" w:line="225" w:lineRule="exact"/>
        <w:rPr>
          <w:sz w:val="20"/>
          <w:szCs w:val="20"/>
          <w:color w:val="auto"/>
        </w:rPr>
      </w:pPr>
    </w:p>
    <w:p>
      <w:pPr>
        <w:jc w:val="both"/>
        <w:ind w:left="4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subject to arbitration, litigation and infringement claims, they could be costly and disrupt our drug discovery and development efforts.</w:t>
      </w:r>
    </w:p>
    <w:p>
      <w:pPr>
        <w:spacing w:after="0" w:line="159" w:lineRule="exact"/>
        <w:rPr>
          <w:sz w:val="20"/>
          <w:szCs w:val="20"/>
          <w:color w:val="auto"/>
        </w:rPr>
      </w:pPr>
    </w:p>
    <w:p>
      <w:pPr>
        <w:jc w:val="both"/>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The technology that we use to make and develop our drug products, the technology that we incorporate in our products, and the products we are developing may be subject to claims that they infringe the patents or proprietary rights of others. The success of our drug discovery and development efforts will also depend on our ability to develop new compounds, drugs and technologies without infringing or misappropriating the proprietary rights of others. We are aware of patents and patent applications filed in certain countries claiming intellectual property relating to some of our drug discovery targets and drug candidates. While the validity of issued patents, patentability of pending patent applications and applicability of any of them to our programs are uncertain, if any of these patents are asserted against us or if we choose to license any of these patents, our ability to commercialize our products could be harmed or the potential return to us from any product that may be successfully commercialized could be diminished.</w:t>
      </w:r>
    </w:p>
    <w:p>
      <w:pPr>
        <w:spacing w:after="0" w:line="188" w:lineRule="exact"/>
        <w:rPr>
          <w:sz w:val="20"/>
          <w:szCs w:val="20"/>
          <w:color w:val="auto"/>
        </w:rPr>
      </w:pPr>
    </w:p>
    <w:p>
      <w:pPr>
        <w:jc w:val="both"/>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From time to time we have received, and we may in the future receive, notices from third parties offering licenses to technology or alleging patent, trademark, or copyright infringement, claims regarding trade secrets or other contract claims. Receipt of these notices could result in significant costs as a result of the diversion of the attention of management from our drug discovery and development efforts. Parties sending these notices may have brought and in the future may bring litigation against us or seek arbitration relating to contract claims.</w:t>
      </w:r>
    </w:p>
    <w:p>
      <w:pPr>
        <w:spacing w:after="0" w:line="183" w:lineRule="exact"/>
        <w:rPr>
          <w:sz w:val="20"/>
          <w:szCs w:val="20"/>
          <w:color w:val="auto"/>
        </w:rPr>
      </w:pPr>
    </w:p>
    <w:p>
      <w:pPr>
        <w:jc w:val="both"/>
        <w:ind w:left="40" w:right="59" w:firstLine="648"/>
        <w:spacing w:after="0" w:line="282" w:lineRule="auto"/>
        <w:rPr>
          <w:sz w:val="20"/>
          <w:szCs w:val="20"/>
          <w:color w:val="auto"/>
        </w:rPr>
      </w:pPr>
      <w:r>
        <w:rPr>
          <w:rFonts w:ascii="Times New Roman" w:cs="Times New Roman" w:eastAsia="Times New Roman" w:hAnsi="Times New Roman"/>
          <w:sz w:val="18"/>
          <w:szCs w:val="18"/>
          <w:color w:val="auto"/>
        </w:rPr>
        <w:t>We may be involved in future lawsuits or other legal proceedings alleging patent infringement or other intellectual property rights or contract violations. In addition, litigation or other legal proceedings may be necessary to:</w:t>
      </w:r>
    </w:p>
    <w:p>
      <w:pPr>
        <w:spacing w:after="0" w:line="162" w:lineRule="exact"/>
        <w:rPr>
          <w:sz w:val="20"/>
          <w:szCs w:val="20"/>
          <w:color w:val="auto"/>
        </w:rPr>
      </w:pPr>
    </w:p>
    <w:p>
      <w:pPr>
        <w:ind w:left="1040" w:hanging="321"/>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 claims of infringement;</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our patents or trademarks;</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our trade secrets or know-how; or</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enforceability, scope and validity of the proprietary rights of others.</w:t>
      </w:r>
    </w:p>
    <w:p>
      <w:pPr>
        <w:spacing w:after="0" w:line="225"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We may be unsuccessful in defending or pursuing these lawsuits, claims or other legal proceedings. Regardless of the outcome, litigation or other legal proceedings can be very costly and can divert management’s efforts. An adverse determination may subject us to significant liabilities or require us or our collaborators or licensees to seek licenses to other parties’ patents or proprietary rights. We or our collaborators or licensees may also be restricted or prevented from manufacturing or selling a drug or other product that we or they develop. Further, we or our future collaborators or licensees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4" w:name="page95"/>
    <w:bookmarkEnd w:id="94"/>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82" w:lineRule="auto"/>
        <w:rPr>
          <w:sz w:val="20"/>
          <w:szCs w:val="20"/>
          <w:color w:val="auto"/>
        </w:rPr>
      </w:pPr>
      <w:r>
        <w:rPr>
          <w:rFonts w:ascii="Times New Roman" w:cs="Times New Roman" w:eastAsia="Times New Roman" w:hAnsi="Times New Roman"/>
          <w:sz w:val="18"/>
          <w:szCs w:val="18"/>
          <w:color w:val="auto"/>
        </w:rPr>
        <w:t>may not be able to obtain any necessary licenses on acceptable terms, if at all. If we are unable to develop non-infringing technology or license technology on a timely basis or on reasonable terms, our business could be harmed.</w:t>
      </w:r>
    </w:p>
    <w:p>
      <w:pPr>
        <w:spacing w:after="0" w:line="158" w:lineRule="exact"/>
        <w:rPr>
          <w:sz w:val="20"/>
          <w:szCs w:val="20"/>
          <w:color w:val="auto"/>
        </w:rPr>
      </w:pPr>
    </w:p>
    <w:p>
      <w:pPr>
        <w:jc w:val="both"/>
        <w:ind w:left="4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or enforce our proprietary information, which may result in its unauthorized use, a loss of revenue under a collaboration agreement or loss of sales to generic versions of our products or otherwise reduce our ability to compete in developing and commercializing products.</w:t>
      </w:r>
    </w:p>
    <w:p>
      <w:pPr>
        <w:spacing w:after="0" w:line="175" w:lineRule="exact"/>
        <w:rPr>
          <w:sz w:val="20"/>
          <w:szCs w:val="20"/>
          <w:color w:val="auto"/>
        </w:rPr>
      </w:pPr>
    </w:p>
    <w:p>
      <w:pPr>
        <w:jc w:val="both"/>
        <w:ind w:left="40" w:right="59" w:firstLine="648"/>
        <w:spacing w:after="0" w:line="252" w:lineRule="auto"/>
        <w:rPr>
          <w:sz w:val="20"/>
          <w:szCs w:val="20"/>
          <w:color w:val="auto"/>
        </w:rPr>
      </w:pPr>
      <w:r>
        <w:rPr>
          <w:rFonts w:ascii="Times New Roman" w:cs="Times New Roman" w:eastAsia="Times New Roman" w:hAnsi="Times New Roman"/>
          <w:sz w:val="18"/>
          <w:szCs w:val="18"/>
          <w:color w:val="auto"/>
        </w:rPr>
        <w:t>Our business and competitive position depends in significant part upon our ability to protect our proprietary technology, including any drug products that we create. Despite our efforts to protect this information, unauthorized parties may attempt to obtain and use information that we regard as proprietary. For example, one of our collaborators may disclose proprietary information pertaining to our drug discovery efforts. In addition, while we have filed numerous patent applications with respect to ruxolitinib and our drug candidates in the United States and in foreign countries, our patent applications may fail to result in issued patents. In addition, because patent applications can take several years to issue as patents, there may be pending patent applications of others that may later issue as patents that cover some aspect of ruxolitinib and our drug candidates. Our existing patents and any future patents we may obtain may not be broad enough to protect our products or all of the potential uses of our products, or otherwise prevent others from developing competing products or technologies. In addition, our patents may be challenged and invalidated or may fail to provide us with any competitive advantages if, for example, others were first to invent or first to file a patent application for the technologies and products covered by our patents. As noted above under “—Risks Relating to Commercialization of Our Products— Competition for our products could potentially harm our business and result in a decrease in our revenue,” a potential generic drug company competitor has challenged certain patents relating to JAKAFI.</w:t>
      </w:r>
    </w:p>
    <w:p>
      <w:pPr>
        <w:spacing w:after="0" w:line="197"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Additionally, when we do not control the prosecution, maintenance and enforcement of certain important intellectual property, such as a drug candidate in-licensed to us or subject to a collaboration with a third-party, the protection of the intellectual property rights may not be in our hands. If we do not control the intellectual property rights in-licensed to us with respect to a drug candidate and the entity that controls the intellectual property rights does not adequately protect those rights, our rights may be impaired, which may impact our ability to develop, market and commercialize the in-licensed drug candidate.</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means of protecting our proprietary rights may not be adequate, and our competitors may:</w:t>
      </w:r>
    </w:p>
    <w:p>
      <w:pPr>
        <w:spacing w:after="0" w:line="225" w:lineRule="exact"/>
        <w:rPr>
          <w:sz w:val="20"/>
          <w:szCs w:val="20"/>
          <w:color w:val="auto"/>
        </w:rPr>
      </w:pPr>
    </w:p>
    <w:p>
      <w:pPr>
        <w:ind w:left="1040" w:hanging="321"/>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independently develop substantially equivalent proprietary information, products and techniques;</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gain access to our proprietary information; or</w:t>
      </w:r>
    </w:p>
    <w:p>
      <w:pPr>
        <w:spacing w:after="0" w:line="22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around patents issued to us or our other intellectual property.</w:t>
      </w:r>
    </w:p>
    <w:p>
      <w:pPr>
        <w:spacing w:after="0" w:line="225" w:lineRule="exact"/>
        <w:rPr>
          <w:sz w:val="20"/>
          <w:szCs w:val="20"/>
          <w:color w:val="auto"/>
        </w:rPr>
      </w:pPr>
    </w:p>
    <w:p>
      <w:pPr>
        <w:jc w:val="both"/>
        <w:ind w:left="40" w:right="59" w:firstLine="648"/>
        <w:spacing w:after="0" w:line="261" w:lineRule="auto"/>
        <w:rPr>
          <w:sz w:val="20"/>
          <w:szCs w:val="20"/>
          <w:color w:val="auto"/>
        </w:rPr>
      </w:pPr>
      <w:r>
        <w:rPr>
          <w:rFonts w:ascii="Times New Roman" w:cs="Times New Roman" w:eastAsia="Times New Roman" w:hAnsi="Times New Roman"/>
          <w:sz w:val="18"/>
          <w:szCs w:val="18"/>
          <w:color w:val="auto"/>
        </w:rPr>
        <w:t>We pursue a policy of having our employees, consultants and advisors execute proprietary information and invention agreements when they begin working for us. However, these agreements may not provide meaningful protection for our trade secrets or other proprietary information in the event of unauthorized use or disclosure. If we fail to maintain trade secret and patent protection, our potential future revenues may be decreased.</w:t>
      </w:r>
    </w:p>
    <w:p>
      <w:pPr>
        <w:spacing w:after="0" w:line="176" w:lineRule="exact"/>
        <w:rPr>
          <w:sz w:val="20"/>
          <w:szCs w:val="20"/>
          <w:color w:val="auto"/>
        </w:rPr>
      </w:pPr>
    </w:p>
    <w:p>
      <w:pPr>
        <w:jc w:val="both"/>
        <w:ind w:left="4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effective term of our patents is decreased due to changes in the United States patent laws or if we need to refile some of our patent applications, the value of our patent portfolio and the revenues we derive from it may be decreased.</w:t>
      </w:r>
    </w:p>
    <w:p>
      <w:pPr>
        <w:spacing w:after="0" w:line="159" w:lineRule="exact"/>
        <w:rPr>
          <w:sz w:val="20"/>
          <w:szCs w:val="20"/>
          <w:color w:val="auto"/>
        </w:rPr>
      </w:pPr>
    </w:p>
    <w:p>
      <w:pPr>
        <w:jc w:val="both"/>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The value of our patents depends, in part, on their duration. A shorter period of patent protection could lessen the value of our rights under any patents that we obtain and may decrease the revenues we derive from our patents. The United States patent laws provide a term of patent protection of 20 years from the earliest effective filing date of the patent application. Because the time from filing to issuance of biotechnology applications may be more than three years depending on the subject matter, a 20-year patent term from the filing date may result in substantially shorter patent protection.</w:t>
      </w:r>
    </w:p>
    <w:p>
      <w:pPr>
        <w:spacing w:after="0" w:line="187" w:lineRule="exact"/>
        <w:rPr>
          <w:sz w:val="20"/>
          <w:szCs w:val="20"/>
          <w:color w:val="auto"/>
        </w:rPr>
      </w:pPr>
    </w:p>
    <w:p>
      <w:pPr>
        <w:jc w:val="both"/>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Additionally, United States patent laws were amended in 2011 with the enactment of the America Invents Act and third parties are now able to challenge the validity of issued U.S. patents through various review proceedings; thus rendering the validity of U.S. patents more uncertain. We may be obligated to participate in review proceedings to</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8"/>
          <w:szCs w:val="18"/>
          <w:color w:val="auto"/>
        </w:rPr>
        <w:t>determine the validity of our U.S. patents. We cannot predict the ultimate outcome of these proceedings, the conduct of which could result in substantial costs and diversion of our efforts and resources. If we are unsuccessful in these proceedings some or all of our claims in the patents may be narrowed or invalidated and the patent protection for our products and drug candidates in the United States could be substantially shortened. Further, if all of the patents covering one of our products are invalidated, the FDA could approve requests to manufacture a generic version of that product prior to the expiration date of those patents.</w:t>
      </w:r>
    </w:p>
    <w:p>
      <w:pPr>
        <w:spacing w:after="0" w:line="187" w:lineRule="exact"/>
        <w:rPr>
          <w:sz w:val="20"/>
          <w:szCs w:val="20"/>
          <w:color w:val="auto"/>
        </w:rPr>
      </w:pPr>
    </w:p>
    <w:p>
      <w:pPr>
        <w:jc w:val="both"/>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Other changes in the United States patent laws or changes in the interpretation of patent laws could diminish the value of our patents or narrow the scope of our patent protection. For example, the Supreme Court of the United States resolved a split among the circuit courts of appeals regarding antitrust challenges to settlements of patent infringement lawsuits under the Hatch-Waxman Act between brand-name drug companies and generic drug companies. The Court rejected the “scope of the patent” test and ruled that settlements involving “reverse payments” from brand-name drug companies to generic drug companies should be analyzed under the rule of reason. This ruling may create uncertainty and make it more difficult to settle patent litigation if a company seeking to manufacture a generic version of one of our products challenges the patents covering that product prior to the expiration date of those patents.</w:t>
      </w:r>
    </w:p>
    <w:p>
      <w:pPr>
        <w:spacing w:after="0" w:line="188" w:lineRule="exact"/>
        <w:rPr>
          <w:sz w:val="20"/>
          <w:szCs w:val="20"/>
          <w:color w:val="auto"/>
        </w:rPr>
      </w:pPr>
    </w:p>
    <w:p>
      <w:pPr>
        <w:jc w:val="both"/>
        <w:ind w:left="4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patent protection is particularly uncertain and costly, and our involvement in opposition proceedings in foreign countries may result in the expenditure of substantial sums and management resources.</w:t>
      </w:r>
    </w:p>
    <w:p>
      <w:pPr>
        <w:spacing w:after="0" w:line="159" w:lineRule="exact"/>
        <w:rPr>
          <w:sz w:val="20"/>
          <w:szCs w:val="20"/>
          <w:color w:val="auto"/>
        </w:rPr>
      </w:pPr>
    </w:p>
    <w:p>
      <w:pPr>
        <w:jc w:val="both"/>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Biotechnology and pharmaceutical patent law outside the United States is even more uncertain and costly than in the United States and is currently undergoing review and revision in many countries. Further, the laws of some foreign countries may not protect our intellectual property rights to the same extent as United States laws. For example, certain countries do not grant patent claims that are directed to the treatment of humans. We have participated, and may in the future participate, in opposition proceedings to determine the validity of our foreign patents or our competitors’ foreign patents, which could result in substantial costs and diversion of our efforts. Successful challenges to our patent or other intellectual property rights through these proceedings could result in a loss of rights in the relevant jurisdiction and allow third parties to use our proprietary technologies without a license from us or our collaborators, which may also result in loss of future royalty payments. In addition, successful challenges may jeopardize or delay our ability to enter into new collaborations or commercialize potential products, which could harm our business and results of operations.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RELATING TO INFORMATION TECHNOLOGY AND DATA PRIVACY</w:t>
      </w:r>
    </w:p>
    <w:p>
      <w:pPr>
        <w:spacing w:after="0" w:line="225" w:lineRule="exact"/>
        <w:rPr>
          <w:sz w:val="20"/>
          <w:szCs w:val="20"/>
          <w:color w:val="auto"/>
        </w:rPr>
      </w:pPr>
    </w:p>
    <w:p>
      <w:pPr>
        <w:jc w:val="both"/>
        <w:ind w:left="4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Significant disruptions of information technology systems, breaches of data security, or unauthorized disclosures of sensitive data or personally identifiable information or individually identifiable health information could adversely affect our business, and could subject us to liability or reputational damage.</w:t>
      </w:r>
    </w:p>
    <w:p>
      <w:pPr>
        <w:spacing w:after="0" w:line="175" w:lineRule="exact"/>
        <w:rPr>
          <w:sz w:val="20"/>
          <w:szCs w:val="20"/>
          <w:color w:val="auto"/>
        </w:rPr>
      </w:pPr>
    </w:p>
    <w:p>
      <w:pPr>
        <w:jc w:val="both"/>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Our business is increasingly dependent on critical, complex, and interdependent information technology (IT) systems, including Internet-based systems, some of which are managed or hosted by third parties, to support business processes as well as internal and external communications. The size and complexity of our IT systems make us potentially vulnerable to IT system breakdowns, malicious intrusion, and computer viruses, which may result in the impairment of our ability to operate our business effectively. In addition, having a significant portion of our employees work remotely due to the COVID-19 Pandemic can strain our information technology infrastructure, which may affect our ability to operate effectively, may make us more susceptible to communications disruptions, and expose us to greater cybersecurity risks.</w:t>
      </w:r>
    </w:p>
    <w:p>
      <w:pPr>
        <w:spacing w:after="0" w:line="189" w:lineRule="exact"/>
        <w:rPr>
          <w:sz w:val="20"/>
          <w:szCs w:val="20"/>
          <w:color w:val="auto"/>
        </w:rPr>
      </w:pPr>
    </w:p>
    <w:p>
      <w:pPr>
        <w:jc w:val="both"/>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We are continuously evaluating and, where appropriate, enhancing our IT systems to address our planned growth, including to support our planned manufacturing operations. There are inherent costs and risks associated with implementing the enhancements to our IT systems, including potential delays in access to, or errors in, critical business and financial information, substantial capital expenditures, additional administrative time and operating expenses, retention of sufficiently skilled personnel to implement and operate the enhanced systems, demands on management time, and costs of delays or difficulties in transitioning to the enhanced systems, any of which could harm our business and results of operations. In addition, the implementation of enhancements to our IT systems may not result in productivity improvements at a level that outweighs the costs of implementation, or at all. In addition, our systems and the systems of our third-party providers and collaborators are potentially vulnerable to data security breaches which may expose sensitive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6" w:name="page97"/>
    <w:bookmarkEnd w:id="96"/>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5" w:lineRule="auto"/>
        <w:rPr>
          <w:sz w:val="20"/>
          <w:szCs w:val="20"/>
          <w:color w:val="auto"/>
        </w:rPr>
      </w:pPr>
      <w:r>
        <w:rPr>
          <w:rFonts w:ascii="Times New Roman" w:cs="Times New Roman" w:eastAsia="Times New Roman" w:hAnsi="Times New Roman"/>
          <w:sz w:val="18"/>
          <w:szCs w:val="18"/>
          <w:color w:val="auto"/>
        </w:rPr>
        <w:t>data to unauthorized persons or to the public. Such data security breaches could lead to the loss of confidential information, trade secrets or other intellectual property, could lead to the public exposure of personal information (including personally identifiable information or individually identifiable health information) of our employees, clinical trial patients, customers, business partners, and others, could lead to potential identity theft, or could lead to reputational harm. Data security breaches could also result in loss of clinical trial data or damage to the integrity of that data. In addition, the increased use of social media by our employees and contractors could result in inadvertent disclosure of sensitive data or personal information, including but not limited to, confidential information, trade secrets and other intellectual property.</w:t>
      </w:r>
    </w:p>
    <w:p>
      <w:pPr>
        <w:spacing w:after="0" w:line="189" w:lineRule="exact"/>
        <w:rPr>
          <w:sz w:val="20"/>
          <w:szCs w:val="20"/>
          <w:color w:val="auto"/>
        </w:rPr>
      </w:pPr>
    </w:p>
    <w:p>
      <w:pPr>
        <w:jc w:val="both"/>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Any such disruption or security breach, as well as any action by us or our employees or contractors that might be inconsistent with the rapidly evolving data privacy and security laws and regulations applicable within the United States and elsewhere where we conduct business, could result in enforcement actions by U.S. states, the U.S. Federal government or foreign governments, liability or sanctions under data privacy laws, including healthcare laws such as HIPAA, that protect certain types of sensitive information, regulatory penalties, other legal proceedings such as but not limited to private litigation, the incurrence of significant remediation costs, disruptions to our development programs, business operations and collaborations, diversion of management efforts and damage to our reputation, which could harm our business and operations. Because of the rapidly moving nature of technology and the increasing sophistication of cybersecurity threats, our measures to prevent, respond to and minimize such risks may be unsuccessful.</w:t>
      </w:r>
    </w:p>
    <w:p>
      <w:pPr>
        <w:spacing w:after="0" w:line="188" w:lineRule="exact"/>
        <w:rPr>
          <w:sz w:val="20"/>
          <w:szCs w:val="20"/>
          <w:color w:val="auto"/>
        </w:rPr>
      </w:pPr>
    </w:p>
    <w:p>
      <w:pPr>
        <w:jc w:val="both"/>
        <w:ind w:left="40" w:right="59" w:firstLine="648"/>
        <w:spacing w:after="0" w:line="252" w:lineRule="auto"/>
        <w:rPr>
          <w:sz w:val="20"/>
          <w:szCs w:val="20"/>
          <w:color w:val="auto"/>
        </w:rPr>
      </w:pPr>
      <w:r>
        <w:rPr>
          <w:rFonts w:ascii="Times New Roman" w:cs="Times New Roman" w:eastAsia="Times New Roman" w:hAnsi="Times New Roman"/>
          <w:sz w:val="18"/>
          <w:szCs w:val="18"/>
          <w:color w:val="auto"/>
        </w:rPr>
        <w:t>In addition, the European Parliament and the Council of the European Union has adopted a comprehensive general data privacy regulation, known as the GDPR, which governs the collection and use of personal data in the European Union.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 party processors in connection with the processing of the personal data. The GDPR also imposes strict rules on the transfer of personal data out of the European Union to the United States, provides an enforcement authority and imposes large penalties for noncompliance, including the potential for fines of up to €20 million or 4% of the annual global revenues of the infringer, whichever is greater. Moreover, the European Court of Justice in July 2020 invalidated the Privacy Shield framework that had been in place between the EU and the U.S., which invalidation has created uncertainty about how data can now be shared in a compliant manner. Additionally, the California Consumer Privacy Act (CCPA), effective January 1, 2020, requires, among other things, provision of new disclosures to California consumers, gives such consumers new abilities to opt-out of certain sales of personal information, and affords a private right of action to such consumers if certain data breaches result in the loss or theft of their personal information. The GDPR, CCPA and other similar laws or regulations enacted in the United States or other jurisdictions associated with the enhanced protection of certain types of sensitive data, including healthcare data or other personal information, may increase our costs of doing business, and the differing requirements of these laws and regulations can complicate our compliance efforts.</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Increasing use of social media could give rise to liability, breaches of data security, or reputational damage.</w:t>
      </w:r>
    </w:p>
    <w:p>
      <w:pPr>
        <w:spacing w:after="0" w:line="229" w:lineRule="exact"/>
        <w:rPr>
          <w:sz w:val="20"/>
          <w:szCs w:val="20"/>
          <w:color w:val="auto"/>
        </w:rPr>
      </w:pPr>
    </w:p>
    <w:p>
      <w:pPr>
        <w:jc w:val="both"/>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We and our employees are increasingly utilizing social media tools as a means of communication both internally and externally. Despite our efforts to monitor evolving social media communication guidelines and comply with applicable rules, there is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8340" w:type="dxa"/>
            <w:vAlign w:val="bottom"/>
            <w:gridSpan w:val="8"/>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300" w:type="dxa"/>
            <w:vAlign w:val="bottom"/>
            <w:gridSpan w:val="4"/>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530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780" w:type="dxa"/>
            <w:vAlign w:val="bottom"/>
            <w:tcBorders>
              <w:bottom w:val="single" w:sz="8" w:color="0000EE"/>
            </w:tcBorders>
            <w:gridSpan w:val="6"/>
          </w:tcPr>
          <w:p>
            <w:pPr>
              <w:spacing w:after="0" w:line="169" w:lineRule="exact"/>
              <w:rPr>
                <w:rFonts w:ascii="Times New Roman" w:cs="Times New Roman" w:eastAsia="Times New Roman" w:hAnsi="Times New Roman"/>
                <w:sz w:val="18"/>
                <w:szCs w:val="18"/>
                <w:color w:val="0000EE"/>
              </w:rPr>
            </w:pPr>
            <w:hyperlink w:anchor="page100">
              <w:r>
                <w:rPr>
                  <w:rFonts w:ascii="Times New Roman" w:cs="Times New Roman" w:eastAsia="Times New Roman" w:hAnsi="Times New Roman"/>
                  <w:sz w:val="18"/>
                  <w:szCs w:val="18"/>
                  <w:color w:val="0000EE"/>
                </w:rPr>
                <w:t>Form of Global Stock Option Agreement for Executive Officers under the Incyte Corporation Amended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780" w:type="dxa"/>
            <w:vAlign w:val="bottom"/>
            <w:gridSpan w:val="6"/>
          </w:tcPr>
          <w:p>
            <w:pPr>
              <w:spacing w:after="0" w:line="196" w:lineRule="exact"/>
              <w:rPr>
                <w:rFonts w:ascii="Times New Roman" w:cs="Times New Roman" w:eastAsia="Times New Roman" w:hAnsi="Times New Roman"/>
                <w:sz w:val="18"/>
                <w:szCs w:val="18"/>
                <w:color w:val="0000EE"/>
              </w:rPr>
            </w:pPr>
            <w:hyperlink w:anchor="page100">
              <w:r>
                <w:rPr>
                  <w:rFonts w:ascii="Times New Roman" w:cs="Times New Roman" w:eastAsia="Times New Roman" w:hAnsi="Times New Roman"/>
                  <w:sz w:val="18"/>
                  <w:szCs w:val="18"/>
                  <w:color w:val="0000EE"/>
                </w:rPr>
                <w:t>and Restated 2010 Stock Incentive Plan, as amended.</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780" w:type="dxa"/>
            <w:vAlign w:val="bottom"/>
            <w:gridSpan w:val="6"/>
          </w:tcPr>
          <w:p>
            <w:pPr>
              <w:spacing w:after="0"/>
              <w:rPr>
                <w:rFonts w:ascii="Times New Roman" w:cs="Times New Roman" w:eastAsia="Times New Roman" w:hAnsi="Times New Roman"/>
                <w:sz w:val="18"/>
                <w:szCs w:val="18"/>
                <w:color w:val="0000EE"/>
              </w:rPr>
            </w:pPr>
            <w:hyperlink w:anchor="page110">
              <w:r>
                <w:rPr>
                  <w:rFonts w:ascii="Times New Roman" w:cs="Times New Roman" w:eastAsia="Times New Roman" w:hAnsi="Times New Roman"/>
                  <w:sz w:val="18"/>
                  <w:szCs w:val="18"/>
                  <w:color w:val="0000EE"/>
                </w:rPr>
                <w:t>Form of Global Restricted Stock Unit Award Agreement under the Incyte Corporation Amended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76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110">
              <w:r>
                <w:rPr>
                  <w:rFonts w:ascii="Times New Roman" w:cs="Times New Roman" w:eastAsia="Times New Roman" w:hAnsi="Times New Roman"/>
                  <w:sz w:val="18"/>
                  <w:szCs w:val="18"/>
                  <w:color w:val="0000EE"/>
                </w:rPr>
                <w:t>Restated 2010 Stock Incentive Plan, as amended.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7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rPr>
            </w:pPr>
            <w:hyperlink w:anchor="page118">
              <w:r>
                <w:rPr>
                  <w:rFonts w:ascii="Times New Roman" w:cs="Times New Roman" w:eastAsia="Times New Roman" w:hAnsi="Times New Roman"/>
                  <w:sz w:val="18"/>
                  <w:szCs w:val="18"/>
                  <w:color w:val="0000EE"/>
                </w:rPr>
                <w:t>Form of Performance Share Award Agreement under the Incyte Corporation Amended and Restated 2010</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118">
              <w:r>
                <w:rPr>
                  <w:rFonts w:ascii="Times New Roman" w:cs="Times New Roman" w:eastAsia="Times New Roman" w:hAnsi="Times New Roman"/>
                  <w:sz w:val="18"/>
                  <w:szCs w:val="18"/>
                  <w:color w:val="0000EE"/>
                  <w:w w:val="99"/>
                </w:rPr>
                <w:t>Stock Incentive Plan, as amended.</w:t>
              </w:r>
            </w:hyperlink>
          </w:p>
        </w:tc>
        <w:tc>
          <w:tcPr>
            <w:tcW w:w="53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780" w:type="dxa"/>
            <w:vAlign w:val="bottom"/>
            <w:gridSpan w:val="6"/>
          </w:tcPr>
          <w:p>
            <w:pPr>
              <w:spacing w:after="0"/>
              <w:rPr>
                <w:rFonts w:ascii="Times New Roman" w:cs="Times New Roman" w:eastAsia="Times New Roman" w:hAnsi="Times New Roman"/>
                <w:sz w:val="18"/>
                <w:szCs w:val="18"/>
                <w:u w:val="single" w:color="auto"/>
                <w:color w:val="0000EE"/>
              </w:rPr>
            </w:pPr>
            <w:hyperlink w:anchor="page125">
              <w:r>
                <w:rPr>
                  <w:rFonts w:ascii="Times New Roman" w:cs="Times New Roman" w:eastAsia="Times New Roman" w:hAnsi="Times New Roman"/>
                  <w:sz w:val="18"/>
                  <w:szCs w:val="18"/>
                  <w:u w:val="single" w:color="auto"/>
                  <w:color w:val="0000EE"/>
                </w:rPr>
                <w:t>Rule 13a-14(a) Certification of Chief Executive Officer</w:t>
              </w:r>
            </w:hyperlink>
          </w:p>
        </w:tc>
        <w:tc>
          <w:tcPr>
            <w:tcW w:w="0" w:type="dxa"/>
            <w:vAlign w:val="bottom"/>
          </w:tcPr>
          <w:p>
            <w:pPr>
              <w:spacing w:after="0"/>
              <w:rPr>
                <w:sz w:val="1"/>
                <w:szCs w:val="1"/>
                <w:color w:val="auto"/>
              </w:rPr>
            </w:pPr>
          </w:p>
        </w:tc>
      </w:tr>
      <w:tr>
        <w:trPr>
          <w:trHeight w:val="432"/>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780" w:type="dxa"/>
            <w:vAlign w:val="bottom"/>
            <w:gridSpan w:val="6"/>
          </w:tcPr>
          <w:p>
            <w:pPr>
              <w:spacing w:after="0"/>
              <w:rPr>
                <w:rFonts w:ascii="Times New Roman" w:cs="Times New Roman" w:eastAsia="Times New Roman" w:hAnsi="Times New Roman"/>
                <w:sz w:val="18"/>
                <w:szCs w:val="18"/>
                <w:u w:val="single" w:color="auto"/>
                <w:color w:val="0000EE"/>
              </w:rPr>
            </w:pPr>
            <w:hyperlink w:anchor="page126">
              <w:r>
                <w:rPr>
                  <w:rFonts w:ascii="Times New Roman" w:cs="Times New Roman" w:eastAsia="Times New Roman" w:hAnsi="Times New Roman"/>
                  <w:sz w:val="18"/>
                  <w:szCs w:val="18"/>
                  <w:u w:val="single" w:color="auto"/>
                  <w:color w:val="0000EE"/>
                </w:rPr>
                <w:t>Rule 13a-14(a) Certification of Chief Financial Officer</w:t>
              </w:r>
            </w:hyperlink>
          </w:p>
        </w:tc>
        <w:tc>
          <w:tcPr>
            <w:tcW w:w="0" w:type="dxa"/>
            <w:vAlign w:val="bottom"/>
          </w:tcPr>
          <w:p>
            <w:pPr>
              <w:spacing w:after="0"/>
              <w:rPr>
                <w:sz w:val="1"/>
                <w:szCs w:val="1"/>
                <w:color w:val="auto"/>
              </w:rPr>
            </w:pPr>
          </w:p>
        </w:tc>
      </w:tr>
      <w:tr>
        <w:trPr>
          <w:trHeight w:val="392"/>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32.1**</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7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rPr>
            </w:pPr>
            <w:hyperlink w:anchor="page127">
              <w:r>
                <w:rPr>
                  <w:rFonts w:ascii="Times New Roman" w:cs="Times New Roman" w:eastAsia="Times New Roman" w:hAnsi="Times New Roman"/>
                  <w:sz w:val="18"/>
                  <w:szCs w:val="18"/>
                  <w:color w:val="0000EE"/>
                </w:rPr>
                <w:t>Statement of the Chief Executive Officer under Section 906 of the Sarbanes-Oxley Act of 2002 (18 U.S.C.</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780" w:type="dxa"/>
            <w:vAlign w:val="bottom"/>
            <w:gridSpan w:val="6"/>
          </w:tcPr>
          <w:p>
            <w:pPr>
              <w:spacing w:after="0" w:line="196" w:lineRule="exact"/>
              <w:rPr>
                <w:rFonts w:ascii="Times New Roman" w:cs="Times New Roman" w:eastAsia="Times New Roman" w:hAnsi="Times New Roman"/>
                <w:sz w:val="18"/>
                <w:szCs w:val="18"/>
                <w:color w:val="0000EE"/>
              </w:rPr>
            </w:pPr>
            <w:hyperlink w:anchor="page127">
              <w:r>
                <w:rPr>
                  <w:rFonts w:ascii="Times New Roman" w:cs="Times New Roman" w:eastAsia="Times New Roman" w:hAnsi="Times New Roman"/>
                  <w:sz w:val="18"/>
                  <w:szCs w:val="18"/>
                  <w:color w:val="0000EE"/>
                </w:rPr>
                <w:t>Section 1350)</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7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32.2**</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7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rPr>
            </w:pPr>
            <w:hyperlink w:anchor="page128">
              <w:r>
                <w:rPr>
                  <w:rFonts w:ascii="Times New Roman" w:cs="Times New Roman" w:eastAsia="Times New Roman" w:hAnsi="Times New Roman"/>
                  <w:sz w:val="18"/>
                  <w:szCs w:val="18"/>
                  <w:color w:val="0000EE"/>
                </w:rPr>
                <w:t>Statement of the Chief Financial Officer under Section 906 of the Sarbanes-Oxley Act of 2002 (18 U.S.C.</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780" w:type="dxa"/>
            <w:vAlign w:val="bottom"/>
            <w:gridSpan w:val="6"/>
          </w:tcPr>
          <w:p>
            <w:pPr>
              <w:spacing w:after="0" w:line="196" w:lineRule="exact"/>
              <w:rPr>
                <w:rFonts w:ascii="Times New Roman" w:cs="Times New Roman" w:eastAsia="Times New Roman" w:hAnsi="Times New Roman"/>
                <w:sz w:val="18"/>
                <w:szCs w:val="18"/>
                <w:color w:val="0000EE"/>
              </w:rPr>
            </w:pPr>
            <w:hyperlink w:anchor="page128">
              <w:r>
                <w:rPr>
                  <w:rFonts w:ascii="Times New Roman" w:cs="Times New Roman" w:eastAsia="Times New Roman" w:hAnsi="Times New Roman"/>
                  <w:sz w:val="18"/>
                  <w:szCs w:val="18"/>
                  <w:color w:val="0000EE"/>
                </w:rPr>
                <w:t>Section 1350)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1180" w:right="59" w:hanging="1131"/>
        <w:spacing w:after="0" w:line="282" w:lineRule="auto"/>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XBRL Instance - the instance document does not appear in the Interactive Data File because its XBRL tags are embedded within the Inline XBRL document</w:t>
      </w:r>
    </w:p>
    <w:p>
      <w:pPr>
        <w:sectPr>
          <w:pgSz w:w="11900" w:h="16838" w:orient="portrait"/>
          <w:cols w:equalWidth="0" w:num="1">
            <w:col w:w="9019"/>
          </w:cols>
          <w:pgMar w:left="1440" w:top="513" w:right="1440" w:bottom="1440" w:gutter="0" w:footer="0" w:header="0"/>
        </w:sectPr>
      </w:pP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101.INS*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XBRL Instance Document</w:t>
      </w:r>
    </w:p>
    <w:p>
      <w:pPr>
        <w:spacing w:after="0" w:line="211" w:lineRule="exact"/>
        <w:rPr>
          <w:sz w:val="20"/>
          <w:szCs w:val="20"/>
          <w:color w:val="auto"/>
        </w:rPr>
      </w:pPr>
    </w:p>
    <w:p>
      <w:pPr>
        <w:sectPr>
          <w:pgSz w:w="11900" w:h="16838" w:orient="portrait"/>
          <w:cols w:equalWidth="0" w:num="2">
            <w:col w:w="740" w:space="440"/>
            <w:col w:w="7839"/>
          </w:cols>
          <w:pgMar w:left="1440" w:top="513" w:right="1440" w:bottom="1440" w:gutter="0" w:footer="0" w:header="0"/>
          <w:type w:val="continuous"/>
        </w:sectPr>
      </w:pP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101.SCH*</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XBRL Taxonomy Extension Schema Document</w:t>
      </w:r>
    </w:p>
    <w:p>
      <w:pPr>
        <w:spacing w:after="0" w:line="211" w:lineRule="exact"/>
        <w:rPr>
          <w:sz w:val="20"/>
          <w:szCs w:val="20"/>
          <w:color w:val="auto"/>
        </w:rPr>
      </w:pPr>
    </w:p>
    <w:p>
      <w:pPr>
        <w:sectPr>
          <w:pgSz w:w="11900" w:h="16838" w:orient="portrait"/>
          <w:cols w:equalWidth="0" w:num="2">
            <w:col w:w="800" w:space="380"/>
            <w:col w:w="7839"/>
          </w:cols>
          <w:pgMar w:left="1440" w:top="513" w:right="1440" w:bottom="1440" w:gutter="0" w:footer="0" w:header="0"/>
          <w:type w:val="continuous"/>
        </w:sectPr>
      </w:pP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101.CAL*</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XBRL Taxonomy Extension Calculation Linkbase Document</w:t>
      </w:r>
    </w:p>
    <w:p>
      <w:pPr>
        <w:spacing w:after="0" w:line="211" w:lineRule="exact"/>
        <w:rPr>
          <w:sz w:val="20"/>
          <w:szCs w:val="20"/>
          <w:color w:val="auto"/>
        </w:rPr>
      </w:pPr>
    </w:p>
    <w:p>
      <w:pPr>
        <w:sectPr>
          <w:pgSz w:w="11900" w:h="16838" w:orient="portrait"/>
          <w:cols w:equalWidth="0" w:num="2">
            <w:col w:w="820" w:space="360"/>
            <w:col w:w="7839"/>
          </w:cols>
          <w:pgMar w:left="1440" w:top="513" w:right="1440" w:bottom="1440" w:gutter="0" w:footer="0" w:header="0"/>
          <w:type w:val="continuous"/>
        </w:sectPr>
      </w:pP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101.LAB*</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XBRL Taxonomy Extension Label Linkbase Document</w:t>
      </w:r>
    </w:p>
    <w:p>
      <w:pPr>
        <w:spacing w:after="0" w:line="211" w:lineRule="exact"/>
        <w:rPr>
          <w:sz w:val="20"/>
          <w:szCs w:val="20"/>
          <w:color w:val="auto"/>
        </w:rPr>
      </w:pPr>
    </w:p>
    <w:p>
      <w:pPr>
        <w:sectPr>
          <w:pgSz w:w="11900" w:h="16838" w:orient="portrait"/>
          <w:cols w:equalWidth="0" w:num="2">
            <w:col w:w="820" w:space="360"/>
            <w:col w:w="7839"/>
          </w:cols>
          <w:pgMar w:left="1440" w:top="513" w:right="1440" w:bottom="1440" w:gutter="0" w:footer="0" w:header="0"/>
          <w:type w:val="continuous"/>
        </w:sectPr>
      </w:pP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101.PRE*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XBRL Taxonomy Presentation Linkbase Document</w:t>
      </w:r>
    </w:p>
    <w:p>
      <w:pPr>
        <w:spacing w:after="0" w:line="211" w:lineRule="exact"/>
        <w:rPr>
          <w:sz w:val="20"/>
          <w:szCs w:val="20"/>
          <w:color w:val="auto"/>
        </w:rPr>
      </w:pPr>
    </w:p>
    <w:p>
      <w:pPr>
        <w:sectPr>
          <w:pgSz w:w="11900" w:h="16838" w:orient="portrait"/>
          <w:cols w:equalWidth="0" w:num="2">
            <w:col w:w="780" w:space="400"/>
            <w:col w:w="7839"/>
          </w:cols>
          <w:pgMar w:left="1440" w:top="513" w:right="1440" w:bottom="1440" w:gutter="0" w:footer="0" w:header="0"/>
          <w:type w:val="continuous"/>
        </w:sectPr>
      </w:pP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101.DEF*</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XBRL Taxonomy Definition Linkbase Document</w:t>
      </w:r>
    </w:p>
    <w:p>
      <w:pPr>
        <w:spacing w:after="0" w:line="211" w:lineRule="exact"/>
        <w:rPr>
          <w:sz w:val="20"/>
          <w:szCs w:val="20"/>
          <w:color w:val="auto"/>
        </w:rPr>
      </w:pPr>
    </w:p>
    <w:p>
      <w:pPr>
        <w:sectPr>
          <w:pgSz w:w="11900" w:h="16838" w:orient="portrait"/>
          <w:cols w:equalWidth="0" w:num="2">
            <w:col w:w="800" w:space="380"/>
            <w:col w:w="7839"/>
          </w:cols>
          <w:pgMar w:left="1440" w:top="513" w:right="1440" w:bottom="1440" w:gutter="0" w:footer="0" w:header="0"/>
          <w:type w:val="continuous"/>
        </w:sectPr>
      </w:pPr>
    </w:p>
    <w:p>
      <w:pPr>
        <w:spacing w:after="0" w:line="25" w:lineRule="exact"/>
        <w:rPr>
          <w:sz w:val="20"/>
          <w:szCs w:val="20"/>
          <w:color w:val="auto"/>
        </w:rPr>
      </w:pPr>
    </w:p>
    <w:p>
      <w:pPr>
        <w:ind w:left="40" w:right="2019" w:firstLine="9"/>
        <w:spacing w:after="0" w:line="500" w:lineRule="auto"/>
        <w:tabs>
          <w:tab w:leader="none" w:pos="1179"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spacing w:after="0" w:line="1" w:lineRule="exact"/>
        <w:rPr>
          <w:rFonts w:ascii="Times New Roman" w:cs="Times New Roman" w:eastAsia="Times New Roman" w:hAnsi="Times New Roman"/>
          <w:sz w:val="18"/>
          <w:szCs w:val="18"/>
          <w:color w:val="auto"/>
        </w:rPr>
      </w:pPr>
    </w:p>
    <w:p>
      <w:pPr>
        <w:jc w:val="both"/>
        <w:ind w:left="360" w:right="79" w:hanging="316"/>
        <w:spacing w:after="0" w:line="261" w:lineRule="auto"/>
        <w:tabs>
          <w:tab w:leader="none" w:pos="3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S-K and SEC Release No. 34-47986, the certifications furnished in Exhibits 32.1 and 32.2 hereto are deemed to accompany this Form 10-Q and will not be deemed “filed” for purposes of Section 18 of the Exchange Act. Such certifications will not be deemed to be incorporated by reference into any filing under the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-902335</wp:posOffset>
            </wp:positionV>
            <wp:extent cx="141414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60" w:lineRule="exact"/>
        <w:rPr>
          <w:sz w:val="20"/>
          <w:szCs w:val="20"/>
          <w:color w:val="auto"/>
        </w:rPr>
      </w:pPr>
    </w:p>
    <w:p>
      <w:pPr>
        <w:ind w:left="360" w:hanging="316"/>
        <w:spacing w:after="0"/>
        <w:tabs>
          <w:tab w:leader="none" w:pos="3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92"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8" w:name="page99"/>
    <w:bookmarkEnd w:id="98"/>
    <w:p>
      <w:pPr>
        <w:ind w:left="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40" w:right="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57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INCYTE CORPORATION</w:t>
            </w:r>
          </w:p>
        </w:tc>
      </w:tr>
      <w:tr>
        <w:trPr>
          <w:trHeight w:val="432"/>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5, 2020</w:t>
            </w:r>
          </w:p>
        </w:tc>
        <w:tc>
          <w:tcPr>
            <w:tcW w:w="57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By:  /s/ HERVÉ HOPPENOT</w:t>
            </w:r>
          </w:p>
        </w:tc>
      </w:tr>
      <w:tr>
        <w:trPr>
          <w:trHeight w:val="191"/>
        </w:trPr>
        <w:tc>
          <w:tcPr>
            <w:tcW w:w="3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Hervé Hoppenot</w:t>
            </w:r>
          </w:p>
        </w:tc>
      </w:tr>
      <w:tr>
        <w:trPr>
          <w:trHeight w:val="216"/>
        </w:trPr>
        <w:tc>
          <w:tcPr>
            <w:tcW w:w="3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3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5, 2020</w:t>
            </w:r>
          </w:p>
        </w:tc>
        <w:tc>
          <w:tcPr>
            <w:tcW w:w="57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By:  /s/ CHRISTIANA STAMOULIS</w:t>
            </w:r>
          </w:p>
        </w:tc>
      </w:tr>
      <w:tr>
        <w:trPr>
          <w:trHeight w:val="191"/>
        </w:trPr>
        <w:tc>
          <w:tcPr>
            <w:tcW w:w="3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Christiana Stamoulis</w:t>
            </w:r>
          </w:p>
        </w:tc>
      </w:tr>
      <w:tr>
        <w:trPr>
          <w:trHeight w:val="216"/>
        </w:trPr>
        <w:tc>
          <w:tcPr>
            <w:tcW w:w="3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176530</wp:posOffset>
            </wp:positionV>
            <wp:extent cx="6292215"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20" w:type="dxa"/>
            <w:vAlign w:val="bottom"/>
          </w:tcPr>
          <w:p>
            <w:pPr>
              <w:spacing w:after="0"/>
              <w:rPr>
                <w:sz w:val="22"/>
                <w:szCs w:val="22"/>
                <w:color w:val="auto"/>
              </w:rPr>
            </w:pPr>
          </w:p>
        </w:tc>
        <w:tc>
          <w:tcPr>
            <w:tcW w:w="206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9"/>
              </w:rPr>
              <w:t>Incyte Corporation</w:t>
            </w:r>
          </w:p>
        </w:tc>
        <w:tc>
          <w:tcPr>
            <w:tcW w:w="130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243"/>
        </w:trPr>
        <w:tc>
          <w:tcPr>
            <w:tcW w:w="45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Notice of Grant of Stock Options and Option</w:t>
            </w:r>
          </w:p>
        </w:tc>
        <w:tc>
          <w:tcPr>
            <w:tcW w:w="20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ID: [</w:t>
            </w:r>
          </w:p>
        </w:tc>
        <w:tc>
          <w:tcPr>
            <w:tcW w:w="1300" w:type="dxa"/>
            <w:vAlign w:val="bottom"/>
          </w:tcPr>
          <w:p>
            <w:pPr>
              <w:jc w:val="right"/>
              <w:ind w:right="1092"/>
              <w:spacing w:after="0" w:line="243" w:lineRule="exact"/>
              <w:rPr>
                <w:sz w:val="20"/>
                <w:szCs w:val="20"/>
                <w:color w:val="auto"/>
              </w:rPr>
            </w:pPr>
            <w:r>
              <w:rPr>
                <w:rFonts w:ascii="Times New Roman" w:cs="Times New Roman" w:eastAsia="Times New Roman" w:hAnsi="Times New Roman"/>
                <w:sz w:val="22"/>
                <w:szCs w:val="22"/>
                <w:b w:val="1"/>
                <w:bCs w:val="1"/>
                <w:color w:val="auto"/>
              </w:rPr>
              <w:t>]</w:t>
            </w:r>
          </w:p>
        </w:tc>
        <w:tc>
          <w:tcPr>
            <w:tcW w:w="2040" w:type="dxa"/>
            <w:vAlign w:val="bottom"/>
          </w:tcPr>
          <w:p>
            <w:pPr>
              <w:spacing w:after="0"/>
              <w:rPr>
                <w:sz w:val="21"/>
                <w:szCs w:val="21"/>
                <w:color w:val="auto"/>
              </w:rPr>
            </w:pPr>
          </w:p>
        </w:tc>
      </w:tr>
      <w:tr>
        <w:trPr>
          <w:trHeight w:val="247"/>
        </w:trPr>
        <w:tc>
          <w:tcPr>
            <w:tcW w:w="4520" w:type="dxa"/>
            <w:vAlign w:val="bottom"/>
          </w:tcPr>
          <w:p>
            <w:pPr>
              <w:ind w:left="120"/>
              <w:spacing w:after="0" w:line="247" w:lineRule="exact"/>
              <w:rPr>
                <w:sz w:val="20"/>
                <w:szCs w:val="20"/>
                <w:color w:val="auto"/>
              </w:rPr>
            </w:pPr>
            <w:r>
              <w:rPr>
                <w:rFonts w:ascii="Times New Roman" w:cs="Times New Roman" w:eastAsia="Times New Roman" w:hAnsi="Times New Roman"/>
                <w:sz w:val="22"/>
                <w:szCs w:val="22"/>
                <w:b w:val="1"/>
                <w:bCs w:val="1"/>
                <w:color w:val="auto"/>
              </w:rPr>
              <w:t>Agreement</w:t>
            </w:r>
          </w:p>
        </w:tc>
        <w:tc>
          <w:tcPr>
            <w:tcW w:w="3360" w:type="dxa"/>
            <w:vAlign w:val="bottom"/>
            <w:gridSpan w:val="2"/>
          </w:tcPr>
          <w:p>
            <w:pPr>
              <w:ind w:left="240"/>
              <w:spacing w:after="0" w:line="247" w:lineRule="exact"/>
              <w:rPr>
                <w:sz w:val="20"/>
                <w:szCs w:val="20"/>
                <w:color w:val="auto"/>
              </w:rPr>
            </w:pPr>
            <w:r>
              <w:rPr>
                <w:rFonts w:ascii="Times New Roman" w:cs="Times New Roman" w:eastAsia="Times New Roman" w:hAnsi="Times New Roman"/>
                <w:sz w:val="22"/>
                <w:szCs w:val="22"/>
                <w:color w:val="auto"/>
              </w:rPr>
              <w:t>1801 Augustine Cut-Off</w:t>
            </w:r>
          </w:p>
        </w:tc>
        <w:tc>
          <w:tcPr>
            <w:tcW w:w="2040" w:type="dxa"/>
            <w:vAlign w:val="bottom"/>
          </w:tcPr>
          <w:p>
            <w:pPr>
              <w:spacing w:after="0"/>
              <w:rPr>
                <w:sz w:val="21"/>
                <w:szCs w:val="21"/>
                <w:color w:val="auto"/>
              </w:rPr>
            </w:pPr>
          </w:p>
        </w:tc>
      </w:tr>
      <w:tr>
        <w:trPr>
          <w:trHeight w:val="282"/>
        </w:trPr>
        <w:tc>
          <w:tcPr>
            <w:tcW w:w="4520" w:type="dxa"/>
            <w:vAlign w:val="bottom"/>
          </w:tcPr>
          <w:p>
            <w:pPr>
              <w:spacing w:after="0"/>
              <w:rPr>
                <w:sz w:val="24"/>
                <w:szCs w:val="24"/>
                <w:color w:val="auto"/>
              </w:rPr>
            </w:pPr>
          </w:p>
        </w:tc>
        <w:tc>
          <w:tcPr>
            <w:tcW w:w="336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Wilmington, DE 19803</w:t>
            </w:r>
          </w:p>
        </w:tc>
        <w:tc>
          <w:tcPr>
            <w:tcW w:w="2040" w:type="dxa"/>
            <w:vAlign w:val="bottom"/>
          </w:tcPr>
          <w:p>
            <w:pPr>
              <w:spacing w:after="0"/>
              <w:rPr>
                <w:sz w:val="24"/>
                <w:szCs w:val="24"/>
                <w:color w:val="auto"/>
              </w:rPr>
            </w:pPr>
          </w:p>
        </w:tc>
      </w:tr>
      <w:tr>
        <w:trPr>
          <w:trHeight w:val="265"/>
        </w:trPr>
        <w:tc>
          <w:tcPr>
            <w:tcW w:w="452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tcPr>
          <w:p>
            <w:pPr>
              <w:spacing w:after="0"/>
              <w:rPr>
                <w:sz w:val="23"/>
                <w:szCs w:val="23"/>
                <w:color w:val="auto"/>
              </w:rPr>
            </w:pPr>
          </w:p>
        </w:tc>
      </w:tr>
      <w:tr>
        <w:trPr>
          <w:trHeight w:val="455"/>
        </w:trPr>
        <w:tc>
          <w:tcPr>
            <w:tcW w:w="452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[Optionee Name]</w:t>
            </w:r>
          </w:p>
        </w:tc>
        <w:tc>
          <w:tcPr>
            <w:tcW w:w="206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Option Number:</w:t>
            </w:r>
          </w:p>
        </w:tc>
        <w:tc>
          <w:tcPr>
            <w:tcW w:w="13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w:t>
            </w:r>
          </w:p>
        </w:tc>
        <w:tc>
          <w:tcPr>
            <w:tcW w:w="2040" w:type="dxa"/>
            <w:vAlign w:val="bottom"/>
          </w:tcPr>
          <w:p>
            <w:pPr>
              <w:jc w:val="right"/>
              <w:ind w:right="1832"/>
              <w:spacing w:after="0"/>
              <w:rPr>
                <w:sz w:val="20"/>
                <w:szCs w:val="20"/>
                <w:color w:val="auto"/>
              </w:rPr>
            </w:pPr>
            <w:r>
              <w:rPr>
                <w:rFonts w:ascii="Times New Roman" w:cs="Times New Roman" w:eastAsia="Times New Roman" w:hAnsi="Times New Roman"/>
                <w:sz w:val="22"/>
                <w:szCs w:val="22"/>
                <w:color w:val="auto"/>
              </w:rPr>
              <w:t>]</w:t>
            </w:r>
          </w:p>
        </w:tc>
      </w:tr>
      <w:tr>
        <w:trPr>
          <w:trHeight w:val="243"/>
        </w:trPr>
        <w:tc>
          <w:tcPr>
            <w:tcW w:w="45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[Optionee Address]</w:t>
            </w:r>
          </w:p>
        </w:tc>
        <w:tc>
          <w:tcPr>
            <w:tcW w:w="20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Plan:</w:t>
            </w:r>
          </w:p>
        </w:tc>
        <w:tc>
          <w:tcPr>
            <w:tcW w:w="130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b w:val="1"/>
                <w:bCs w:val="1"/>
                <w:color w:val="auto"/>
                <w:w w:val="99"/>
              </w:rPr>
              <w:t>2010</w:t>
            </w:r>
          </w:p>
        </w:tc>
        <w:tc>
          <w:tcPr>
            <w:tcW w:w="2040" w:type="dxa"/>
            <w:vAlign w:val="bottom"/>
          </w:tcPr>
          <w:p>
            <w:pPr>
              <w:spacing w:after="0"/>
              <w:rPr>
                <w:sz w:val="21"/>
                <w:szCs w:val="21"/>
                <w:color w:val="auto"/>
              </w:rPr>
            </w:pPr>
          </w:p>
        </w:tc>
      </w:tr>
      <w:tr>
        <w:trPr>
          <w:trHeight w:val="286"/>
        </w:trPr>
        <w:tc>
          <w:tcPr>
            <w:tcW w:w="4520" w:type="dxa"/>
            <w:vAlign w:val="bottom"/>
          </w:tcPr>
          <w:p>
            <w:pPr>
              <w:spacing w:after="0"/>
              <w:rPr>
                <w:sz w:val="24"/>
                <w:szCs w:val="24"/>
                <w:color w:val="auto"/>
              </w:rPr>
            </w:pPr>
          </w:p>
        </w:tc>
        <w:tc>
          <w:tcPr>
            <w:tcW w:w="206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ID:</w:t>
            </w:r>
          </w:p>
        </w:tc>
        <w:tc>
          <w:tcPr>
            <w:tcW w:w="13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w:t>
            </w:r>
          </w:p>
        </w:tc>
        <w:tc>
          <w:tcPr>
            <w:tcW w:w="2040" w:type="dxa"/>
            <w:vAlign w:val="bottom"/>
          </w:tcPr>
          <w:p>
            <w:pPr>
              <w:jc w:val="right"/>
              <w:ind w:right="1832"/>
              <w:spacing w:after="0"/>
              <w:rPr>
                <w:sz w:val="20"/>
                <w:szCs w:val="20"/>
                <w:color w:val="auto"/>
              </w:rPr>
            </w:pPr>
            <w:r>
              <w:rPr>
                <w:rFonts w:ascii="Times New Roman" w:cs="Times New Roman" w:eastAsia="Times New Roman" w:hAnsi="Times New Roman"/>
                <w:sz w:val="22"/>
                <w:szCs w:val="2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146685</wp:posOffset>
            </wp:positionV>
            <wp:extent cx="6292215"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120" w:right="780"/>
        <w:spacing w:after="0" w:line="258" w:lineRule="auto"/>
        <w:rPr>
          <w:sz w:val="20"/>
          <w:szCs w:val="20"/>
          <w:color w:val="auto"/>
        </w:rPr>
      </w:pPr>
      <w:r>
        <w:rPr>
          <w:rFonts w:ascii="Times New Roman" w:cs="Times New Roman" w:eastAsia="Times New Roman" w:hAnsi="Times New Roman"/>
          <w:sz w:val="22"/>
          <w:szCs w:val="22"/>
          <w:color w:val="auto"/>
        </w:rPr>
        <w:t>Effective &lt;Date&gt;, you have been granted [an Incentive/ a Nonstatutory] Stock Option Agreement to buy [______] shares of Incyte Corporation (Incyte) stock at $[______] per share.</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The total option price of the shares granted is $[_______].</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Shares in each period will become fully vested on the date shown.</w:t>
      </w:r>
    </w:p>
    <w:p>
      <w:pPr>
        <w:spacing w:after="0" w:line="209" w:lineRule="exact"/>
        <w:rPr>
          <w:sz w:val="20"/>
          <w:szCs w:val="20"/>
          <w:color w:val="auto"/>
        </w:rPr>
      </w:pPr>
    </w:p>
    <w:p>
      <w:pPr>
        <w:ind w:left="1060"/>
        <w:spacing w:after="0"/>
        <w:tabs>
          <w:tab w:leader="none" w:pos="3380" w:val="left"/>
          <w:tab w:leader="none" w:pos="5900" w:val="left"/>
          <w:tab w:leader="none" w:pos="8300" w:val="left"/>
        </w:tabs>
        <w:rPr>
          <w:sz w:val="20"/>
          <w:szCs w:val="20"/>
          <w:color w:val="auto"/>
        </w:rPr>
      </w:pPr>
      <w:r>
        <w:rPr>
          <w:rFonts w:ascii="Times New Roman" w:cs="Times New Roman" w:eastAsia="Times New Roman" w:hAnsi="Times New Roman"/>
          <w:sz w:val="22"/>
          <w:szCs w:val="22"/>
          <w:u w:val="single" w:color="auto"/>
          <w:color w:val="auto"/>
        </w:rPr>
        <w:t>Shares</w:t>
      </w:r>
      <w:r>
        <w:rPr>
          <w:sz w:val="20"/>
          <w:szCs w:val="20"/>
          <w:color w:val="auto"/>
        </w:rPr>
        <w:tab/>
      </w:r>
      <w:r>
        <w:rPr>
          <w:rFonts w:ascii="Times New Roman" w:cs="Times New Roman" w:eastAsia="Times New Roman" w:hAnsi="Times New Roman"/>
          <w:sz w:val="22"/>
          <w:szCs w:val="22"/>
          <w:u w:val="single" w:color="auto"/>
          <w:color w:val="auto"/>
        </w:rPr>
        <w:t>Vest Type</w:t>
      </w:r>
      <w:r>
        <w:rPr>
          <w:sz w:val="20"/>
          <w:szCs w:val="20"/>
          <w:color w:val="auto"/>
        </w:rPr>
        <w:tab/>
      </w:r>
      <w:r>
        <w:rPr>
          <w:rFonts w:ascii="Times New Roman" w:cs="Times New Roman" w:eastAsia="Times New Roman" w:hAnsi="Times New Roman"/>
          <w:sz w:val="22"/>
          <w:szCs w:val="22"/>
          <w:u w:val="single" w:color="auto"/>
          <w:color w:val="auto"/>
        </w:rPr>
        <w:t>Full Vest</w:t>
      </w:r>
      <w:r>
        <w:rPr>
          <w:sz w:val="20"/>
          <w:szCs w:val="20"/>
          <w:color w:val="auto"/>
        </w:rPr>
        <w:tab/>
      </w:r>
      <w:r>
        <w:rPr>
          <w:rFonts w:ascii="Times New Roman" w:cs="Times New Roman" w:eastAsia="Times New Roman" w:hAnsi="Times New Roman"/>
          <w:sz w:val="21"/>
          <w:szCs w:val="21"/>
          <w:u w:val="single" w:color="auto"/>
          <w:color w:val="auto"/>
        </w:rPr>
        <w:t>Expiration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628015</wp:posOffset>
            </wp:positionV>
            <wp:extent cx="6292215"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0" w:right="100"/>
        <w:spacing w:after="0" w:line="241" w:lineRule="auto"/>
        <w:rPr>
          <w:sz w:val="20"/>
          <w:szCs w:val="20"/>
          <w:color w:val="auto"/>
        </w:rPr>
      </w:pPr>
      <w:r>
        <w:rPr>
          <w:rFonts w:ascii="Times New Roman" w:cs="Times New Roman" w:eastAsia="Times New Roman" w:hAnsi="Times New Roman"/>
          <w:sz w:val="22"/>
          <w:szCs w:val="22"/>
          <w:color w:val="auto"/>
        </w:rPr>
        <w:t>You and Incyte agree that these options are granted under and governed by the terms and conditions of Incyte</w:t>
      </w:r>
      <w:r>
        <w:rPr>
          <w:rFonts w:ascii="Arial" w:cs="Arial" w:eastAsia="Arial" w:hAnsi="Arial"/>
          <w:sz w:val="22"/>
          <w:szCs w:val="22"/>
          <w:color w:val="auto"/>
        </w:rPr>
        <w:t>’</w:t>
      </w:r>
      <w:r>
        <w:rPr>
          <w:rFonts w:ascii="Times New Roman" w:cs="Times New Roman" w:eastAsia="Times New Roman" w:hAnsi="Times New Roman"/>
          <w:sz w:val="22"/>
          <w:szCs w:val="22"/>
          <w:color w:val="auto"/>
        </w:rPr>
        <w:t>s Amended and Restated 2010 Stock Incentive Plan and the Global Stock Option Agreement that can be reviewed by clicking the link provided above. By accepting this Notice, you are agreeing to all of those terms and conditions.</w:t>
      </w:r>
    </w:p>
    <w:p>
      <w:pPr>
        <w:spacing w:after="0" w:line="205" w:lineRule="exact"/>
        <w:rPr>
          <w:sz w:val="20"/>
          <w:szCs w:val="20"/>
          <w:color w:val="auto"/>
        </w:rPr>
      </w:pPr>
    </w:p>
    <w:p>
      <w:pPr>
        <w:jc w:val="both"/>
        <w:ind w:left="120" w:right="260"/>
        <w:spacing w:after="0" w:line="244" w:lineRule="auto"/>
        <w:rPr>
          <w:sz w:val="20"/>
          <w:szCs w:val="20"/>
          <w:color w:val="auto"/>
        </w:rPr>
      </w:pPr>
      <w:r>
        <w:rPr>
          <w:rFonts w:ascii="Times New Roman" w:cs="Times New Roman" w:eastAsia="Times New Roman" w:hAnsi="Times New Roman"/>
          <w:sz w:val="22"/>
          <w:szCs w:val="22"/>
          <w:color w:val="auto"/>
        </w:rPr>
        <w:t>When you accept this Notice, Incyte may email all documents related to the Plan or this award to you. Incyte may also deliver these documents by posting them on a website maintained by Incyte or by a third party under contract with Incyte. If Incyte posts these documents on a website, you will be notified.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144780</wp:posOffset>
            </wp:positionV>
            <wp:extent cx="6292215"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4" w:right="999" w:bottom="1440" w:gutter="0" w:footer="0" w:header="0"/>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INCYTE CORPORATION</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AMENDED AND RESTATED 2010 STOCK INCENTIVE PLAN:</w:t>
      </w: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GLOBAL [INCENTIVE/ NONSTATUTORY] STOCK OPTION AGREEMENT</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EXECUTIVE OFFICERS</w:t>
      </w:r>
    </w:p>
    <w:p>
      <w:pPr>
        <w:sectPr>
          <w:pgSz w:w="11900" w:h="16838" w:orient="portrait"/>
          <w:cols w:equalWidth="0" w:num="1">
            <w:col w:w="9720"/>
          </w:cols>
          <w:pgMar w:left="1080" w:top="864" w:right="1099" w:bottom="1440" w:gutter="0" w:footer="0" w:header="0"/>
        </w:sectPr>
      </w:pPr>
    </w:p>
    <w:p>
      <w:pPr>
        <w:spacing w:after="0" w:line="20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[Incentive/ Nonstatutory] Stock Option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[For incentive stock options] </w:t>
      </w:r>
      <w:r>
        <w:rPr>
          <w:rFonts w:ascii="Times New Roman" w:cs="Times New Roman" w:eastAsia="Times New Roman" w:hAnsi="Times New Roman"/>
          <w:sz w:val="22"/>
          <w:szCs w:val="22"/>
          <w:color w:val="auto"/>
        </w:rPr>
        <w:t>This option is intended to be an incentive stock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option under section 422 of the Internal Revenue Code and will be interpreted accordingly.</w:t>
      </w:r>
    </w:p>
    <w:p>
      <w:pPr>
        <w:spacing w:after="0" w:line="194" w:lineRule="exact"/>
        <w:rPr>
          <w:sz w:val="20"/>
          <w:szCs w:val="20"/>
          <w:color w:val="auto"/>
        </w:rPr>
      </w:pPr>
    </w:p>
    <w:p>
      <w:pPr>
        <w:sectPr>
          <w:pgSz w:w="11900" w:h="16838" w:orient="portrait"/>
          <w:cols w:equalWidth="0" w:num="2">
            <w:col w:w="1880" w:space="620"/>
            <w:col w:w="7220"/>
          </w:cols>
          <w:pgMar w:left="1080" w:top="864" w:right="1099" w:bottom="1440" w:gutter="0" w:footer="0" w:header="0"/>
          <w:type w:val="continuous"/>
        </w:sectPr>
      </w:pPr>
    </w:p>
    <w:p>
      <w:pPr>
        <w:ind w:left="2500"/>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[For nonstatutory stock options] </w:t>
      </w:r>
      <w:r>
        <w:rPr>
          <w:rFonts w:ascii="Times New Roman" w:cs="Times New Roman" w:eastAsia="Times New Roman" w:hAnsi="Times New Roman"/>
          <w:sz w:val="22"/>
          <w:szCs w:val="22"/>
          <w:color w:val="auto"/>
        </w:rPr>
        <w:t>This option is not intended to be an incentive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stock option under section 422 of the Internal Revenue Code.</w:t>
      </w:r>
    </w:p>
    <w:p>
      <w:pPr>
        <w:sectPr>
          <w:pgSz w:w="11900" w:h="16838" w:orient="portrait"/>
          <w:cols w:equalWidth="0" w:num="1">
            <w:col w:w="9720"/>
          </w:cols>
          <w:pgMar w:left="1080" w:top="864" w:right="1099" w:bottom="1440" w:gutter="0" w:footer="0" w:header="0"/>
          <w:type w:val="continuous"/>
        </w:sectPr>
      </w:pP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Vesting</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i w:val="1"/>
          <w:iCs w:val="1"/>
          <w:color w:val="auto"/>
        </w:rPr>
        <w:t xml:space="preserve">[Installment vesting] </w:t>
      </w:r>
      <w:r>
        <w:rPr>
          <w:rFonts w:ascii="Times New Roman" w:cs="Times New Roman" w:eastAsia="Times New Roman" w:hAnsi="Times New Roman"/>
          <w:sz w:val="22"/>
          <w:szCs w:val="22"/>
          <w:color w:val="auto"/>
        </w:rPr>
        <w:t>Your right to exercise this option vests in [37] installments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over a [4]-year period, as shown on the Notice of Grant of Stock Options (the “grant notice”). The first installment consists of [25]% of the total number of shares covered by this option. It becomes exercisable on the “full vest” date shown on the grant notice. Each of the subsequent installments consists of [2.08333]% of the total number of shares covered by this option. The subsequent installments become exercisable at the end of each of the [36] months following the full vest date of the first installment. The number of shares in each installment will be rounded to the nearest whole number. No additional shares subject to this option will vest after your service as an employee, director, consultant or advisor of Incyte (or any subsidiary) has terminated for any reason, except as provided below under “Change in Control.”</w:t>
      </w:r>
    </w:p>
    <w:p>
      <w:pPr>
        <w:spacing w:after="0" w:line="185" w:lineRule="exact"/>
        <w:rPr>
          <w:sz w:val="20"/>
          <w:szCs w:val="20"/>
          <w:color w:val="auto"/>
        </w:rPr>
      </w:pPr>
    </w:p>
    <w:p>
      <w:pPr>
        <w:sectPr>
          <w:pgSz w:w="11900" w:h="16838" w:orient="portrait"/>
          <w:cols w:equalWidth="0" w:num="2">
            <w:col w:w="1780" w:space="720"/>
            <w:col w:w="7220"/>
          </w:cols>
          <w:pgMar w:left="1080" w:top="864" w:right="1099" w:bottom="1440" w:gutter="0" w:footer="0" w:header="0"/>
          <w:type w:val="continuous"/>
        </w:sectPr>
      </w:pPr>
    </w:p>
    <w:p>
      <w:pPr>
        <w:jc w:val="both"/>
        <w:ind w:left="2500"/>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[Cliff vesting] </w:t>
      </w:r>
      <w:r>
        <w:rPr>
          <w:rFonts w:ascii="Times New Roman" w:cs="Times New Roman" w:eastAsia="Times New Roman" w:hAnsi="Times New Roman"/>
          <w:sz w:val="22"/>
          <w:szCs w:val="22"/>
          <w:color w:val="auto"/>
        </w:rPr>
        <w:t>Your right to exercise this option vests on a “cliff” basis over a [4]-year period, as shown on the Notice of Grant of Stock Options (the “grant notice”). The option vests and becomes exercisable in full on the [4th] anniversary of the Date of Grant, which is the “full vest” date shown on the grant notice. If your service with Incyte terminates for any reason prior to the full vest date, no portion of this option will vest or be exercisable, except as provided below under “Change in Control.”</w:t>
      </w:r>
    </w:p>
    <w:p>
      <w:pPr>
        <w:sectPr>
          <w:pgSz w:w="11900" w:h="16838" w:orient="portrait"/>
          <w:cols w:equalWidth="0" w:num="1">
            <w:col w:w="9720"/>
          </w:cols>
          <w:pgMar w:left="1080" w:top="864" w:right="1099" w:bottom="1440" w:gutter="0" w:footer="0" w:header="0"/>
          <w:type w:val="continuous"/>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Term</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Your option will expire in any event at the close of business at Incyte headquarters on the day before the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21"/>
          <w:szCs w:val="21"/>
          <w:color w:val="auto"/>
        </w:rPr>
        <w:t>] anniversary of the Date of Grant, as shown on the grant notice. (It will expire earlier if your service terminates, as described below.)</w:t>
      </w:r>
    </w:p>
    <w:p>
      <w:pPr>
        <w:spacing w:after="0" w:line="180" w:lineRule="exact"/>
        <w:rPr>
          <w:sz w:val="20"/>
          <w:szCs w:val="20"/>
          <w:color w:val="auto"/>
        </w:rPr>
      </w:pPr>
    </w:p>
    <w:p>
      <w:pPr>
        <w:sectPr>
          <w:pgSz w:w="11900" w:h="16838" w:orient="portrait"/>
          <w:cols w:equalWidth="0" w:num="2">
            <w:col w:w="1780" w:space="720"/>
            <w:col w:w="7220"/>
          </w:cols>
          <w:pgMar w:left="1080" w:top="864" w:right="1099" w:bottom="1440" w:gutter="0" w:footer="0" w:header="0"/>
          <w:type w:val="continuous"/>
        </w:sectPr>
      </w:pPr>
    </w:p>
    <w:p>
      <w:pPr>
        <w:spacing w:after="0"/>
        <w:tabs>
          <w:tab w:leader="none" w:pos="2480" w:val="left"/>
        </w:tabs>
        <w:rPr>
          <w:sz w:val="20"/>
          <w:szCs w:val="20"/>
          <w:color w:val="auto"/>
        </w:rPr>
      </w:pPr>
      <w:r>
        <w:rPr>
          <w:rFonts w:ascii="Times New Roman" w:cs="Times New Roman" w:eastAsia="Times New Roman" w:hAnsi="Times New Roman"/>
          <w:sz w:val="22"/>
          <w:szCs w:val="22"/>
          <w:b w:val="1"/>
          <w:bCs w:val="1"/>
          <w:color w:val="auto"/>
        </w:rPr>
        <w:t>Regular Termination or</w:t>
      </w:r>
      <w:r>
        <w:rPr>
          <w:sz w:val="20"/>
          <w:szCs w:val="20"/>
          <w:color w:val="auto"/>
        </w:rPr>
        <w:tab/>
      </w:r>
      <w:r>
        <w:rPr>
          <w:rFonts w:ascii="Times New Roman" w:cs="Times New Roman" w:eastAsia="Times New Roman" w:hAnsi="Times New Roman"/>
          <w:sz w:val="22"/>
          <w:szCs w:val="22"/>
          <w:color w:val="auto"/>
        </w:rPr>
        <w:t>If your service as an executive officer or director of Incyte terminates for any</w:t>
      </w:r>
    </w:p>
    <w:p>
      <w:pPr>
        <w:sectPr>
          <w:pgSz w:w="11900" w:h="16838" w:orient="portrait"/>
          <w:cols w:equalWidth="0" w:num="1">
            <w:col w:w="9720"/>
          </w:cols>
          <w:pgMar w:left="1080" w:top="864" w:right="109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Disability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reason other than death, your option will expire at the close of business at Incyte headquarters on whichever of the following dates applies to you:</w:t>
      </w:r>
    </w:p>
    <w:p>
      <w:pPr>
        <w:spacing w:after="0" w:line="200" w:lineRule="exact"/>
        <w:rPr>
          <w:sz w:val="20"/>
          <w:szCs w:val="20"/>
          <w:color w:val="auto"/>
        </w:rPr>
      </w:pPr>
    </w:p>
    <w:p>
      <w:pPr>
        <w:sectPr>
          <w:pgSz w:w="11900" w:h="16838" w:orient="portrait"/>
          <w:cols w:equalWidth="0" w:num="2">
            <w:col w:w="1780" w:space="720"/>
            <w:col w:w="7220"/>
          </w:cols>
          <w:pgMar w:left="1080" w:top="864"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353695</wp:posOffset>
            </wp:positionV>
            <wp:extent cx="629221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20"/>
          </w:cols>
          <w:pgMar w:left="1080" w:top="864" w:right="1099" w:bottom="1440" w:gutter="0" w:footer="0" w:header="0"/>
          <w:type w:val="continuous"/>
        </w:sectPr>
      </w:pPr>
    </w:p>
    <w:bookmarkStart w:id="101" w:name="page102"/>
    <w:bookmarkEnd w:id="101"/>
    <w:p>
      <w:pPr>
        <w:ind w:left="2780" w:right="20" w:hanging="325"/>
        <w:spacing w:after="0" w:line="258" w:lineRule="auto"/>
        <w:tabs>
          <w:tab w:leader="none" w:pos="27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24 months after your service terminates, if the termination occurs because of your total and permanent disability (as defined below);</w:t>
      </w:r>
    </w:p>
    <w:p>
      <w:pPr>
        <w:spacing w:after="0" w:line="50" w:lineRule="exact"/>
        <w:rPr>
          <w:rFonts w:ascii="Times New Roman" w:cs="Times New Roman" w:eastAsia="Times New Roman" w:hAnsi="Times New Roman"/>
          <w:sz w:val="22"/>
          <w:szCs w:val="22"/>
          <w:color w:val="auto"/>
        </w:rPr>
      </w:pPr>
    </w:p>
    <w:p>
      <w:pPr>
        <w:jc w:val="both"/>
        <w:ind w:left="2780" w:right="20" w:hanging="325"/>
        <w:spacing w:after="0" w:line="239" w:lineRule="auto"/>
        <w:tabs>
          <w:tab w:leader="none" w:pos="27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 months after your service terminates, if the termination occurs because of your retirement as an employee of Incyte after you have reached a combined age and years of service totaling 75 and have completed at least 15 years of service as an employee of Incyte (“full retirement”); or</w:t>
      </w:r>
    </w:p>
    <w:p>
      <w:pPr>
        <w:spacing w:after="0" w:line="180" w:lineRule="exact"/>
        <w:rPr>
          <w:rFonts w:ascii="Times New Roman" w:cs="Times New Roman" w:eastAsia="Times New Roman" w:hAnsi="Times New Roman"/>
          <w:sz w:val="22"/>
          <w:szCs w:val="22"/>
          <w:color w:val="auto"/>
        </w:rPr>
      </w:pPr>
    </w:p>
    <w:p>
      <w:pPr>
        <w:jc w:val="both"/>
        <w:ind w:left="2780" w:right="20" w:hanging="325"/>
        <w:spacing w:after="0" w:line="244" w:lineRule="auto"/>
        <w:tabs>
          <w:tab w:leader="none" w:pos="27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90 days after your service terminates, if the termination occurs because of any reason other than your total and permanent disability, full retirement or death.</w:t>
      </w:r>
    </w:p>
    <w:p>
      <w:pPr>
        <w:spacing w:after="0" w:line="65" w:lineRule="exact"/>
        <w:rPr>
          <w:sz w:val="20"/>
          <w:szCs w:val="20"/>
          <w:color w:val="auto"/>
        </w:rPr>
      </w:pPr>
    </w:p>
    <w:p>
      <w:pPr>
        <w:jc w:val="both"/>
        <w:ind w:left="2140"/>
        <w:spacing w:after="0" w:line="239" w:lineRule="auto"/>
        <w:rPr>
          <w:sz w:val="20"/>
          <w:szCs w:val="20"/>
          <w:color w:val="auto"/>
        </w:rPr>
      </w:pPr>
      <w:r>
        <w:rPr>
          <w:rFonts w:ascii="Times New Roman" w:cs="Times New Roman" w:eastAsia="Times New Roman" w:hAnsi="Times New Roman"/>
          <w:sz w:val="22"/>
          <w:szCs w:val="22"/>
          <w:color w:val="auto"/>
        </w:rPr>
        <w:t>If your service as an employee (other than as an executive officer), consultant or advisor of Incyte (or any subsidiary) terminates for any reason other than death, your option will expire at the close of business at Incyte headquarters on whichever of the following dates applies to you:</w:t>
      </w:r>
    </w:p>
    <w:p>
      <w:pPr>
        <w:spacing w:after="0" w:line="72" w:lineRule="exact"/>
        <w:rPr>
          <w:sz w:val="20"/>
          <w:szCs w:val="20"/>
          <w:color w:val="auto"/>
        </w:rPr>
      </w:pPr>
    </w:p>
    <w:p>
      <w:pPr>
        <w:ind w:left="2780" w:right="20" w:hanging="325"/>
        <w:spacing w:after="0" w:line="258" w:lineRule="auto"/>
        <w:tabs>
          <w:tab w:leader="none" w:pos="278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 months after your service terminates, if the termination occurs because of your total and permanent disability (as defined below); or</w:t>
      </w:r>
    </w:p>
    <w:p>
      <w:pPr>
        <w:spacing w:after="0" w:line="50" w:lineRule="exact"/>
        <w:rPr>
          <w:rFonts w:ascii="Times New Roman" w:cs="Times New Roman" w:eastAsia="Times New Roman" w:hAnsi="Times New Roman"/>
          <w:sz w:val="22"/>
          <w:szCs w:val="22"/>
          <w:color w:val="auto"/>
        </w:rPr>
      </w:pPr>
    </w:p>
    <w:p>
      <w:pPr>
        <w:jc w:val="both"/>
        <w:ind w:left="2780" w:hanging="325"/>
        <w:spacing w:after="0" w:line="234" w:lineRule="auto"/>
        <w:tabs>
          <w:tab w:leader="none" w:pos="278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90 days after your service terminates, if the termination occurs because of any reason other than your total and permanent disability or death. Notwithstanding the foregoing, if after full retirement (as defined above) as an executive officer or director, your service continues as an employee (other than an executive officer), consultant or advisor of Incyte or any of its subsidiaries, and such service terminates for any reason other than your total and permanent disability, or death, your option will expire at the later of 90 days after your service terminates or 12 months after your full retirement.</w:t>
      </w:r>
    </w:p>
    <w:p>
      <w:pPr>
        <w:spacing w:after="0" w:line="75" w:lineRule="exact"/>
        <w:rPr>
          <w:sz w:val="20"/>
          <w:szCs w:val="20"/>
          <w:color w:val="auto"/>
        </w:rPr>
      </w:pPr>
    </w:p>
    <w:p>
      <w:pPr>
        <w:jc w:val="both"/>
        <w:ind w:left="2140"/>
        <w:spacing w:after="0" w:line="239" w:lineRule="auto"/>
        <w:rPr>
          <w:sz w:val="20"/>
          <w:szCs w:val="20"/>
          <w:color w:val="auto"/>
        </w:rPr>
      </w:pPr>
      <w:r>
        <w:rPr>
          <w:rFonts w:ascii="Times New Roman" w:cs="Times New Roman" w:eastAsia="Times New Roman" w:hAnsi="Times New Roman"/>
          <w:sz w:val="22"/>
          <w:szCs w:val="22"/>
          <w:color w:val="auto"/>
        </w:rPr>
        <w:t>“Total and permanent disability” means that you are unable to engage in any substantial gainful activity by reason of any medically determinable physical or mental impairment which can be expected to result in death or which has lasted, or can be expected to last, for a continuous period of not less than one year.</w:t>
      </w:r>
    </w:p>
    <w:p>
      <w:pPr>
        <w:spacing w:after="0" w:line="207" w:lineRule="exact"/>
        <w:rPr>
          <w:sz w:val="20"/>
          <w:szCs w:val="20"/>
          <w:color w:val="auto"/>
        </w:rPr>
      </w:pPr>
    </w:p>
    <w:p>
      <w:pPr>
        <w:jc w:val="both"/>
        <w:ind w:left="2140"/>
        <w:spacing w:after="0" w:line="258" w:lineRule="auto"/>
        <w:rPr>
          <w:sz w:val="20"/>
          <w:szCs w:val="20"/>
          <w:color w:val="auto"/>
        </w:rPr>
      </w:pPr>
      <w:r>
        <w:rPr>
          <w:rFonts w:ascii="Times New Roman" w:cs="Times New Roman" w:eastAsia="Times New Roman" w:hAnsi="Times New Roman"/>
          <w:sz w:val="22"/>
          <w:szCs w:val="22"/>
          <w:color w:val="auto"/>
        </w:rPr>
        <w:t>Incyte determines when your service terminates for any purpose under this option award and the Plan.</w:t>
      </w:r>
    </w:p>
    <w:p>
      <w:pPr>
        <w:spacing w:after="0" w:line="181" w:lineRule="exact"/>
        <w:rPr>
          <w:sz w:val="20"/>
          <w:szCs w:val="20"/>
          <w:color w:val="auto"/>
        </w:rPr>
      </w:pPr>
    </w:p>
    <w:p>
      <w:pPr>
        <w:jc w:val="both"/>
        <w:ind w:left="2140"/>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[For incentive stock options only] </w:t>
      </w:r>
      <w:r>
        <w:rPr>
          <w:rFonts w:ascii="Times New Roman" w:cs="Times New Roman" w:eastAsia="Times New Roman" w:hAnsi="Times New Roman"/>
          <w:sz w:val="22"/>
          <w:szCs w:val="22"/>
          <w:color w:val="auto"/>
        </w:rPr>
        <w:t>If you exercise your options more than 1 year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after your service terminates due to total and permanent disability or 90 days after your service terminates due to full retirement, you should consult a tax advisor before exercising these options as such options may no longer qualify as incentive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360"/>
          </w:cols>
          <w:pgMar w:left="1440" w:top="868" w:right="109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53"/>
        </w:trPr>
        <w:tc>
          <w:tcPr>
            <w:tcW w:w="246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Death</w:t>
            </w:r>
          </w:p>
        </w:tc>
        <w:tc>
          <w:tcPr>
            <w:tcW w:w="7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If you die while serving as an executive officer or director of Incyte, then your</w:t>
            </w:r>
          </w:p>
        </w:tc>
      </w:tr>
      <w:tr>
        <w:trPr>
          <w:trHeight w:val="243"/>
        </w:trPr>
        <w:tc>
          <w:tcPr>
            <w:tcW w:w="2460" w:type="dxa"/>
            <w:vAlign w:val="bottom"/>
          </w:tcPr>
          <w:p>
            <w:pPr>
              <w:spacing w:after="0"/>
              <w:rPr>
                <w:sz w:val="21"/>
                <w:szCs w:val="21"/>
                <w:color w:val="auto"/>
              </w:rPr>
            </w:pPr>
          </w:p>
        </w:tc>
        <w:tc>
          <w:tcPr>
            <w:tcW w:w="7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option will expire at the close of business at Incyte headquarters on the date 24</w:t>
            </w:r>
          </w:p>
        </w:tc>
      </w:tr>
      <w:tr>
        <w:trPr>
          <w:trHeight w:val="243"/>
        </w:trPr>
        <w:tc>
          <w:tcPr>
            <w:tcW w:w="2460" w:type="dxa"/>
            <w:vAlign w:val="bottom"/>
          </w:tcPr>
          <w:p>
            <w:pPr>
              <w:spacing w:after="0"/>
              <w:rPr>
                <w:sz w:val="21"/>
                <w:szCs w:val="21"/>
                <w:color w:val="auto"/>
              </w:rPr>
            </w:pPr>
          </w:p>
        </w:tc>
        <w:tc>
          <w:tcPr>
            <w:tcW w:w="7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months after the date of death.  During that 24-month period, your estate or heirs</w:t>
            </w:r>
          </w:p>
        </w:tc>
      </w:tr>
      <w:tr>
        <w:trPr>
          <w:trHeight w:val="282"/>
        </w:trPr>
        <w:tc>
          <w:tcPr>
            <w:tcW w:w="2460" w:type="dxa"/>
            <w:vAlign w:val="bottom"/>
          </w:tcPr>
          <w:p>
            <w:pPr>
              <w:spacing w:after="0"/>
              <w:rPr>
                <w:sz w:val="24"/>
                <w:szCs w:val="24"/>
                <w:color w:val="auto"/>
              </w:rPr>
            </w:pPr>
          </w:p>
        </w:tc>
        <w:tc>
          <w:tcPr>
            <w:tcW w:w="7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may exercise the vested portion of your option.</w:t>
            </w:r>
          </w:p>
        </w:tc>
      </w:tr>
      <w:tr>
        <w:trPr>
          <w:trHeight w:val="447"/>
        </w:trPr>
        <w:tc>
          <w:tcPr>
            <w:tcW w:w="2460" w:type="dxa"/>
            <w:vAlign w:val="bottom"/>
          </w:tcPr>
          <w:p>
            <w:pPr>
              <w:spacing w:after="0"/>
              <w:rPr>
                <w:sz w:val="24"/>
                <w:szCs w:val="24"/>
                <w:color w:val="auto"/>
              </w:rPr>
            </w:pPr>
          </w:p>
        </w:tc>
        <w:tc>
          <w:tcPr>
            <w:tcW w:w="7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If you die while serving as an employee (other than as an executive officer),</w:t>
            </w:r>
          </w:p>
        </w:tc>
      </w:tr>
      <w:tr>
        <w:trPr>
          <w:trHeight w:val="243"/>
        </w:trPr>
        <w:tc>
          <w:tcPr>
            <w:tcW w:w="2460" w:type="dxa"/>
            <w:vAlign w:val="bottom"/>
          </w:tcPr>
          <w:p>
            <w:pPr>
              <w:spacing w:after="0"/>
              <w:rPr>
                <w:sz w:val="21"/>
                <w:szCs w:val="21"/>
                <w:color w:val="auto"/>
              </w:rPr>
            </w:pPr>
          </w:p>
        </w:tc>
        <w:tc>
          <w:tcPr>
            <w:tcW w:w="7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consultant or advisor of Incyte (or any subsidiary), then your option will expire at</w:t>
            </w:r>
          </w:p>
        </w:tc>
      </w:tr>
      <w:tr>
        <w:trPr>
          <w:trHeight w:val="243"/>
        </w:trPr>
        <w:tc>
          <w:tcPr>
            <w:tcW w:w="2460" w:type="dxa"/>
            <w:vAlign w:val="bottom"/>
          </w:tcPr>
          <w:p>
            <w:pPr>
              <w:spacing w:after="0"/>
              <w:rPr>
                <w:sz w:val="21"/>
                <w:szCs w:val="21"/>
                <w:color w:val="auto"/>
              </w:rPr>
            </w:pPr>
          </w:p>
        </w:tc>
        <w:tc>
          <w:tcPr>
            <w:tcW w:w="7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the close of business at Incyte headquarters on the date 6 months after the date of</w:t>
            </w:r>
          </w:p>
        </w:tc>
      </w:tr>
      <w:tr>
        <w:trPr>
          <w:trHeight w:val="243"/>
        </w:trPr>
        <w:tc>
          <w:tcPr>
            <w:tcW w:w="2460" w:type="dxa"/>
            <w:vAlign w:val="bottom"/>
          </w:tcPr>
          <w:p>
            <w:pPr>
              <w:spacing w:after="0"/>
              <w:rPr>
                <w:sz w:val="21"/>
                <w:szCs w:val="21"/>
                <w:color w:val="auto"/>
              </w:rPr>
            </w:pPr>
          </w:p>
        </w:tc>
        <w:tc>
          <w:tcPr>
            <w:tcW w:w="7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death.  During that 6-month period, your estate or heirs may exercise the vested</w:t>
            </w:r>
          </w:p>
        </w:tc>
      </w:tr>
      <w:tr>
        <w:trPr>
          <w:trHeight w:val="282"/>
        </w:trPr>
        <w:tc>
          <w:tcPr>
            <w:tcW w:w="2460" w:type="dxa"/>
            <w:vAlign w:val="bottom"/>
          </w:tcPr>
          <w:p>
            <w:pPr>
              <w:spacing w:after="0"/>
              <w:rPr>
                <w:sz w:val="24"/>
                <w:szCs w:val="24"/>
                <w:color w:val="auto"/>
              </w:rPr>
            </w:pPr>
          </w:p>
        </w:tc>
        <w:tc>
          <w:tcPr>
            <w:tcW w:w="7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portion of your option.</w:t>
            </w:r>
          </w:p>
        </w:tc>
      </w:tr>
      <w:tr>
        <w:trPr>
          <w:trHeight w:val="443"/>
        </w:trPr>
        <w:tc>
          <w:tcPr>
            <w:tcW w:w="246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Leaves of Absence</w:t>
            </w:r>
          </w:p>
        </w:tc>
        <w:tc>
          <w:tcPr>
            <w:tcW w:w="7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For purposes of this option, your service does not terminate when you go on a</w:t>
            </w:r>
          </w:p>
        </w:tc>
      </w:tr>
      <w:tr>
        <w:trPr>
          <w:trHeight w:val="247"/>
        </w:trPr>
        <w:tc>
          <w:tcPr>
            <w:tcW w:w="2460" w:type="dxa"/>
            <w:vAlign w:val="bottom"/>
          </w:tcPr>
          <w:p>
            <w:pPr>
              <w:spacing w:after="0"/>
              <w:rPr>
                <w:sz w:val="21"/>
                <w:szCs w:val="21"/>
                <w:color w:val="auto"/>
              </w:rPr>
            </w:pPr>
          </w:p>
        </w:tc>
        <w:tc>
          <w:tcPr>
            <w:tcW w:w="7460" w:type="dxa"/>
            <w:vAlign w:val="bottom"/>
          </w:tcPr>
          <w:p>
            <w:pPr>
              <w:ind w:left="140"/>
              <w:spacing w:after="0" w:line="247" w:lineRule="exact"/>
              <w:rPr>
                <w:sz w:val="20"/>
                <w:szCs w:val="20"/>
                <w:color w:val="auto"/>
              </w:rPr>
            </w:pPr>
            <w:r>
              <w:rPr>
                <w:rFonts w:ascii="Times New Roman" w:cs="Times New Roman" w:eastAsia="Times New Roman" w:hAnsi="Times New Roman"/>
                <w:sz w:val="22"/>
                <w:szCs w:val="22"/>
                <w:color w:val="auto"/>
              </w:rPr>
              <w:t xml:space="preserve">military leave, a sick leave or another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leave of absence, if the leave was</w:t>
            </w:r>
          </w:p>
        </w:tc>
      </w:tr>
      <w:tr>
        <w:trPr>
          <w:trHeight w:val="243"/>
        </w:trPr>
        <w:tc>
          <w:tcPr>
            <w:tcW w:w="2460" w:type="dxa"/>
            <w:vAlign w:val="bottom"/>
          </w:tcPr>
          <w:p>
            <w:pPr>
              <w:spacing w:after="0"/>
              <w:rPr>
                <w:sz w:val="21"/>
                <w:szCs w:val="21"/>
                <w:color w:val="auto"/>
              </w:rPr>
            </w:pPr>
          </w:p>
        </w:tc>
        <w:tc>
          <w:tcPr>
            <w:tcW w:w="7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approved by Incyte in writing and the terms of the leave or applicable law requires</w:t>
            </w:r>
          </w:p>
        </w:tc>
      </w:tr>
      <w:tr>
        <w:trPr>
          <w:trHeight w:val="243"/>
        </w:trPr>
        <w:tc>
          <w:tcPr>
            <w:tcW w:w="2460" w:type="dxa"/>
            <w:vAlign w:val="bottom"/>
          </w:tcPr>
          <w:p>
            <w:pPr>
              <w:spacing w:after="0"/>
              <w:rPr>
                <w:sz w:val="21"/>
                <w:szCs w:val="21"/>
                <w:color w:val="auto"/>
              </w:rPr>
            </w:pPr>
          </w:p>
        </w:tc>
        <w:tc>
          <w:tcPr>
            <w:tcW w:w="7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continued service crediting.  But your service terminates in any event when the</w:t>
            </w:r>
          </w:p>
        </w:tc>
      </w:tr>
      <w:tr>
        <w:trPr>
          <w:trHeight w:val="282"/>
        </w:trPr>
        <w:tc>
          <w:tcPr>
            <w:tcW w:w="2460" w:type="dxa"/>
            <w:vAlign w:val="bottom"/>
          </w:tcPr>
          <w:p>
            <w:pPr>
              <w:spacing w:after="0"/>
              <w:rPr>
                <w:sz w:val="24"/>
                <w:szCs w:val="24"/>
                <w:color w:val="auto"/>
              </w:rPr>
            </w:pPr>
          </w:p>
        </w:tc>
        <w:tc>
          <w:tcPr>
            <w:tcW w:w="7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approved leave ends, unless you immediately return to active work.</w:t>
            </w:r>
          </w:p>
        </w:tc>
      </w:tr>
      <w:tr>
        <w:trPr>
          <w:trHeight w:val="420"/>
        </w:trPr>
        <w:tc>
          <w:tcPr>
            <w:tcW w:w="2460" w:type="dxa"/>
            <w:vAlign w:val="bottom"/>
          </w:tcPr>
          <w:p>
            <w:pPr>
              <w:spacing w:after="0"/>
              <w:rPr>
                <w:sz w:val="24"/>
                <w:szCs w:val="24"/>
                <w:color w:val="auto"/>
              </w:rPr>
            </w:pPr>
          </w:p>
        </w:tc>
        <w:tc>
          <w:tcPr>
            <w:tcW w:w="7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Incyte determines which leaves count for this purpose and the date the approved</w:t>
            </w:r>
          </w:p>
        </w:tc>
      </w:tr>
      <w:tr>
        <w:trPr>
          <w:trHeight w:val="282"/>
        </w:trPr>
        <w:tc>
          <w:tcPr>
            <w:tcW w:w="2460" w:type="dxa"/>
            <w:vAlign w:val="bottom"/>
          </w:tcPr>
          <w:p>
            <w:pPr>
              <w:spacing w:after="0"/>
              <w:rPr>
                <w:sz w:val="24"/>
                <w:szCs w:val="24"/>
                <w:color w:val="auto"/>
              </w:rPr>
            </w:pPr>
          </w:p>
        </w:tc>
        <w:tc>
          <w:tcPr>
            <w:tcW w:w="7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leave ends.</w:t>
            </w:r>
          </w:p>
        </w:tc>
      </w:tr>
      <w:tr>
        <w:trPr>
          <w:trHeight w:val="447"/>
        </w:trPr>
        <w:tc>
          <w:tcPr>
            <w:tcW w:w="246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Restrictions on Exercise</w:t>
            </w:r>
          </w:p>
        </w:tc>
        <w:tc>
          <w:tcPr>
            <w:tcW w:w="7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Incyte will not permit you to exercise this option if the committee designated by</w:t>
            </w:r>
          </w:p>
        </w:tc>
      </w:tr>
      <w:tr>
        <w:trPr>
          <w:trHeight w:val="243"/>
        </w:trPr>
        <w:tc>
          <w:tcPr>
            <w:tcW w:w="2460" w:type="dxa"/>
            <w:vAlign w:val="bottom"/>
          </w:tcPr>
          <w:p>
            <w:pPr>
              <w:spacing w:after="0"/>
              <w:rPr>
                <w:sz w:val="21"/>
                <w:szCs w:val="21"/>
                <w:color w:val="auto"/>
              </w:rPr>
            </w:pPr>
          </w:p>
        </w:tc>
        <w:tc>
          <w:tcPr>
            <w:tcW w:w="7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the Board of Directors to administer the Plan (the “Committee”) determines, in its</w:t>
            </w:r>
          </w:p>
        </w:tc>
      </w:tr>
      <w:tr>
        <w:trPr>
          <w:trHeight w:val="243"/>
        </w:trPr>
        <w:tc>
          <w:tcPr>
            <w:tcW w:w="2460" w:type="dxa"/>
            <w:vAlign w:val="bottom"/>
          </w:tcPr>
          <w:p>
            <w:pPr>
              <w:spacing w:after="0"/>
              <w:rPr>
                <w:sz w:val="21"/>
                <w:szCs w:val="21"/>
                <w:color w:val="auto"/>
              </w:rPr>
            </w:pPr>
          </w:p>
        </w:tc>
        <w:tc>
          <w:tcPr>
            <w:tcW w:w="7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sole and absolute discretion, that the issuance of shares at that time could violate</w:t>
            </w:r>
          </w:p>
        </w:tc>
      </w:tr>
      <w:tr>
        <w:trPr>
          <w:trHeight w:val="282"/>
        </w:trPr>
        <w:tc>
          <w:tcPr>
            <w:tcW w:w="2460" w:type="dxa"/>
            <w:vAlign w:val="bottom"/>
          </w:tcPr>
          <w:p>
            <w:pPr>
              <w:spacing w:after="0"/>
              <w:rPr>
                <w:sz w:val="24"/>
                <w:szCs w:val="24"/>
                <w:color w:val="auto"/>
              </w:rPr>
            </w:pPr>
          </w:p>
        </w:tc>
        <w:tc>
          <w:tcPr>
            <w:tcW w:w="7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any law or regulation.</w:t>
            </w:r>
          </w:p>
        </w:tc>
      </w:tr>
      <w:tr>
        <w:trPr>
          <w:trHeight w:val="447"/>
        </w:trPr>
        <w:tc>
          <w:tcPr>
            <w:tcW w:w="246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Notice of Exercise</w:t>
            </w:r>
          </w:p>
        </w:tc>
        <w:tc>
          <w:tcPr>
            <w:tcW w:w="7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When you wish to exercise this option, you must notify Incyte by filing the proper</w:t>
            </w:r>
          </w:p>
        </w:tc>
      </w:tr>
      <w:tr>
        <w:trPr>
          <w:trHeight w:val="243"/>
        </w:trPr>
        <w:tc>
          <w:tcPr>
            <w:tcW w:w="2460" w:type="dxa"/>
            <w:vAlign w:val="bottom"/>
          </w:tcPr>
          <w:p>
            <w:pPr>
              <w:spacing w:after="0"/>
              <w:rPr>
                <w:sz w:val="21"/>
                <w:szCs w:val="21"/>
                <w:color w:val="auto"/>
              </w:rPr>
            </w:pPr>
          </w:p>
        </w:tc>
        <w:tc>
          <w:tcPr>
            <w:tcW w:w="7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“Notice of Exercise” form at the address given on the form or according to such</w:t>
            </w:r>
          </w:p>
        </w:tc>
      </w:tr>
      <w:tr>
        <w:trPr>
          <w:trHeight w:val="243"/>
        </w:trPr>
        <w:tc>
          <w:tcPr>
            <w:tcW w:w="2460" w:type="dxa"/>
            <w:vAlign w:val="bottom"/>
          </w:tcPr>
          <w:p>
            <w:pPr>
              <w:spacing w:after="0"/>
              <w:rPr>
                <w:sz w:val="21"/>
                <w:szCs w:val="21"/>
                <w:color w:val="auto"/>
              </w:rPr>
            </w:pPr>
          </w:p>
        </w:tc>
        <w:tc>
          <w:tcPr>
            <w:tcW w:w="7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other exercise procedures established by Incyte at the time of exercise (which may</w:t>
            </w:r>
          </w:p>
        </w:tc>
      </w:tr>
      <w:tr>
        <w:trPr>
          <w:trHeight w:val="243"/>
        </w:trPr>
        <w:tc>
          <w:tcPr>
            <w:tcW w:w="2460" w:type="dxa"/>
            <w:vAlign w:val="bottom"/>
          </w:tcPr>
          <w:p>
            <w:pPr>
              <w:spacing w:after="0"/>
              <w:rPr>
                <w:sz w:val="21"/>
                <w:szCs w:val="21"/>
                <w:color w:val="auto"/>
              </w:rPr>
            </w:pPr>
          </w:p>
        </w:tc>
        <w:tc>
          <w:tcPr>
            <w:tcW w:w="7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be electronic and may be on the platform of a third-party under contract with</w:t>
            </w:r>
          </w:p>
        </w:tc>
      </w:tr>
      <w:tr>
        <w:trPr>
          <w:trHeight w:val="243"/>
        </w:trPr>
        <w:tc>
          <w:tcPr>
            <w:tcW w:w="2460" w:type="dxa"/>
            <w:vAlign w:val="bottom"/>
          </w:tcPr>
          <w:p>
            <w:pPr>
              <w:spacing w:after="0"/>
              <w:rPr>
                <w:sz w:val="21"/>
                <w:szCs w:val="21"/>
                <w:color w:val="auto"/>
              </w:rPr>
            </w:pPr>
          </w:p>
        </w:tc>
        <w:tc>
          <w:tcPr>
            <w:tcW w:w="7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Incyte).  Your notice must specify how many shares you wish to purchase.  Your</w:t>
            </w:r>
          </w:p>
        </w:tc>
      </w:tr>
      <w:tr>
        <w:trPr>
          <w:trHeight w:val="243"/>
        </w:trPr>
        <w:tc>
          <w:tcPr>
            <w:tcW w:w="2460" w:type="dxa"/>
            <w:vAlign w:val="bottom"/>
          </w:tcPr>
          <w:p>
            <w:pPr>
              <w:spacing w:after="0"/>
              <w:rPr>
                <w:sz w:val="21"/>
                <w:szCs w:val="21"/>
                <w:color w:val="auto"/>
              </w:rPr>
            </w:pPr>
          </w:p>
        </w:tc>
        <w:tc>
          <w:tcPr>
            <w:tcW w:w="7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notice must also specify how your shares should be registered (in your name only</w:t>
            </w:r>
          </w:p>
        </w:tc>
      </w:tr>
      <w:tr>
        <w:trPr>
          <w:trHeight w:val="243"/>
        </w:trPr>
        <w:tc>
          <w:tcPr>
            <w:tcW w:w="2460" w:type="dxa"/>
            <w:vAlign w:val="bottom"/>
          </w:tcPr>
          <w:p>
            <w:pPr>
              <w:spacing w:after="0"/>
              <w:rPr>
                <w:sz w:val="21"/>
                <w:szCs w:val="21"/>
                <w:color w:val="auto"/>
              </w:rPr>
            </w:pPr>
          </w:p>
        </w:tc>
        <w:tc>
          <w:tcPr>
            <w:tcW w:w="7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or in your and your spouse’s names as community property or as joint tenants with</w:t>
            </w:r>
          </w:p>
        </w:tc>
      </w:tr>
      <w:tr>
        <w:trPr>
          <w:trHeight w:val="243"/>
        </w:trPr>
        <w:tc>
          <w:tcPr>
            <w:tcW w:w="2460" w:type="dxa"/>
            <w:vAlign w:val="bottom"/>
          </w:tcPr>
          <w:p>
            <w:pPr>
              <w:spacing w:after="0"/>
              <w:rPr>
                <w:sz w:val="21"/>
                <w:szCs w:val="21"/>
                <w:color w:val="auto"/>
              </w:rPr>
            </w:pPr>
          </w:p>
        </w:tc>
        <w:tc>
          <w:tcPr>
            <w:tcW w:w="7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right of survivorship, in jurisdictions where such registrations may be lawful).</w:t>
            </w:r>
          </w:p>
        </w:tc>
      </w:tr>
      <w:tr>
        <w:trPr>
          <w:trHeight w:val="243"/>
        </w:trPr>
        <w:tc>
          <w:tcPr>
            <w:tcW w:w="2460" w:type="dxa"/>
            <w:vAlign w:val="bottom"/>
          </w:tcPr>
          <w:p>
            <w:pPr>
              <w:spacing w:after="0"/>
              <w:rPr>
                <w:sz w:val="21"/>
                <w:szCs w:val="21"/>
                <w:color w:val="auto"/>
              </w:rPr>
            </w:pPr>
          </w:p>
        </w:tc>
        <w:tc>
          <w:tcPr>
            <w:tcW w:w="74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Incyte will determine whether your proposed registration is valid.  If your</w:t>
            </w:r>
          </w:p>
        </w:tc>
      </w:tr>
      <w:tr>
        <w:trPr>
          <w:trHeight w:val="243"/>
        </w:trPr>
        <w:tc>
          <w:tcPr>
            <w:tcW w:w="2460" w:type="dxa"/>
            <w:vAlign w:val="bottom"/>
          </w:tcPr>
          <w:p>
            <w:pPr>
              <w:spacing w:after="0"/>
              <w:rPr>
                <w:sz w:val="21"/>
                <w:szCs w:val="21"/>
                <w:color w:val="auto"/>
              </w:rPr>
            </w:pPr>
          </w:p>
        </w:tc>
        <w:tc>
          <w:tcPr>
            <w:tcW w:w="7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proposed registration is valid, the notice will be effective when it is received by</w:t>
            </w:r>
          </w:p>
        </w:tc>
      </w:tr>
      <w:tr>
        <w:trPr>
          <w:trHeight w:val="282"/>
        </w:trPr>
        <w:tc>
          <w:tcPr>
            <w:tcW w:w="2460" w:type="dxa"/>
            <w:vAlign w:val="bottom"/>
          </w:tcPr>
          <w:p>
            <w:pPr>
              <w:spacing w:after="0"/>
              <w:rPr>
                <w:sz w:val="24"/>
                <w:szCs w:val="24"/>
                <w:color w:val="auto"/>
              </w:rPr>
            </w:pPr>
          </w:p>
        </w:tc>
        <w:tc>
          <w:tcPr>
            <w:tcW w:w="7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Incyte.</w:t>
            </w:r>
          </w:p>
        </w:tc>
      </w:tr>
      <w:tr>
        <w:trPr>
          <w:trHeight w:val="420"/>
        </w:trPr>
        <w:tc>
          <w:tcPr>
            <w:tcW w:w="2460" w:type="dxa"/>
            <w:vAlign w:val="bottom"/>
          </w:tcPr>
          <w:p>
            <w:pPr>
              <w:spacing w:after="0"/>
              <w:rPr>
                <w:sz w:val="24"/>
                <w:szCs w:val="24"/>
                <w:color w:val="auto"/>
              </w:rPr>
            </w:pPr>
          </w:p>
        </w:tc>
        <w:tc>
          <w:tcPr>
            <w:tcW w:w="7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If someone else wants to exercise this option after your death, that person must</w:t>
            </w:r>
          </w:p>
        </w:tc>
      </w:tr>
      <w:tr>
        <w:trPr>
          <w:trHeight w:val="282"/>
        </w:trPr>
        <w:tc>
          <w:tcPr>
            <w:tcW w:w="2460" w:type="dxa"/>
            <w:vAlign w:val="bottom"/>
          </w:tcPr>
          <w:p>
            <w:pPr>
              <w:spacing w:after="0"/>
              <w:rPr>
                <w:sz w:val="24"/>
                <w:szCs w:val="24"/>
                <w:color w:val="auto"/>
              </w:rPr>
            </w:pPr>
          </w:p>
        </w:tc>
        <w:tc>
          <w:tcPr>
            <w:tcW w:w="7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prove to Incyte’s satisfaction that he or she is entitled to do so.</w:t>
            </w:r>
          </w:p>
        </w:tc>
      </w:tr>
      <w:tr>
        <w:trPr>
          <w:trHeight w:val="447"/>
        </w:trPr>
        <w:tc>
          <w:tcPr>
            <w:tcW w:w="246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Form of Payment</w:t>
            </w:r>
          </w:p>
        </w:tc>
        <w:tc>
          <w:tcPr>
            <w:tcW w:w="7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When you submit your notice of exercise, you must include payment of the option</w:t>
            </w:r>
          </w:p>
        </w:tc>
      </w:tr>
      <w:tr>
        <w:trPr>
          <w:trHeight w:val="282"/>
        </w:trPr>
        <w:tc>
          <w:tcPr>
            <w:tcW w:w="2460" w:type="dxa"/>
            <w:vAlign w:val="bottom"/>
          </w:tcPr>
          <w:p>
            <w:pPr>
              <w:spacing w:after="0"/>
              <w:rPr>
                <w:sz w:val="24"/>
                <w:szCs w:val="24"/>
                <w:color w:val="auto"/>
              </w:rPr>
            </w:pPr>
          </w:p>
        </w:tc>
        <w:tc>
          <w:tcPr>
            <w:tcW w:w="7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price, as shown in the grant notice, for the shares you are</w:t>
            </w:r>
          </w:p>
        </w:tc>
      </w:tr>
      <w:tr>
        <w:trPr>
          <w:trHeight w:val="891"/>
        </w:trPr>
        <w:tc>
          <w:tcPr>
            <w:tcW w:w="2460" w:type="dxa"/>
            <w:vAlign w:val="bottom"/>
          </w:tcPr>
          <w:p>
            <w:pPr>
              <w:spacing w:after="0"/>
              <w:rPr>
                <w:sz w:val="24"/>
                <w:szCs w:val="24"/>
                <w:color w:val="auto"/>
              </w:rPr>
            </w:pPr>
          </w:p>
        </w:tc>
        <w:tc>
          <w:tcPr>
            <w:tcW w:w="7460" w:type="dxa"/>
            <w:vAlign w:val="bottom"/>
          </w:tcPr>
          <w:p>
            <w:pPr>
              <w:ind w:left="2380"/>
              <w:spacing w:after="0"/>
              <w:rPr>
                <w:sz w:val="20"/>
                <w:szCs w:val="20"/>
                <w:color w:val="auto"/>
              </w:rPr>
            </w:pPr>
            <w:r>
              <w:rPr>
                <w:rFonts w:ascii="Times New Roman" w:cs="Times New Roman" w:eastAsia="Times New Roman" w:hAnsi="Times New Roman"/>
                <w:sz w:val="22"/>
                <w:szCs w:val="22"/>
                <w:color w:val="auto"/>
              </w:rPr>
              <w:t>-4-</w:t>
            </w:r>
          </w:p>
        </w:tc>
      </w:tr>
      <w:tr>
        <w:trPr>
          <w:trHeight w:val="548"/>
        </w:trPr>
        <w:tc>
          <w:tcPr>
            <w:tcW w:w="2460" w:type="dxa"/>
            <w:vAlign w:val="bottom"/>
            <w:tcBorders>
              <w:bottom w:val="single" w:sz="8" w:color="auto"/>
            </w:tcBorders>
          </w:tcPr>
          <w:p>
            <w:pPr>
              <w:spacing w:after="0"/>
              <w:rPr>
                <w:sz w:val="24"/>
                <w:szCs w:val="24"/>
                <w:color w:val="auto"/>
              </w:rPr>
            </w:pPr>
          </w:p>
        </w:tc>
        <w:tc>
          <w:tcPr>
            <w:tcW w:w="74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58" w:right="999" w:bottom="1440" w:gutter="0" w:footer="0" w:header="0"/>
        </w:sectPr>
      </w:pPr>
    </w:p>
    <w:bookmarkStart w:id="103" w:name="page104"/>
    <w:bookmarkEnd w:id="103"/>
    <w:p>
      <w:pPr>
        <w:ind w:left="2500"/>
        <w:spacing w:after="0" w:line="258" w:lineRule="auto"/>
        <w:rPr>
          <w:sz w:val="20"/>
          <w:szCs w:val="20"/>
          <w:color w:val="auto"/>
        </w:rPr>
      </w:pPr>
      <w:r>
        <w:rPr>
          <w:rFonts w:ascii="Times New Roman" w:cs="Times New Roman" w:eastAsia="Times New Roman" w:hAnsi="Times New Roman"/>
          <w:sz w:val="22"/>
          <w:szCs w:val="22"/>
          <w:color w:val="auto"/>
        </w:rPr>
        <w:t>purchasing. Payment may be made in one (or a combination of two or more) of the following forms:</w:t>
      </w:r>
    </w:p>
    <w:p>
      <w:pPr>
        <w:spacing w:after="0" w:line="185" w:lineRule="exact"/>
        <w:rPr>
          <w:sz w:val="20"/>
          <w:szCs w:val="20"/>
          <w:color w:val="auto"/>
        </w:rPr>
      </w:pPr>
    </w:p>
    <w:p>
      <w:pPr>
        <w:ind w:left="2500"/>
        <w:spacing w:after="0"/>
        <w:tabs>
          <w:tab w:leader="none" w:pos="2840" w:val="left"/>
        </w:tabs>
        <w:rPr>
          <w:sz w:val="20"/>
          <w:szCs w:val="20"/>
          <w:color w:val="auto"/>
        </w:rPr>
      </w:pPr>
      <w:r>
        <w:rPr>
          <w:rFonts w:ascii="Times New Roman" w:cs="Times New Roman" w:eastAsia="Times New Roman" w:hAnsi="Times New Roman"/>
          <w:sz w:val="22"/>
          <w:szCs w:val="22"/>
          <w:color w:val="auto"/>
        </w:rPr>
        <w:t>●</w:t>
        <w:tab/>
        <w:t>Your personal check, a cashier’s check or a money order.</w:t>
      </w:r>
    </w:p>
    <w:p>
      <w:pPr>
        <w:spacing w:after="0" w:line="233" w:lineRule="exact"/>
        <w:rPr>
          <w:sz w:val="20"/>
          <w:szCs w:val="20"/>
          <w:color w:val="auto"/>
        </w:rPr>
      </w:pPr>
    </w:p>
    <w:p>
      <w:pPr>
        <w:jc w:val="both"/>
        <w:ind w:left="2860" w:hanging="377"/>
        <w:spacing w:after="0" w:line="235" w:lineRule="auto"/>
        <w:tabs>
          <w:tab w:leader="none" w:pos="2840" w:val="left"/>
        </w:tabs>
        <w:rPr>
          <w:sz w:val="20"/>
          <w:szCs w:val="20"/>
          <w:color w:val="auto"/>
        </w:rPr>
      </w:pPr>
      <w:r>
        <w:rPr>
          <w:rFonts w:ascii="Times New Roman" w:cs="Times New Roman" w:eastAsia="Times New Roman" w:hAnsi="Times New Roman"/>
          <w:sz w:val="22"/>
          <w:szCs w:val="22"/>
          <w:color w:val="auto"/>
        </w:rPr>
        <w:t>●</w:t>
        <w:tab/>
        <w:t>Irrevocable directions to a securities broker approved by Incyte to sell your option shares and to deliver all or a portion of the sale proceeds to Incyte in payment of the option price and any Tax-Related Items (as defined below). The balance of the sale proceeds, if any, will be delivered to you. The directions must be given by signing a special “Notice of Exercise” form provided by Incyte (or by following such other procedures established by Incyte at the time of exercise).</w:t>
      </w:r>
    </w:p>
    <w:p>
      <w:pPr>
        <w:spacing w:after="0" w:line="210" w:lineRule="exact"/>
        <w:rPr>
          <w:sz w:val="20"/>
          <w:szCs w:val="20"/>
          <w:color w:val="auto"/>
        </w:rPr>
      </w:pPr>
    </w:p>
    <w:p>
      <w:pPr>
        <w:jc w:val="both"/>
        <w:ind w:left="2860" w:right="20" w:hanging="359"/>
        <w:spacing w:after="0" w:line="239" w:lineRule="auto"/>
        <w:tabs>
          <w:tab w:leader="none" w:pos="2840" w:val="left"/>
        </w:tabs>
        <w:rPr>
          <w:sz w:val="20"/>
          <w:szCs w:val="20"/>
          <w:color w:val="auto"/>
        </w:rPr>
      </w:pPr>
      <w:r>
        <w:rPr>
          <w:rFonts w:ascii="Times New Roman" w:cs="Times New Roman" w:eastAsia="Times New Roman" w:hAnsi="Times New Roman"/>
          <w:sz w:val="22"/>
          <w:szCs w:val="22"/>
          <w:color w:val="auto"/>
        </w:rPr>
        <w:t>●</w:t>
        <w:tab/>
        <w:t>Certificates for Incyte stock that you have owned for at least 6 months, along with any forms needed to effect a transfer of the shares to Incyte. The value of the shares, determined as of the effective date of the option exercise, will be applied to the option price.</w:t>
      </w:r>
    </w:p>
    <w:p>
      <w:pPr>
        <w:spacing w:after="0" w:line="207" w:lineRule="exact"/>
        <w:rPr>
          <w:sz w:val="20"/>
          <w:szCs w:val="20"/>
          <w:color w:val="auto"/>
        </w:rPr>
      </w:pPr>
    </w:p>
    <w:p>
      <w:pPr>
        <w:jc w:val="both"/>
        <w:ind w:left="2500"/>
        <w:spacing w:after="0" w:line="244" w:lineRule="auto"/>
        <w:rPr>
          <w:sz w:val="20"/>
          <w:szCs w:val="20"/>
          <w:color w:val="auto"/>
        </w:rPr>
      </w:pPr>
      <w:r>
        <w:rPr>
          <w:rFonts w:ascii="Times New Roman" w:cs="Times New Roman" w:eastAsia="Times New Roman" w:hAnsi="Times New Roman"/>
          <w:sz w:val="22"/>
          <w:szCs w:val="22"/>
          <w:color w:val="auto"/>
        </w:rPr>
        <w:t>A form of payment will not be available if the Committee determines, in its sole and absolute discretion, that such form of payment could violate any law or regulation.</w:t>
      </w:r>
    </w:p>
    <w:p>
      <w:pPr>
        <w:sectPr>
          <w:pgSz w:w="11900" w:h="16838" w:orient="portrait"/>
          <w:cols w:equalWidth="0" w:num="1">
            <w:col w:w="9720"/>
          </w:cols>
          <w:pgMar w:left="1080" w:top="868" w:right="1099" w:bottom="1440" w:gutter="0" w:footer="0" w:header="0"/>
        </w:sectPr>
      </w:pPr>
    </w:p>
    <w:p>
      <w:pPr>
        <w:spacing w:after="0" w:line="16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21"/>
          <w:szCs w:val="21"/>
          <w:b w:val="1"/>
          <w:bCs w:val="1"/>
          <w:color w:val="auto"/>
        </w:rPr>
        <w:t>Responsibilities Taxes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for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220"/>
        <w:spacing w:after="0" w:line="235" w:lineRule="auto"/>
        <w:rPr>
          <w:sz w:val="20"/>
          <w:szCs w:val="20"/>
          <w:color w:val="auto"/>
        </w:rPr>
      </w:pPr>
      <w:r>
        <w:rPr>
          <w:rFonts w:ascii="Times New Roman" w:cs="Times New Roman" w:eastAsia="Times New Roman" w:hAnsi="Times New Roman"/>
          <w:sz w:val="22"/>
          <w:szCs w:val="22"/>
          <w:color w:val="auto"/>
        </w:rPr>
        <w:t>Regardless of any action taken by Incyte or, if different, your employer, the ultimate liability for all income tax (including U.S. federal, state, and local taxes and/or non-U.S. taxes), social insurance, payroll tax, fringe benefits tax, payment on account or other tax-related items related to your participation in the Plan and legally applicable to you (the “Tax-Related Items”) is and remains your responsibility and may exceed the amount, if any, withheld by Incyte or your employer.</w:t>
      </w:r>
    </w:p>
    <w:p>
      <w:pPr>
        <w:spacing w:after="0" w:line="183" w:lineRule="exact"/>
        <w:rPr>
          <w:sz w:val="20"/>
          <w:szCs w:val="20"/>
          <w:color w:val="auto"/>
        </w:rPr>
      </w:pPr>
    </w:p>
    <w:p>
      <w:pPr>
        <w:sectPr>
          <w:pgSz w:w="11900" w:h="16838" w:orient="portrait"/>
          <w:cols w:equalWidth="0" w:num="3">
            <w:col w:w="1440" w:space="580"/>
            <w:col w:w="260" w:space="220"/>
            <w:col w:w="7220"/>
          </w:cols>
          <w:pgMar w:left="1080" w:top="868" w:right="1099" w:bottom="1440" w:gutter="0" w:footer="0" w:header="0"/>
          <w:type w:val="continuous"/>
        </w:sectPr>
      </w:pPr>
    </w:p>
    <w:p>
      <w:pPr>
        <w:ind w:left="2500" w:right="20"/>
        <w:spacing w:after="0" w:line="239" w:lineRule="auto"/>
        <w:rPr>
          <w:sz w:val="20"/>
          <w:szCs w:val="20"/>
          <w:color w:val="auto"/>
        </w:rPr>
      </w:pPr>
      <w:r>
        <w:rPr>
          <w:rFonts w:ascii="Times New Roman" w:cs="Times New Roman" w:eastAsia="Times New Roman" w:hAnsi="Times New Roman"/>
          <w:sz w:val="22"/>
          <w:szCs w:val="22"/>
          <w:color w:val="auto"/>
        </w:rPr>
        <w:t>Incyte and your employer (i) make no representations or undertakings regarding the treatment of any Tax-Related Items, and (ii) do not commit to and are under no obligation to reduce or eliminate your liability for Tax-Related Items or to structure the terms of this option to achieve any particular tax result.</w:t>
      </w:r>
    </w:p>
    <w:p>
      <w:pPr>
        <w:spacing w:after="0" w:line="180" w:lineRule="exact"/>
        <w:rPr>
          <w:sz w:val="20"/>
          <w:szCs w:val="20"/>
          <w:color w:val="auto"/>
        </w:rPr>
      </w:pPr>
    </w:p>
    <w:p>
      <w:pPr>
        <w:ind w:left="2500" w:right="100"/>
        <w:spacing w:after="0" w:line="244" w:lineRule="auto"/>
        <w:rPr>
          <w:sz w:val="20"/>
          <w:szCs w:val="20"/>
          <w:color w:val="auto"/>
        </w:rPr>
      </w:pPr>
      <w:r>
        <w:rPr>
          <w:rFonts w:ascii="Times New Roman" w:cs="Times New Roman" w:eastAsia="Times New Roman" w:hAnsi="Times New Roman"/>
          <w:sz w:val="22"/>
          <w:szCs w:val="22"/>
          <w:color w:val="auto"/>
        </w:rPr>
        <w:t>If you become subject to taxation in more than one jurisdiction, Incyte and/or your employer (or former employer, as applicable) may be required to withhold or account for Tax-Related Items in more than one jurisdiction.</w:t>
      </w:r>
    </w:p>
    <w:p>
      <w:pPr>
        <w:spacing w:after="0" w:line="173" w:lineRule="exact"/>
        <w:rPr>
          <w:sz w:val="20"/>
          <w:szCs w:val="20"/>
          <w:color w:val="auto"/>
        </w:rPr>
      </w:pPr>
    </w:p>
    <w:p>
      <w:pPr>
        <w:ind w:left="2500" w:right="480"/>
        <w:spacing w:after="0" w:line="239" w:lineRule="auto"/>
        <w:rPr>
          <w:sz w:val="20"/>
          <w:szCs w:val="20"/>
          <w:color w:val="auto"/>
        </w:rPr>
      </w:pPr>
      <w:r>
        <w:rPr>
          <w:rFonts w:ascii="Times New Roman" w:cs="Times New Roman" w:eastAsia="Times New Roman" w:hAnsi="Times New Roman"/>
          <w:sz w:val="22"/>
          <w:szCs w:val="22"/>
          <w:color w:val="auto"/>
        </w:rPr>
        <w:t>Prior to any taxable or tax withholding event, you will make arrangements satisfactory to Incyte and your employer so that Incyte and your employer can fulfill any withholding obligations for Tax-Related Items. Incyte shall not be required to issue any shares or</w:t>
      </w:r>
    </w:p>
    <w:p>
      <w:pPr>
        <w:sectPr>
          <w:pgSz w:w="11900" w:h="16838" w:orient="portrait"/>
          <w:cols w:equalWidth="0" w:num="1">
            <w:col w:w="9720"/>
          </w:cols>
          <w:pgMar w:left="1080" w:top="868"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353695</wp:posOffset>
            </wp:positionV>
            <wp:extent cx="629221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20"/>
          </w:cols>
          <w:pgMar w:left="1080" w:top="868" w:right="1099" w:bottom="1440"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282"/>
        </w:trPr>
        <w:tc>
          <w:tcPr>
            <w:tcW w:w="2000" w:type="dxa"/>
            <w:vAlign w:val="bottom"/>
          </w:tcPr>
          <w:p>
            <w:pPr>
              <w:spacing w:after="0"/>
              <w:rPr>
                <w:sz w:val="24"/>
                <w:szCs w:val="24"/>
                <w:color w:val="auto"/>
              </w:rPr>
            </w:pPr>
          </w:p>
        </w:tc>
        <w:tc>
          <w:tcPr>
            <w:tcW w:w="772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deliver the proceeds of the sale of any shares until such obligations are satisfied.</w:t>
            </w:r>
          </w:p>
        </w:tc>
      </w:tr>
      <w:tr>
        <w:trPr>
          <w:trHeight w:val="447"/>
        </w:trPr>
        <w:tc>
          <w:tcPr>
            <w:tcW w:w="2000" w:type="dxa"/>
            <w:vAlign w:val="bottom"/>
          </w:tcPr>
          <w:p>
            <w:pPr>
              <w:spacing w:after="0"/>
              <w:rPr>
                <w:sz w:val="24"/>
                <w:szCs w:val="24"/>
                <w:color w:val="auto"/>
              </w:rPr>
            </w:pPr>
          </w:p>
        </w:tc>
        <w:tc>
          <w:tcPr>
            <w:tcW w:w="772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In this regard, Incyte and/or your employer, or their respective agents, at their</w:t>
            </w:r>
          </w:p>
        </w:tc>
      </w:tr>
      <w:tr>
        <w:trPr>
          <w:trHeight w:val="243"/>
        </w:trPr>
        <w:tc>
          <w:tcPr>
            <w:tcW w:w="2000" w:type="dxa"/>
            <w:vAlign w:val="bottom"/>
          </w:tcPr>
          <w:p>
            <w:pPr>
              <w:spacing w:after="0"/>
              <w:rPr>
                <w:sz w:val="21"/>
                <w:szCs w:val="21"/>
                <w:color w:val="auto"/>
              </w:rPr>
            </w:pPr>
          </w:p>
        </w:tc>
        <w:tc>
          <w:tcPr>
            <w:tcW w:w="7720" w:type="dxa"/>
            <w:vAlign w:val="bottom"/>
            <w:gridSpan w:val="2"/>
          </w:tcPr>
          <w:p>
            <w:pPr>
              <w:ind w:left="500"/>
              <w:spacing w:after="0" w:line="243" w:lineRule="exact"/>
              <w:rPr>
                <w:sz w:val="20"/>
                <w:szCs w:val="20"/>
                <w:color w:val="auto"/>
              </w:rPr>
            </w:pPr>
            <w:r>
              <w:rPr>
                <w:rFonts w:ascii="Times New Roman" w:cs="Times New Roman" w:eastAsia="Times New Roman" w:hAnsi="Times New Roman"/>
                <w:sz w:val="22"/>
                <w:szCs w:val="22"/>
                <w:color w:val="auto"/>
              </w:rPr>
              <w:t>discretion, may fulfill any applicable withholding obligations for Tax-Related</w:t>
            </w:r>
          </w:p>
        </w:tc>
      </w:tr>
      <w:tr>
        <w:trPr>
          <w:trHeight w:val="282"/>
        </w:trPr>
        <w:tc>
          <w:tcPr>
            <w:tcW w:w="2000" w:type="dxa"/>
            <w:vAlign w:val="bottom"/>
          </w:tcPr>
          <w:p>
            <w:pPr>
              <w:spacing w:after="0"/>
              <w:rPr>
                <w:sz w:val="24"/>
                <w:szCs w:val="24"/>
                <w:color w:val="auto"/>
              </w:rPr>
            </w:pPr>
          </w:p>
        </w:tc>
        <w:tc>
          <w:tcPr>
            <w:tcW w:w="772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Items by one or a combination of the following:</w:t>
            </w:r>
          </w:p>
        </w:tc>
      </w:tr>
      <w:tr>
        <w:trPr>
          <w:trHeight w:val="420"/>
        </w:trPr>
        <w:tc>
          <w:tcPr>
            <w:tcW w:w="2000" w:type="dxa"/>
            <w:vAlign w:val="bottom"/>
          </w:tcPr>
          <w:p>
            <w:pPr>
              <w:spacing w:after="0"/>
              <w:rPr>
                <w:sz w:val="24"/>
                <w:szCs w:val="24"/>
                <w:color w:val="auto"/>
              </w:rPr>
            </w:pPr>
          </w:p>
        </w:tc>
        <w:tc>
          <w:tcPr>
            <w:tcW w:w="9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(A)</w:t>
            </w:r>
          </w:p>
        </w:tc>
        <w:tc>
          <w:tcPr>
            <w:tcW w:w="67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withholding from your wages or other cash amount payable to you by</w:t>
            </w:r>
          </w:p>
        </w:tc>
      </w:tr>
      <w:tr>
        <w:trPr>
          <w:trHeight w:val="282"/>
        </w:trPr>
        <w:tc>
          <w:tcPr>
            <w:tcW w:w="2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7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Incyte and/or your employer;</w:t>
            </w:r>
          </w:p>
        </w:tc>
      </w:tr>
      <w:tr>
        <w:trPr>
          <w:trHeight w:val="420"/>
        </w:trPr>
        <w:tc>
          <w:tcPr>
            <w:tcW w:w="2000" w:type="dxa"/>
            <w:vAlign w:val="bottom"/>
          </w:tcPr>
          <w:p>
            <w:pPr>
              <w:spacing w:after="0"/>
              <w:rPr>
                <w:sz w:val="24"/>
                <w:szCs w:val="24"/>
                <w:color w:val="auto"/>
              </w:rPr>
            </w:pPr>
          </w:p>
        </w:tc>
        <w:tc>
          <w:tcPr>
            <w:tcW w:w="9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(B)</w:t>
            </w:r>
          </w:p>
        </w:tc>
        <w:tc>
          <w:tcPr>
            <w:tcW w:w="67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withholding from proceeds of the sale of shares acquired upon exercise of</w:t>
            </w:r>
          </w:p>
        </w:tc>
      </w:tr>
      <w:tr>
        <w:trPr>
          <w:trHeight w:val="243"/>
        </w:trPr>
        <w:tc>
          <w:tcPr>
            <w:tcW w:w="20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76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this option either through a voluntary sale or through a mandatory sale</w:t>
            </w:r>
          </w:p>
        </w:tc>
      </w:tr>
      <w:tr>
        <w:trPr>
          <w:trHeight w:val="243"/>
        </w:trPr>
        <w:tc>
          <w:tcPr>
            <w:tcW w:w="20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76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arranged by Incyte (on your behalf pursuant to this authorization without</w:t>
            </w:r>
          </w:p>
        </w:tc>
      </w:tr>
      <w:tr>
        <w:trPr>
          <w:trHeight w:val="282"/>
        </w:trPr>
        <w:tc>
          <w:tcPr>
            <w:tcW w:w="2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7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further consent);</w:t>
            </w:r>
          </w:p>
        </w:tc>
      </w:tr>
      <w:tr>
        <w:trPr>
          <w:trHeight w:val="459"/>
        </w:trPr>
        <w:tc>
          <w:tcPr>
            <w:tcW w:w="2000" w:type="dxa"/>
            <w:vAlign w:val="bottom"/>
          </w:tcPr>
          <w:p>
            <w:pPr>
              <w:spacing w:after="0"/>
              <w:rPr>
                <w:sz w:val="24"/>
                <w:szCs w:val="24"/>
                <w:color w:val="auto"/>
              </w:rPr>
            </w:pPr>
          </w:p>
        </w:tc>
        <w:tc>
          <w:tcPr>
            <w:tcW w:w="9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(C)</w:t>
            </w:r>
          </w:p>
        </w:tc>
        <w:tc>
          <w:tcPr>
            <w:tcW w:w="67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requiring you to make a cash payment to Incyte or your employer;</w:t>
            </w:r>
          </w:p>
        </w:tc>
      </w:tr>
      <w:tr>
        <w:trPr>
          <w:trHeight w:val="420"/>
        </w:trPr>
        <w:tc>
          <w:tcPr>
            <w:tcW w:w="2000" w:type="dxa"/>
            <w:vAlign w:val="bottom"/>
          </w:tcPr>
          <w:p>
            <w:pPr>
              <w:spacing w:after="0"/>
              <w:rPr>
                <w:sz w:val="24"/>
                <w:szCs w:val="24"/>
                <w:color w:val="auto"/>
              </w:rPr>
            </w:pPr>
          </w:p>
        </w:tc>
        <w:tc>
          <w:tcPr>
            <w:tcW w:w="9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(D)</w:t>
            </w:r>
          </w:p>
        </w:tc>
        <w:tc>
          <w:tcPr>
            <w:tcW w:w="67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9"/>
              </w:rPr>
              <w:t>withholding shares of Incyte stock otherwise issuance upon exercise of this</w:t>
            </w:r>
          </w:p>
        </w:tc>
      </w:tr>
      <w:tr>
        <w:trPr>
          <w:trHeight w:val="282"/>
        </w:trPr>
        <w:tc>
          <w:tcPr>
            <w:tcW w:w="2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7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option; and/or</w:t>
            </w:r>
          </w:p>
        </w:tc>
      </w:tr>
      <w:tr>
        <w:trPr>
          <w:trHeight w:val="420"/>
        </w:trPr>
        <w:tc>
          <w:tcPr>
            <w:tcW w:w="2000" w:type="dxa"/>
            <w:vAlign w:val="bottom"/>
          </w:tcPr>
          <w:p>
            <w:pPr>
              <w:spacing w:after="0"/>
              <w:rPr>
                <w:sz w:val="24"/>
                <w:szCs w:val="24"/>
                <w:color w:val="auto"/>
              </w:rPr>
            </w:pPr>
          </w:p>
        </w:tc>
        <w:tc>
          <w:tcPr>
            <w:tcW w:w="9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(E)</w:t>
            </w:r>
          </w:p>
        </w:tc>
        <w:tc>
          <w:tcPr>
            <w:tcW w:w="67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any other method of withholding determined by Incyte and permitted by</w:t>
            </w:r>
          </w:p>
        </w:tc>
      </w:tr>
      <w:tr>
        <w:trPr>
          <w:trHeight w:val="282"/>
        </w:trPr>
        <w:tc>
          <w:tcPr>
            <w:tcW w:w="2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7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applicable law.</w:t>
            </w:r>
          </w:p>
        </w:tc>
      </w:tr>
      <w:tr>
        <w:trPr>
          <w:trHeight w:val="420"/>
        </w:trPr>
        <w:tc>
          <w:tcPr>
            <w:tcW w:w="2000" w:type="dxa"/>
            <w:vAlign w:val="bottom"/>
          </w:tcPr>
          <w:p>
            <w:pPr>
              <w:spacing w:after="0"/>
              <w:rPr>
                <w:sz w:val="24"/>
                <w:szCs w:val="24"/>
                <w:color w:val="auto"/>
              </w:rPr>
            </w:pPr>
          </w:p>
        </w:tc>
        <w:tc>
          <w:tcPr>
            <w:tcW w:w="772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If the obligation for Tax-Related Items is satisfied by withholding shares, for tax</w:t>
            </w:r>
          </w:p>
        </w:tc>
      </w:tr>
      <w:tr>
        <w:trPr>
          <w:trHeight w:val="243"/>
        </w:trPr>
        <w:tc>
          <w:tcPr>
            <w:tcW w:w="2000" w:type="dxa"/>
            <w:vAlign w:val="bottom"/>
          </w:tcPr>
          <w:p>
            <w:pPr>
              <w:spacing w:after="0"/>
              <w:rPr>
                <w:sz w:val="21"/>
                <w:szCs w:val="21"/>
                <w:color w:val="auto"/>
              </w:rPr>
            </w:pPr>
          </w:p>
        </w:tc>
        <w:tc>
          <w:tcPr>
            <w:tcW w:w="7720" w:type="dxa"/>
            <w:vAlign w:val="bottom"/>
            <w:gridSpan w:val="2"/>
          </w:tcPr>
          <w:p>
            <w:pPr>
              <w:ind w:left="500"/>
              <w:spacing w:after="0" w:line="243" w:lineRule="exact"/>
              <w:rPr>
                <w:sz w:val="20"/>
                <w:szCs w:val="20"/>
                <w:color w:val="auto"/>
              </w:rPr>
            </w:pPr>
            <w:r>
              <w:rPr>
                <w:rFonts w:ascii="Times New Roman" w:cs="Times New Roman" w:eastAsia="Times New Roman" w:hAnsi="Times New Roman"/>
                <w:sz w:val="22"/>
                <w:szCs w:val="22"/>
                <w:color w:val="auto"/>
                <w:w w:val="98"/>
              </w:rPr>
              <w:t>purposes, you will be deemed to have been issued the full number of shares subject</w:t>
            </w:r>
          </w:p>
        </w:tc>
      </w:tr>
      <w:tr>
        <w:trPr>
          <w:trHeight w:val="243"/>
        </w:trPr>
        <w:tc>
          <w:tcPr>
            <w:tcW w:w="2000" w:type="dxa"/>
            <w:vAlign w:val="bottom"/>
          </w:tcPr>
          <w:p>
            <w:pPr>
              <w:spacing w:after="0"/>
              <w:rPr>
                <w:sz w:val="21"/>
                <w:szCs w:val="21"/>
                <w:color w:val="auto"/>
              </w:rPr>
            </w:pPr>
          </w:p>
        </w:tc>
        <w:tc>
          <w:tcPr>
            <w:tcW w:w="7720" w:type="dxa"/>
            <w:vAlign w:val="bottom"/>
            <w:gridSpan w:val="2"/>
          </w:tcPr>
          <w:p>
            <w:pPr>
              <w:ind w:left="500"/>
              <w:spacing w:after="0" w:line="243" w:lineRule="exact"/>
              <w:rPr>
                <w:sz w:val="20"/>
                <w:szCs w:val="20"/>
                <w:color w:val="auto"/>
              </w:rPr>
            </w:pPr>
            <w:r>
              <w:rPr>
                <w:rFonts w:ascii="Times New Roman" w:cs="Times New Roman" w:eastAsia="Times New Roman" w:hAnsi="Times New Roman"/>
                <w:sz w:val="22"/>
                <w:szCs w:val="22"/>
                <w:color w:val="auto"/>
              </w:rPr>
              <w:t>to the exercised option, notwithstanding that a number of shares are withheld to</w:t>
            </w:r>
          </w:p>
        </w:tc>
      </w:tr>
      <w:tr>
        <w:trPr>
          <w:trHeight w:val="282"/>
        </w:trPr>
        <w:tc>
          <w:tcPr>
            <w:tcW w:w="2000" w:type="dxa"/>
            <w:vAlign w:val="bottom"/>
          </w:tcPr>
          <w:p>
            <w:pPr>
              <w:spacing w:after="0"/>
              <w:rPr>
                <w:sz w:val="24"/>
                <w:szCs w:val="24"/>
                <w:color w:val="auto"/>
              </w:rPr>
            </w:pPr>
          </w:p>
        </w:tc>
        <w:tc>
          <w:tcPr>
            <w:tcW w:w="772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pay the Tax-Related Items.</w:t>
            </w:r>
          </w:p>
        </w:tc>
      </w:tr>
      <w:tr>
        <w:trPr>
          <w:trHeight w:val="447"/>
        </w:trPr>
        <w:tc>
          <w:tcPr>
            <w:tcW w:w="2000" w:type="dxa"/>
            <w:vAlign w:val="bottom"/>
          </w:tcPr>
          <w:p>
            <w:pPr>
              <w:spacing w:after="0"/>
              <w:rPr>
                <w:sz w:val="24"/>
                <w:szCs w:val="24"/>
                <w:color w:val="auto"/>
              </w:rPr>
            </w:pPr>
          </w:p>
        </w:tc>
        <w:tc>
          <w:tcPr>
            <w:tcW w:w="772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Incyte may withhold or account for Tax-Related Items by considering statutory</w:t>
            </w:r>
          </w:p>
        </w:tc>
      </w:tr>
      <w:tr>
        <w:trPr>
          <w:trHeight w:val="243"/>
        </w:trPr>
        <w:tc>
          <w:tcPr>
            <w:tcW w:w="2000" w:type="dxa"/>
            <w:vAlign w:val="bottom"/>
          </w:tcPr>
          <w:p>
            <w:pPr>
              <w:spacing w:after="0"/>
              <w:rPr>
                <w:sz w:val="21"/>
                <w:szCs w:val="21"/>
                <w:color w:val="auto"/>
              </w:rPr>
            </w:pPr>
          </w:p>
        </w:tc>
        <w:tc>
          <w:tcPr>
            <w:tcW w:w="7720" w:type="dxa"/>
            <w:vAlign w:val="bottom"/>
            <w:gridSpan w:val="2"/>
          </w:tcPr>
          <w:p>
            <w:pPr>
              <w:ind w:left="500"/>
              <w:spacing w:after="0" w:line="243" w:lineRule="exact"/>
              <w:rPr>
                <w:sz w:val="20"/>
                <w:szCs w:val="20"/>
                <w:color w:val="auto"/>
              </w:rPr>
            </w:pPr>
            <w:r>
              <w:rPr>
                <w:rFonts w:ascii="Times New Roman" w:cs="Times New Roman" w:eastAsia="Times New Roman" w:hAnsi="Times New Roman"/>
                <w:sz w:val="22"/>
                <w:szCs w:val="22"/>
                <w:color w:val="auto"/>
              </w:rPr>
              <w:t>withholding rates or other applicable withholding rates, including up to the</w:t>
            </w:r>
          </w:p>
        </w:tc>
      </w:tr>
      <w:tr>
        <w:trPr>
          <w:trHeight w:val="243"/>
        </w:trPr>
        <w:tc>
          <w:tcPr>
            <w:tcW w:w="2000" w:type="dxa"/>
            <w:vAlign w:val="bottom"/>
          </w:tcPr>
          <w:p>
            <w:pPr>
              <w:spacing w:after="0"/>
              <w:rPr>
                <w:sz w:val="21"/>
                <w:szCs w:val="21"/>
                <w:color w:val="auto"/>
              </w:rPr>
            </w:pPr>
          </w:p>
        </w:tc>
        <w:tc>
          <w:tcPr>
            <w:tcW w:w="7720" w:type="dxa"/>
            <w:vAlign w:val="bottom"/>
            <w:gridSpan w:val="2"/>
          </w:tcPr>
          <w:p>
            <w:pPr>
              <w:ind w:left="500"/>
              <w:spacing w:after="0" w:line="243" w:lineRule="exact"/>
              <w:rPr>
                <w:sz w:val="20"/>
                <w:szCs w:val="20"/>
                <w:color w:val="auto"/>
              </w:rPr>
            </w:pPr>
            <w:r>
              <w:rPr>
                <w:rFonts w:ascii="Times New Roman" w:cs="Times New Roman" w:eastAsia="Times New Roman" w:hAnsi="Times New Roman"/>
                <w:sz w:val="22"/>
                <w:szCs w:val="22"/>
                <w:color w:val="auto"/>
              </w:rPr>
              <w:t>maximum applicable rate in your jurisdiction to the extent permitted under the</w:t>
            </w:r>
          </w:p>
        </w:tc>
      </w:tr>
      <w:tr>
        <w:trPr>
          <w:trHeight w:val="243"/>
        </w:trPr>
        <w:tc>
          <w:tcPr>
            <w:tcW w:w="2000" w:type="dxa"/>
            <w:vAlign w:val="bottom"/>
          </w:tcPr>
          <w:p>
            <w:pPr>
              <w:spacing w:after="0"/>
              <w:rPr>
                <w:sz w:val="21"/>
                <w:szCs w:val="21"/>
                <w:color w:val="auto"/>
              </w:rPr>
            </w:pPr>
          </w:p>
        </w:tc>
        <w:tc>
          <w:tcPr>
            <w:tcW w:w="7720" w:type="dxa"/>
            <w:vAlign w:val="bottom"/>
            <w:gridSpan w:val="2"/>
          </w:tcPr>
          <w:p>
            <w:pPr>
              <w:ind w:left="500"/>
              <w:spacing w:after="0" w:line="243" w:lineRule="exact"/>
              <w:rPr>
                <w:sz w:val="20"/>
                <w:szCs w:val="20"/>
                <w:color w:val="auto"/>
              </w:rPr>
            </w:pPr>
            <w:r>
              <w:rPr>
                <w:rFonts w:ascii="Times New Roman" w:cs="Times New Roman" w:eastAsia="Times New Roman" w:hAnsi="Times New Roman"/>
                <w:sz w:val="22"/>
                <w:szCs w:val="22"/>
                <w:color w:val="auto"/>
                <w:w w:val="99"/>
              </w:rPr>
              <w:t>Plan. In the event any over-withholding results from the application of statutory or</w:t>
            </w:r>
          </w:p>
        </w:tc>
      </w:tr>
      <w:tr>
        <w:trPr>
          <w:trHeight w:val="243"/>
        </w:trPr>
        <w:tc>
          <w:tcPr>
            <w:tcW w:w="2000" w:type="dxa"/>
            <w:vAlign w:val="bottom"/>
          </w:tcPr>
          <w:p>
            <w:pPr>
              <w:spacing w:after="0"/>
              <w:rPr>
                <w:sz w:val="21"/>
                <w:szCs w:val="21"/>
                <w:color w:val="auto"/>
              </w:rPr>
            </w:pPr>
          </w:p>
        </w:tc>
        <w:tc>
          <w:tcPr>
            <w:tcW w:w="7720" w:type="dxa"/>
            <w:vAlign w:val="bottom"/>
            <w:gridSpan w:val="2"/>
          </w:tcPr>
          <w:p>
            <w:pPr>
              <w:ind w:left="500"/>
              <w:spacing w:after="0" w:line="243" w:lineRule="exact"/>
              <w:rPr>
                <w:sz w:val="20"/>
                <w:szCs w:val="20"/>
                <w:color w:val="auto"/>
              </w:rPr>
            </w:pPr>
            <w:r>
              <w:rPr>
                <w:rFonts w:ascii="Times New Roman" w:cs="Times New Roman" w:eastAsia="Times New Roman" w:hAnsi="Times New Roman"/>
                <w:sz w:val="22"/>
                <w:szCs w:val="22"/>
                <w:color w:val="auto"/>
                <w:w w:val="99"/>
              </w:rPr>
              <w:t>other withholding rates, you may receive a refund from your employer or you may</w:t>
            </w:r>
          </w:p>
        </w:tc>
      </w:tr>
      <w:tr>
        <w:trPr>
          <w:trHeight w:val="243"/>
        </w:trPr>
        <w:tc>
          <w:tcPr>
            <w:tcW w:w="2000" w:type="dxa"/>
            <w:vAlign w:val="bottom"/>
          </w:tcPr>
          <w:p>
            <w:pPr>
              <w:spacing w:after="0"/>
              <w:rPr>
                <w:sz w:val="21"/>
                <w:szCs w:val="21"/>
                <w:color w:val="auto"/>
              </w:rPr>
            </w:pPr>
          </w:p>
        </w:tc>
        <w:tc>
          <w:tcPr>
            <w:tcW w:w="7720" w:type="dxa"/>
            <w:vAlign w:val="bottom"/>
            <w:gridSpan w:val="2"/>
          </w:tcPr>
          <w:p>
            <w:pPr>
              <w:ind w:left="500"/>
              <w:spacing w:after="0" w:line="243" w:lineRule="exact"/>
              <w:rPr>
                <w:sz w:val="20"/>
                <w:szCs w:val="20"/>
                <w:color w:val="auto"/>
              </w:rPr>
            </w:pPr>
            <w:r>
              <w:rPr>
                <w:rFonts w:ascii="Times New Roman" w:cs="Times New Roman" w:eastAsia="Times New Roman" w:hAnsi="Times New Roman"/>
                <w:sz w:val="22"/>
                <w:szCs w:val="22"/>
                <w:color w:val="auto"/>
              </w:rPr>
              <w:t>be required to request a refund from the tax authorities in your country, but you</w:t>
            </w:r>
          </w:p>
        </w:tc>
      </w:tr>
      <w:tr>
        <w:trPr>
          <w:trHeight w:val="243"/>
        </w:trPr>
        <w:tc>
          <w:tcPr>
            <w:tcW w:w="2000" w:type="dxa"/>
            <w:vAlign w:val="bottom"/>
          </w:tcPr>
          <w:p>
            <w:pPr>
              <w:spacing w:after="0"/>
              <w:rPr>
                <w:sz w:val="21"/>
                <w:szCs w:val="21"/>
                <w:color w:val="auto"/>
              </w:rPr>
            </w:pPr>
          </w:p>
        </w:tc>
        <w:tc>
          <w:tcPr>
            <w:tcW w:w="7720" w:type="dxa"/>
            <w:vAlign w:val="bottom"/>
            <w:gridSpan w:val="2"/>
          </w:tcPr>
          <w:p>
            <w:pPr>
              <w:ind w:left="500"/>
              <w:spacing w:after="0" w:line="243" w:lineRule="exact"/>
              <w:rPr>
                <w:sz w:val="20"/>
                <w:szCs w:val="20"/>
                <w:color w:val="auto"/>
              </w:rPr>
            </w:pPr>
            <w:r>
              <w:rPr>
                <w:rFonts w:ascii="Times New Roman" w:cs="Times New Roman" w:eastAsia="Times New Roman" w:hAnsi="Times New Roman"/>
                <w:sz w:val="22"/>
                <w:szCs w:val="22"/>
                <w:color w:val="auto"/>
              </w:rPr>
              <w:t>will not be entitled to any interest or to the equivalent amount in shares.  In the</w:t>
            </w:r>
          </w:p>
        </w:tc>
      </w:tr>
      <w:tr>
        <w:trPr>
          <w:trHeight w:val="243"/>
        </w:trPr>
        <w:tc>
          <w:tcPr>
            <w:tcW w:w="2000" w:type="dxa"/>
            <w:vAlign w:val="bottom"/>
          </w:tcPr>
          <w:p>
            <w:pPr>
              <w:spacing w:after="0"/>
              <w:rPr>
                <w:sz w:val="21"/>
                <w:szCs w:val="21"/>
                <w:color w:val="auto"/>
              </w:rPr>
            </w:pPr>
          </w:p>
        </w:tc>
        <w:tc>
          <w:tcPr>
            <w:tcW w:w="7720" w:type="dxa"/>
            <w:vAlign w:val="bottom"/>
            <w:gridSpan w:val="2"/>
          </w:tcPr>
          <w:p>
            <w:pPr>
              <w:ind w:left="500"/>
              <w:spacing w:after="0" w:line="243" w:lineRule="exact"/>
              <w:rPr>
                <w:sz w:val="20"/>
                <w:szCs w:val="20"/>
                <w:color w:val="auto"/>
              </w:rPr>
            </w:pPr>
            <w:r>
              <w:rPr>
                <w:rFonts w:ascii="Times New Roman" w:cs="Times New Roman" w:eastAsia="Times New Roman" w:hAnsi="Times New Roman"/>
                <w:sz w:val="22"/>
                <w:szCs w:val="22"/>
                <w:color w:val="auto"/>
              </w:rPr>
              <w:t>event any under-withholding results from the application or statutory or other</w:t>
            </w:r>
          </w:p>
        </w:tc>
      </w:tr>
      <w:tr>
        <w:trPr>
          <w:trHeight w:val="243"/>
        </w:trPr>
        <w:tc>
          <w:tcPr>
            <w:tcW w:w="2000" w:type="dxa"/>
            <w:vAlign w:val="bottom"/>
          </w:tcPr>
          <w:p>
            <w:pPr>
              <w:spacing w:after="0"/>
              <w:rPr>
                <w:sz w:val="21"/>
                <w:szCs w:val="21"/>
                <w:color w:val="auto"/>
              </w:rPr>
            </w:pPr>
          </w:p>
        </w:tc>
        <w:tc>
          <w:tcPr>
            <w:tcW w:w="7720" w:type="dxa"/>
            <w:vAlign w:val="bottom"/>
            <w:gridSpan w:val="2"/>
          </w:tcPr>
          <w:p>
            <w:pPr>
              <w:ind w:left="500"/>
              <w:spacing w:after="0" w:line="243" w:lineRule="exact"/>
              <w:rPr>
                <w:sz w:val="20"/>
                <w:szCs w:val="20"/>
                <w:color w:val="auto"/>
              </w:rPr>
            </w:pPr>
            <w:r>
              <w:rPr>
                <w:rFonts w:ascii="Times New Roman" w:cs="Times New Roman" w:eastAsia="Times New Roman" w:hAnsi="Times New Roman"/>
                <w:sz w:val="22"/>
                <w:szCs w:val="22"/>
                <w:color w:val="auto"/>
              </w:rPr>
              <w:t>withholding rates, you may be required to pay additional amounts to the tax</w:t>
            </w:r>
          </w:p>
        </w:tc>
      </w:tr>
      <w:tr>
        <w:trPr>
          <w:trHeight w:val="282"/>
        </w:trPr>
        <w:tc>
          <w:tcPr>
            <w:tcW w:w="2000" w:type="dxa"/>
            <w:vAlign w:val="bottom"/>
          </w:tcPr>
          <w:p>
            <w:pPr>
              <w:spacing w:after="0"/>
              <w:rPr>
                <w:sz w:val="24"/>
                <w:szCs w:val="24"/>
                <w:color w:val="auto"/>
              </w:rPr>
            </w:pPr>
          </w:p>
        </w:tc>
        <w:tc>
          <w:tcPr>
            <w:tcW w:w="772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authorities in your country.</w:t>
            </w:r>
          </w:p>
        </w:tc>
      </w:tr>
      <w:tr>
        <w:trPr>
          <w:trHeight w:val="443"/>
        </w:trPr>
        <w:tc>
          <w:tcPr>
            <w:tcW w:w="20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[Notice of Share</w:t>
            </w:r>
          </w:p>
        </w:tc>
        <w:tc>
          <w:tcPr>
            <w:tcW w:w="7720" w:type="dxa"/>
            <w:vAlign w:val="bottom"/>
            <w:gridSpan w:val="2"/>
          </w:tcPr>
          <w:p>
            <w:pPr>
              <w:ind w:left="500"/>
              <w:spacing w:after="0"/>
              <w:rPr>
                <w:sz w:val="20"/>
                <w:szCs w:val="20"/>
                <w:color w:val="auto"/>
              </w:rPr>
            </w:pPr>
            <w:r>
              <w:rPr>
                <w:rFonts w:ascii="Times New Roman" w:cs="Times New Roman" w:eastAsia="Times New Roman" w:hAnsi="Times New Roman"/>
                <w:sz w:val="22"/>
                <w:szCs w:val="22"/>
                <w:i w:val="1"/>
                <w:iCs w:val="1"/>
                <w:color w:val="auto"/>
              </w:rPr>
              <w:t xml:space="preserve">[For incentive stock options only]  </w:t>
            </w:r>
            <w:r>
              <w:rPr>
                <w:rFonts w:ascii="Times New Roman" w:cs="Times New Roman" w:eastAsia="Times New Roman" w:hAnsi="Times New Roman"/>
                <w:sz w:val="22"/>
                <w:szCs w:val="22"/>
                <w:color w:val="auto"/>
              </w:rPr>
              <w:t>If you sell or dispose of any shares acquired</w:t>
            </w:r>
          </w:p>
        </w:tc>
      </w:tr>
      <w:tr>
        <w:trPr>
          <w:trHeight w:val="247"/>
        </w:trPr>
        <w:tc>
          <w:tcPr>
            <w:tcW w:w="2000" w:type="dxa"/>
            <w:vAlign w:val="bottom"/>
          </w:tcPr>
          <w:p>
            <w:pPr>
              <w:spacing w:after="0" w:line="247" w:lineRule="exact"/>
              <w:rPr>
                <w:sz w:val="20"/>
                <w:szCs w:val="20"/>
                <w:color w:val="auto"/>
              </w:rPr>
            </w:pPr>
            <w:r>
              <w:rPr>
                <w:rFonts w:ascii="Times New Roman" w:cs="Times New Roman" w:eastAsia="Times New Roman" w:hAnsi="Times New Roman"/>
                <w:sz w:val="22"/>
                <w:szCs w:val="22"/>
                <w:b w:val="1"/>
                <w:bCs w:val="1"/>
                <w:color w:val="auto"/>
              </w:rPr>
              <w:t>Disposition]</w:t>
            </w:r>
          </w:p>
        </w:tc>
        <w:tc>
          <w:tcPr>
            <w:tcW w:w="7720" w:type="dxa"/>
            <w:vAlign w:val="bottom"/>
            <w:gridSpan w:val="2"/>
          </w:tcPr>
          <w:p>
            <w:pPr>
              <w:ind w:left="500"/>
              <w:spacing w:after="0" w:line="247" w:lineRule="exact"/>
              <w:rPr>
                <w:sz w:val="20"/>
                <w:szCs w:val="20"/>
                <w:color w:val="auto"/>
              </w:rPr>
            </w:pPr>
            <w:r>
              <w:rPr>
                <w:rFonts w:ascii="Times New Roman" w:cs="Times New Roman" w:eastAsia="Times New Roman" w:hAnsi="Times New Roman"/>
                <w:sz w:val="22"/>
                <w:szCs w:val="22"/>
                <w:color w:val="auto"/>
              </w:rPr>
              <w:t>pursuant to this Agreement on or before the later of (i) 2 years after the Date of</w:t>
            </w:r>
          </w:p>
        </w:tc>
      </w:tr>
      <w:tr>
        <w:trPr>
          <w:trHeight w:val="243"/>
        </w:trPr>
        <w:tc>
          <w:tcPr>
            <w:tcW w:w="2000" w:type="dxa"/>
            <w:vAlign w:val="bottom"/>
          </w:tcPr>
          <w:p>
            <w:pPr>
              <w:spacing w:after="0"/>
              <w:rPr>
                <w:sz w:val="21"/>
                <w:szCs w:val="21"/>
                <w:color w:val="auto"/>
              </w:rPr>
            </w:pPr>
          </w:p>
        </w:tc>
        <w:tc>
          <w:tcPr>
            <w:tcW w:w="7720" w:type="dxa"/>
            <w:vAlign w:val="bottom"/>
            <w:gridSpan w:val="2"/>
          </w:tcPr>
          <w:p>
            <w:pPr>
              <w:ind w:left="500"/>
              <w:spacing w:after="0" w:line="243" w:lineRule="exact"/>
              <w:rPr>
                <w:sz w:val="20"/>
                <w:szCs w:val="20"/>
                <w:color w:val="auto"/>
              </w:rPr>
            </w:pPr>
            <w:r>
              <w:rPr>
                <w:rFonts w:ascii="Times New Roman" w:cs="Times New Roman" w:eastAsia="Times New Roman" w:hAnsi="Times New Roman"/>
                <w:sz w:val="22"/>
                <w:szCs w:val="22"/>
                <w:color w:val="auto"/>
              </w:rPr>
              <w:t>Grant, or (ii) 1 year after the exercise date, you shall immediately notify Incyte in</w:t>
            </w:r>
          </w:p>
        </w:tc>
      </w:tr>
      <w:tr>
        <w:trPr>
          <w:trHeight w:val="282"/>
        </w:trPr>
        <w:tc>
          <w:tcPr>
            <w:tcW w:w="2000" w:type="dxa"/>
            <w:vAlign w:val="bottom"/>
          </w:tcPr>
          <w:p>
            <w:pPr>
              <w:spacing w:after="0"/>
              <w:rPr>
                <w:sz w:val="24"/>
                <w:szCs w:val="24"/>
                <w:color w:val="auto"/>
              </w:rPr>
            </w:pPr>
          </w:p>
        </w:tc>
        <w:tc>
          <w:tcPr>
            <w:tcW w:w="772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writing of such disposition.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353695</wp:posOffset>
            </wp:positionV>
            <wp:extent cx="629221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20"/>
          </w:cols>
          <w:pgMar w:left="1080" w:top="868" w:right="10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21"/>
          <w:szCs w:val="21"/>
          <w:b w:val="1"/>
          <w:bCs w:val="1"/>
          <w:color w:val="auto"/>
        </w:rPr>
        <w:t>Restrictions on Resale</w:t>
      </w:r>
    </w:p>
    <w:p>
      <w:pPr>
        <w:spacing w:after="0" w:line="20" w:lineRule="exact"/>
        <w:rPr>
          <w:sz w:val="20"/>
          <w:szCs w:val="20"/>
          <w:color w:val="auto"/>
        </w:rPr>
      </w:pPr>
      <w:r>
        <w:rPr>
          <w:sz w:val="20"/>
          <w:szCs w:val="20"/>
          <w:color w:val="auto"/>
        </w:rPr>
        <w:br w:type="column"/>
      </w:r>
    </w:p>
    <w:p>
      <w:pPr>
        <w:jc w:val="both"/>
        <w:spacing w:after="0" w:line="239" w:lineRule="auto"/>
        <w:rPr>
          <w:sz w:val="20"/>
          <w:szCs w:val="20"/>
          <w:color w:val="auto"/>
        </w:rPr>
      </w:pPr>
      <w:r>
        <w:rPr>
          <w:rFonts w:ascii="Times New Roman" w:cs="Times New Roman" w:eastAsia="Times New Roman" w:hAnsi="Times New Roman"/>
          <w:sz w:val="22"/>
          <w:szCs w:val="22"/>
          <w:color w:val="auto"/>
        </w:rPr>
        <w:t>By accepting the grant notice, you agree not to sell any option shares at a time when applicable laws or Incyte policies prohibit a sale. This restriction will apply as long as you are an employee, director, consultant or advisor of Incyte (or any subsidiary).</w:t>
      </w:r>
    </w:p>
    <w:p>
      <w:pPr>
        <w:spacing w:after="0" w:line="200" w:lineRule="exact"/>
        <w:rPr>
          <w:sz w:val="20"/>
          <w:szCs w:val="20"/>
          <w:color w:val="auto"/>
        </w:rPr>
      </w:pPr>
    </w:p>
    <w:p>
      <w:pPr>
        <w:sectPr>
          <w:pgSz w:w="11900" w:h="16838" w:orient="portrait"/>
          <w:cols w:equalWidth="0" w:num="2">
            <w:col w:w="2040" w:space="460"/>
            <w:col w:w="7220"/>
          </w:cols>
          <w:pgMar w:left="1080" w:top="864" w:right="1099" w:bottom="1440" w:gutter="0" w:footer="0" w:header="0"/>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Change in Control</w:t>
      </w:r>
    </w:p>
    <w:p>
      <w:pPr>
        <w:spacing w:after="0" w:line="20" w:lineRule="exact"/>
        <w:rPr>
          <w:sz w:val="20"/>
          <w:szCs w:val="20"/>
          <w:color w:val="auto"/>
        </w:rPr>
      </w:pPr>
      <w:r>
        <w:rPr>
          <w:sz w:val="20"/>
          <w:szCs w:val="20"/>
          <w:color w:val="auto"/>
        </w:rPr>
        <w:br w:type="column"/>
      </w:r>
    </w:p>
    <w:p>
      <w:pPr>
        <w:jc w:val="both"/>
        <w:spacing w:after="0" w:line="238" w:lineRule="auto"/>
        <w:rPr>
          <w:sz w:val="20"/>
          <w:szCs w:val="20"/>
          <w:color w:val="auto"/>
        </w:rPr>
      </w:pPr>
      <w:r>
        <w:rPr>
          <w:rFonts w:ascii="Times New Roman" w:cs="Times New Roman" w:eastAsia="Times New Roman" w:hAnsi="Times New Roman"/>
          <w:sz w:val="22"/>
          <w:szCs w:val="22"/>
          <w:color w:val="auto"/>
        </w:rPr>
        <w:t>The following provisions will apply in the event a Change in Control (as defined in the Plan) occurs while this option is outstanding and you are still performing service as an employee, director, consultant or advisor of Incyte (or any parent or subsidiary). For purposes of these provisions, Incyte or any parent or subsidiary for which you are performing services is referred to as the “Employer.”</w:t>
      </w:r>
    </w:p>
    <w:p>
      <w:pPr>
        <w:spacing w:after="0" w:line="200" w:lineRule="exact"/>
        <w:rPr>
          <w:sz w:val="20"/>
          <w:szCs w:val="20"/>
          <w:color w:val="auto"/>
        </w:rPr>
      </w:pPr>
    </w:p>
    <w:p>
      <w:pPr>
        <w:sectPr>
          <w:pgSz w:w="11900" w:h="16838" w:orient="portrait"/>
          <w:cols w:equalWidth="0" w:num="2">
            <w:col w:w="1780" w:space="720"/>
            <w:col w:w="7220"/>
          </w:cols>
          <w:pgMar w:left="1080" w:top="864" w:right="1099" w:bottom="1440" w:gutter="0" w:footer="0" w:header="0"/>
          <w:type w:val="continuous"/>
        </w:sectPr>
      </w:pPr>
    </w:p>
    <w:p>
      <w:pPr>
        <w:spacing w:after="0" w:line="4" w:lineRule="exact"/>
        <w:rPr>
          <w:sz w:val="20"/>
          <w:szCs w:val="20"/>
          <w:color w:val="auto"/>
        </w:rPr>
      </w:pPr>
    </w:p>
    <w:p>
      <w:pPr>
        <w:jc w:val="both"/>
        <w:ind w:left="2500"/>
        <w:spacing w:after="0" w:line="244" w:lineRule="auto"/>
        <w:rPr>
          <w:sz w:val="20"/>
          <w:szCs w:val="20"/>
          <w:color w:val="auto"/>
        </w:rPr>
      </w:pPr>
      <w:r>
        <w:rPr>
          <w:rFonts w:ascii="Times New Roman" w:cs="Times New Roman" w:eastAsia="Times New Roman" w:hAnsi="Times New Roman"/>
          <w:sz w:val="22"/>
          <w:szCs w:val="22"/>
          <w:color w:val="auto"/>
        </w:rPr>
        <w:t>If this Agreement is not assumed or replaced with a new comparable award (with the determination of comparability to be made by the Committee), then there would be full accelerated vesting of this option upon the Change in Control.</w:t>
      </w:r>
    </w:p>
    <w:p>
      <w:pPr>
        <w:spacing w:after="0" w:line="200" w:lineRule="exact"/>
        <w:rPr>
          <w:sz w:val="20"/>
          <w:szCs w:val="20"/>
          <w:color w:val="auto"/>
        </w:rPr>
      </w:pPr>
    </w:p>
    <w:p>
      <w:pPr>
        <w:jc w:val="both"/>
        <w:ind w:left="2500"/>
        <w:spacing w:after="0" w:line="239" w:lineRule="auto"/>
        <w:rPr>
          <w:sz w:val="20"/>
          <w:szCs w:val="20"/>
          <w:color w:val="auto"/>
        </w:rPr>
      </w:pPr>
      <w:r>
        <w:rPr>
          <w:rFonts w:ascii="Times New Roman" w:cs="Times New Roman" w:eastAsia="Times New Roman" w:hAnsi="Times New Roman"/>
          <w:sz w:val="22"/>
          <w:szCs w:val="22"/>
          <w:color w:val="auto"/>
        </w:rPr>
        <w:t>If this Agreement is assumed or replaced with a new comparable award, then this option (or such comparable award) would vest in full if within one year following the Change in Control your service for the Employer is terminated without Cause or is Constructively Terminated.</w:t>
      </w:r>
    </w:p>
    <w:p>
      <w:pPr>
        <w:spacing w:after="0" w:line="20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1"/>
          <w:szCs w:val="21"/>
          <w:color w:val="auto"/>
        </w:rPr>
        <w:t>For purposes of this Agreement, “Cause” shall mean</w:t>
      </w:r>
    </w:p>
    <w:p>
      <w:pPr>
        <w:spacing w:after="0" w:line="245" w:lineRule="exact"/>
        <w:rPr>
          <w:sz w:val="20"/>
          <w:szCs w:val="20"/>
          <w:color w:val="auto"/>
        </w:rPr>
      </w:pPr>
    </w:p>
    <w:p>
      <w:pPr>
        <w:jc w:val="both"/>
        <w:ind w:left="2500" w:firstLine="956"/>
        <w:spacing w:after="0" w:line="245" w:lineRule="auto"/>
        <w:rPr>
          <w:sz w:val="20"/>
          <w:szCs w:val="20"/>
          <w:color w:val="auto"/>
        </w:rPr>
      </w:pPr>
      <w:r>
        <w:rPr>
          <w:rFonts w:ascii="Times New Roman" w:cs="Times New Roman" w:eastAsia="Times New Roman" w:hAnsi="Times New Roman"/>
          <w:sz w:val="21"/>
          <w:szCs w:val="21"/>
          <w:color w:val="auto"/>
        </w:rPr>
        <w:t>(i) in the case where there is no employment agreement, consulting agreement, change in control agreement or similar agreement or plan in effect between Incyte and you on the date specified in the grant notice (or where there is such an agreement or plan but it does not define “cause” (or words of like import)): (A) your continued failure to perform your duties with the Employer (other than any such failure resulting from incapacity due to physical or mental illness or total and permanent disability, which incapacity has been recognized as such by the Committee or its designee); (B) engagement in illegal conduct, gross misconduct or dishonesty that is injurious to the Employer or its affiliates; (C) unauthorized disclosure or misuse of any of the Employer’s secret, confidential or proprietary information, knowledge or data relating to the Employer or its affiliates; or (D) violation of any of the employee policies or procedures of the Employer; or</w:t>
      </w:r>
    </w:p>
    <w:p>
      <w:pPr>
        <w:spacing w:after="0" w:line="201" w:lineRule="exact"/>
        <w:rPr>
          <w:sz w:val="20"/>
          <w:szCs w:val="20"/>
          <w:color w:val="auto"/>
        </w:rPr>
      </w:pPr>
    </w:p>
    <w:p>
      <w:pPr>
        <w:jc w:val="both"/>
        <w:ind w:left="2500" w:firstLine="956"/>
        <w:spacing w:after="0" w:line="239" w:lineRule="auto"/>
        <w:rPr>
          <w:sz w:val="20"/>
          <w:szCs w:val="20"/>
          <w:color w:val="auto"/>
        </w:rPr>
      </w:pPr>
      <w:r>
        <w:rPr>
          <w:rFonts w:ascii="Times New Roman" w:cs="Times New Roman" w:eastAsia="Times New Roman" w:hAnsi="Times New Roman"/>
          <w:sz w:val="22"/>
          <w:szCs w:val="22"/>
          <w:color w:val="auto"/>
        </w:rPr>
        <w:t>(ii) in the case where there is an employment agreement, consulting agreement, change in control agreement or similar agreement or plan in effect between Incyte and you on the date specified in the grant notice that defines “cause” (or words of like import), as defined under such agreement or plan.</w:t>
      </w:r>
    </w:p>
    <w:p>
      <w:pPr>
        <w:spacing w:after="0" w:line="20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For purposes of this Agreement, “Constructive Termination” shall mean</w:t>
      </w:r>
    </w:p>
    <w:p>
      <w:pPr>
        <w:sectPr>
          <w:pgSz w:w="11900" w:h="16838" w:orient="portrait"/>
          <w:cols w:equalWidth="0" w:num="1">
            <w:col w:w="9720"/>
          </w:cols>
          <w:pgMar w:left="1080" w:top="864"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353695</wp:posOffset>
            </wp:positionV>
            <wp:extent cx="629221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20"/>
          </w:cols>
          <w:pgMar w:left="1080" w:top="864" w:right="1099" w:bottom="1440" w:gutter="0" w:footer="0" w:header="0"/>
          <w:type w:val="continuous"/>
        </w:sectPr>
      </w:pPr>
    </w:p>
    <w:bookmarkStart w:id="106" w:name="page107"/>
    <w:bookmarkEnd w:id="106"/>
    <w:p>
      <w:pPr>
        <w:jc w:val="both"/>
        <w:ind w:left="2500" w:firstLine="956"/>
        <w:spacing w:after="0" w:line="232" w:lineRule="auto"/>
        <w:rPr>
          <w:sz w:val="20"/>
          <w:szCs w:val="20"/>
          <w:color w:val="auto"/>
        </w:rPr>
      </w:pPr>
      <w:r>
        <w:rPr>
          <w:rFonts w:ascii="Times New Roman" w:cs="Times New Roman" w:eastAsia="Times New Roman" w:hAnsi="Times New Roman"/>
          <w:sz w:val="22"/>
          <w:szCs w:val="22"/>
          <w:color w:val="auto"/>
        </w:rPr>
        <w:t>(i) in the case where there is no employment agreement, consulting agreement, change in control agreement or similar agreement or plan in effect between Incyte and you on the date specified in the grant notice (or where there is such an agreement or plan but it does not define “constructive termination” (or words of like import)): (A) the assignment to you of any duties fundamentally inconsistent with your position, authority, duties or responsibilities as in effect immediately prior to a Change in Control (or any other action by the Employer that results in a fundamental diminishment in such position, authority, duties or responsibilities as in effect immediately prior to a Change in Control), provided that neither a mere change in title alone nor reassignment to a position that is substantially similar to the position held prior to the Change in Control shall constitute fundamental diminishment; (B) the Employer requiring you to be based at any office or location more than 50 miles from the office or location where you are based immediately prior to the Change in Control; or (C) any reduction in your annual base salary or target bonus opportunity (if any) from that which exists immediately prior to a Change in Control; or</w:t>
      </w:r>
    </w:p>
    <w:p>
      <w:pPr>
        <w:spacing w:after="0" w:line="218" w:lineRule="exact"/>
        <w:rPr>
          <w:sz w:val="20"/>
          <w:szCs w:val="20"/>
          <w:color w:val="auto"/>
        </w:rPr>
      </w:pPr>
    </w:p>
    <w:p>
      <w:pPr>
        <w:jc w:val="both"/>
        <w:ind w:left="2500" w:firstLine="956"/>
        <w:spacing w:after="0" w:line="238" w:lineRule="auto"/>
        <w:rPr>
          <w:sz w:val="20"/>
          <w:szCs w:val="20"/>
          <w:color w:val="auto"/>
        </w:rPr>
      </w:pPr>
      <w:r>
        <w:rPr>
          <w:rFonts w:ascii="Times New Roman" w:cs="Times New Roman" w:eastAsia="Times New Roman" w:hAnsi="Times New Roman"/>
          <w:sz w:val="22"/>
          <w:szCs w:val="22"/>
          <w:color w:val="auto"/>
        </w:rPr>
        <w:t>(ii) in the case where there is an employment agreement, consulting agreement, change in control agreement or similar agreement or plan in effect between Incyte and you on the date specified in the grant notice that defines “constructive termination” (or words of like import), as defined under such agreement or plan.</w:t>
      </w:r>
    </w:p>
    <w:p>
      <w:pPr>
        <w:sectPr>
          <w:pgSz w:w="11900" w:h="16838" w:orient="portrait"/>
          <w:cols w:equalWidth="0" w:num="1">
            <w:col w:w="9720"/>
          </w:cols>
          <w:pgMar w:left="1080" w:top="868" w:right="1099" w:bottom="1440" w:gutter="0" w:footer="0" w:header="0"/>
        </w:sectPr>
      </w:pP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Transfer of Option</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Prior to your death, only you may exercise this option. You cannot transfer or assign this option. For instance, you may not sell this option or use it as security for a loan. If you attempt to do any of these things, this option will immediately become invalid. You may, however, designate a family member or family trust as your beneficiary to exercise this option after your death (your designation must be in writing and delivered to Incyte), or you may dispose of this option in your will. Incyte has the sole and absolute discretion to determine whether any beneficiary designation or will is valid for purposes of the transfer of this option following your death.</w:t>
      </w:r>
    </w:p>
    <w:p>
      <w:pPr>
        <w:spacing w:after="0" w:line="200" w:lineRule="exact"/>
        <w:rPr>
          <w:sz w:val="20"/>
          <w:szCs w:val="20"/>
          <w:color w:val="auto"/>
        </w:rPr>
      </w:pPr>
    </w:p>
    <w:p>
      <w:pPr>
        <w:sectPr>
          <w:pgSz w:w="11900" w:h="16838" w:orient="portrait"/>
          <w:cols w:equalWidth="0" w:num="2">
            <w:col w:w="1780" w:space="720"/>
            <w:col w:w="7220"/>
          </w:cols>
          <w:pgMar w:left="1080" w:top="868" w:right="1099" w:bottom="1440" w:gutter="0" w:footer="0" w:header="0"/>
          <w:type w:val="continuous"/>
        </w:sectPr>
      </w:pPr>
    </w:p>
    <w:p>
      <w:pPr>
        <w:spacing w:after="0" w:line="10" w:lineRule="exact"/>
        <w:rPr>
          <w:sz w:val="20"/>
          <w:szCs w:val="20"/>
          <w:color w:val="auto"/>
        </w:rPr>
      </w:pPr>
    </w:p>
    <w:p>
      <w:pPr>
        <w:jc w:val="both"/>
        <w:ind w:left="2500"/>
        <w:spacing w:after="0" w:line="244" w:lineRule="auto"/>
        <w:rPr>
          <w:sz w:val="20"/>
          <w:szCs w:val="20"/>
          <w:color w:val="auto"/>
        </w:rPr>
      </w:pPr>
      <w:r>
        <w:rPr>
          <w:rFonts w:ascii="Times New Roman" w:cs="Times New Roman" w:eastAsia="Times New Roman" w:hAnsi="Times New Roman"/>
          <w:sz w:val="22"/>
          <w:szCs w:val="22"/>
          <w:color w:val="auto"/>
        </w:rPr>
        <w:t>Regardless of any marital property settlement agreement, Incyte is not obligated to honor a notice of exercise from your former spouse, nor is Incyte obligated to recognize your former spouse’s interest in your option in any way.</w:t>
      </w:r>
    </w:p>
    <w:p>
      <w:pPr>
        <w:sectPr>
          <w:pgSz w:w="11900" w:h="16838" w:orient="portrait"/>
          <w:cols w:equalWidth="0" w:num="1">
            <w:col w:w="9720"/>
          </w:cols>
          <w:pgMar w:left="1080" w:top="868" w:right="1099" w:bottom="1440" w:gutter="0" w:footer="0" w:header="0"/>
          <w:type w:val="continuous"/>
        </w:sectPr>
      </w:pP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Retention Rights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Neither your option nor this Agreement gives you the right to be retained by Incyte (or any subsidiaries) in any capacity. Incyte (and any subsidiaries) reserve the right to terminate your service at any time, with or without cause.</w:t>
      </w:r>
    </w:p>
    <w:p>
      <w:pPr>
        <w:spacing w:after="0" w:line="200" w:lineRule="exact"/>
        <w:rPr>
          <w:sz w:val="20"/>
          <w:szCs w:val="20"/>
          <w:color w:val="auto"/>
        </w:rPr>
      </w:pPr>
    </w:p>
    <w:p>
      <w:pPr>
        <w:sectPr>
          <w:pgSz w:w="11900" w:h="16838" w:orient="portrait"/>
          <w:cols w:equalWidth="0" w:num="2">
            <w:col w:w="1780" w:space="720"/>
            <w:col w:w="7220"/>
          </w:cols>
          <w:pgMar w:left="1080" w:top="868"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353695</wp:posOffset>
            </wp:positionV>
            <wp:extent cx="629221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20"/>
          </w:cols>
          <w:pgMar w:left="1080" w:top="868" w:right="109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21"/>
          <w:szCs w:val="21"/>
          <w:b w:val="1"/>
          <w:bCs w:val="1"/>
          <w:color w:val="auto"/>
        </w:rPr>
        <w:t>Stockholder Rights</w:t>
      </w:r>
    </w:p>
    <w:p>
      <w:pPr>
        <w:spacing w:after="0" w:line="20" w:lineRule="exact"/>
        <w:rPr>
          <w:sz w:val="20"/>
          <w:szCs w:val="20"/>
          <w:color w:val="auto"/>
        </w:rPr>
      </w:pPr>
      <w:r>
        <w:rPr>
          <w:sz w:val="20"/>
          <w:szCs w:val="20"/>
          <w:color w:val="auto"/>
        </w:rPr>
        <w:br w:type="column"/>
      </w:r>
    </w:p>
    <w:p>
      <w:pPr>
        <w:jc w:val="both"/>
        <w:spacing w:after="0" w:line="239" w:lineRule="auto"/>
        <w:rPr>
          <w:sz w:val="20"/>
          <w:szCs w:val="20"/>
          <w:color w:val="auto"/>
        </w:rPr>
      </w:pPr>
      <w:r>
        <w:rPr>
          <w:rFonts w:ascii="Times New Roman" w:cs="Times New Roman" w:eastAsia="Times New Roman" w:hAnsi="Times New Roman"/>
          <w:sz w:val="22"/>
          <w:szCs w:val="22"/>
          <w:color w:val="auto"/>
        </w:rPr>
        <w:t>You, or your estate or heirs, have no rights as a stockholder of Incyte until a certificate for your option shares has been issued. No adjustments are made for dividends or other rights if the applicable record date occurs before your stock certificate is issued, except as described in the Plan.</w:t>
      </w:r>
    </w:p>
    <w:p>
      <w:pPr>
        <w:spacing w:after="0" w:line="200" w:lineRule="exact"/>
        <w:rPr>
          <w:sz w:val="20"/>
          <w:szCs w:val="20"/>
          <w:color w:val="auto"/>
        </w:rPr>
      </w:pPr>
    </w:p>
    <w:p>
      <w:pPr>
        <w:sectPr>
          <w:pgSz w:w="11900" w:h="16838" w:orient="portrait"/>
          <w:cols w:equalWidth="0" w:num="2">
            <w:col w:w="1780" w:space="720"/>
            <w:col w:w="7220"/>
          </w:cols>
          <w:pgMar w:left="1080" w:top="864" w:right="1099" w:bottom="1440" w:gutter="0" w:footer="0" w:header="0"/>
        </w:sectPr>
      </w:pPr>
    </w:p>
    <w:p>
      <w:pPr>
        <w:spacing w:after="0" w:line="3"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2"/>
          <w:szCs w:val="22"/>
          <w:b w:val="1"/>
          <w:bCs w:val="1"/>
          <w:color w:val="auto"/>
        </w:rPr>
        <w:t>Recovery and Reimbursement of Option Gain</w:t>
      </w:r>
    </w:p>
    <w:p>
      <w:pPr>
        <w:spacing w:after="0" w:line="20" w:lineRule="exact"/>
        <w:rPr>
          <w:sz w:val="20"/>
          <w:szCs w:val="20"/>
          <w:color w:val="auto"/>
        </w:rPr>
      </w:pPr>
      <w:r>
        <w:rPr>
          <w:sz w:val="20"/>
          <w:szCs w:val="20"/>
          <w:color w:val="auto"/>
        </w:rPr>
        <w:br w:type="column"/>
      </w:r>
    </w:p>
    <w:p>
      <w:pPr>
        <w:jc w:val="both"/>
        <w:spacing w:after="0" w:line="239" w:lineRule="auto"/>
        <w:rPr>
          <w:sz w:val="20"/>
          <w:szCs w:val="20"/>
          <w:color w:val="auto"/>
        </w:rPr>
      </w:pPr>
      <w:r>
        <w:rPr>
          <w:rFonts w:ascii="Times New Roman" w:cs="Times New Roman" w:eastAsia="Times New Roman" w:hAnsi="Times New Roman"/>
          <w:sz w:val="22"/>
          <w:szCs w:val="22"/>
          <w:color w:val="auto"/>
        </w:rPr>
        <w:t>Incyte shall have the right to recover, or receive reimbursement for, any compensation or profit realized by the exercise of this option or by the disposition of any option shares to the extent Incyte has such a right of recovery or reimbursement under applicable securities laws.</w:t>
      </w:r>
    </w:p>
    <w:p>
      <w:pPr>
        <w:spacing w:after="0" w:line="200" w:lineRule="exact"/>
        <w:rPr>
          <w:sz w:val="20"/>
          <w:szCs w:val="20"/>
          <w:color w:val="auto"/>
        </w:rPr>
      </w:pPr>
    </w:p>
    <w:p>
      <w:pPr>
        <w:sectPr>
          <w:pgSz w:w="11900" w:h="16838" w:orient="portrait"/>
          <w:cols w:equalWidth="0" w:num="2">
            <w:col w:w="1780" w:space="720"/>
            <w:col w:w="7220"/>
          </w:cols>
          <w:pgMar w:left="1080" w:top="864" w:right="109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Adjustments</w:t>
      </w:r>
    </w:p>
    <w:p>
      <w:pPr>
        <w:spacing w:after="0" w:line="20" w:lineRule="exact"/>
        <w:rPr>
          <w:sz w:val="20"/>
          <w:szCs w:val="20"/>
          <w:color w:val="auto"/>
        </w:rPr>
      </w:pPr>
      <w:r>
        <w:rPr>
          <w:sz w:val="20"/>
          <w:szCs w:val="20"/>
          <w:color w:val="auto"/>
        </w:rPr>
        <w:br w:type="column"/>
      </w:r>
    </w:p>
    <w:p>
      <w:pPr>
        <w:jc w:val="both"/>
        <w:spacing w:after="0" w:line="244" w:lineRule="auto"/>
        <w:rPr>
          <w:sz w:val="20"/>
          <w:szCs w:val="20"/>
          <w:color w:val="auto"/>
        </w:rPr>
      </w:pPr>
      <w:r>
        <w:rPr>
          <w:rFonts w:ascii="Times New Roman" w:cs="Times New Roman" w:eastAsia="Times New Roman" w:hAnsi="Times New Roman"/>
          <w:sz w:val="22"/>
          <w:szCs w:val="22"/>
          <w:color w:val="auto"/>
        </w:rPr>
        <w:t>In the event of a stock split, a stock dividend or a similar change in Incyte stock, the number of shares covered by this option and the exercise price per share may be adjusted pursuant to the Plan.</w:t>
      </w:r>
    </w:p>
    <w:p>
      <w:pPr>
        <w:spacing w:after="0" w:line="196" w:lineRule="exact"/>
        <w:rPr>
          <w:sz w:val="20"/>
          <w:szCs w:val="20"/>
          <w:color w:val="auto"/>
        </w:rPr>
      </w:pPr>
    </w:p>
    <w:p>
      <w:pPr>
        <w:sectPr>
          <w:pgSz w:w="11900" w:h="16838" w:orient="portrait"/>
          <w:cols w:equalWidth="0" w:num="2">
            <w:col w:w="1780" w:space="720"/>
            <w:col w:w="7220"/>
          </w:cols>
          <w:pgMar w:left="1080" w:top="864" w:right="1099" w:bottom="1440" w:gutter="0" w:footer="0" w:header="0"/>
          <w:type w:val="continuous"/>
        </w:sect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Jurisdiction-Specific Provisions</w:t>
      </w:r>
    </w:p>
    <w:p>
      <w:pPr>
        <w:spacing w:after="0" w:line="20" w:lineRule="exact"/>
        <w:rPr>
          <w:sz w:val="20"/>
          <w:szCs w:val="20"/>
          <w:color w:val="auto"/>
        </w:rPr>
      </w:pPr>
      <w:r>
        <w:rPr>
          <w:sz w:val="20"/>
          <w:szCs w:val="20"/>
          <w:color w:val="auto"/>
        </w:rPr>
        <w:br w:type="column"/>
      </w:r>
    </w:p>
    <w:p>
      <w:pPr>
        <w:ind w:right="60"/>
        <w:spacing w:after="0" w:line="244" w:lineRule="auto"/>
        <w:rPr>
          <w:sz w:val="20"/>
          <w:szCs w:val="20"/>
          <w:color w:val="auto"/>
        </w:rPr>
      </w:pPr>
      <w:r>
        <w:rPr>
          <w:rFonts w:ascii="Times New Roman" w:cs="Times New Roman" w:eastAsia="Times New Roman" w:hAnsi="Times New Roman"/>
          <w:sz w:val="22"/>
          <w:szCs w:val="22"/>
          <w:color w:val="auto"/>
        </w:rPr>
        <w:t>Additional or different terms and conditions and/or information with respect to this option may be included in an appendix to this Agreement. The appendices constitute part of this Agreement.</w:t>
      </w:r>
    </w:p>
    <w:p>
      <w:pPr>
        <w:spacing w:after="0" w:line="173" w:lineRule="exact"/>
        <w:rPr>
          <w:sz w:val="20"/>
          <w:szCs w:val="20"/>
          <w:color w:val="auto"/>
        </w:rPr>
      </w:pPr>
    </w:p>
    <w:p>
      <w:pPr>
        <w:sectPr>
          <w:pgSz w:w="11900" w:h="16838" w:orient="portrait"/>
          <w:cols w:equalWidth="0" w:num="2">
            <w:col w:w="1900" w:space="600"/>
            <w:col w:w="7220"/>
          </w:cols>
          <w:pgMar w:left="1080" w:top="864" w:right="1099" w:bottom="1440" w:gutter="0" w:footer="0" w:header="0"/>
          <w:type w:val="continuous"/>
        </w:sectPr>
      </w:pPr>
    </w:p>
    <w:p>
      <w:pPr>
        <w:ind w:left="2500" w:right="60"/>
        <w:spacing w:after="0" w:line="234" w:lineRule="auto"/>
        <w:rPr>
          <w:sz w:val="20"/>
          <w:szCs w:val="20"/>
          <w:color w:val="auto"/>
        </w:rPr>
      </w:pPr>
      <w:r>
        <w:rPr>
          <w:rFonts w:ascii="Times New Roman" w:cs="Times New Roman" w:eastAsia="Times New Roman" w:hAnsi="Times New Roman"/>
          <w:sz w:val="22"/>
          <w:szCs w:val="22"/>
          <w:color w:val="auto"/>
        </w:rPr>
        <w:t>This option is subject to any terms and conditions for your jurisdiction set forth in Appendix A to this Agreement (“Appendix A”). If you transfer residence and/or employment to a country reflected in Appendix A, the terms and conditions for such country will apply to you to the extent Incyte determines, in its sole discretion, that the application of such terms and conditions is necessary or advisable for legal or administrative reasons. In addition, Incyte may impose other requirements on this option and require you to sign additional agreements or undertakings that Incyte determines may be necessary or advisable for legal or administrative reasons to accomplish the grant of this option or the issuance of the securities issuable upon exercise of this option.</w:t>
      </w:r>
    </w:p>
    <w:p>
      <w:pPr>
        <w:spacing w:after="0" w:line="179" w:lineRule="exact"/>
        <w:rPr>
          <w:sz w:val="20"/>
          <w:szCs w:val="20"/>
          <w:color w:val="auto"/>
        </w:rPr>
      </w:pPr>
    </w:p>
    <w:p>
      <w:pPr>
        <w:ind w:left="2500"/>
        <w:spacing w:after="0" w:line="258" w:lineRule="auto"/>
        <w:rPr>
          <w:sz w:val="20"/>
          <w:szCs w:val="20"/>
          <w:color w:val="auto"/>
        </w:rPr>
      </w:pPr>
      <w:r>
        <w:rPr>
          <w:rFonts w:ascii="Times New Roman" w:cs="Times New Roman" w:eastAsia="Times New Roman" w:hAnsi="Times New Roman"/>
          <w:sz w:val="22"/>
          <w:szCs w:val="22"/>
          <w:color w:val="auto"/>
        </w:rPr>
        <w:t>Information regarding the use of personal data in connection with the Plan is set forth in Appendix B to this Agreement (“Appendix B”).</w:t>
      </w:r>
    </w:p>
    <w:p>
      <w:pPr>
        <w:sectPr>
          <w:pgSz w:w="11900" w:h="16838" w:orient="portrait"/>
          <w:cols w:equalWidth="0" w:num="1">
            <w:col w:w="9720"/>
          </w:cols>
          <w:pgMar w:left="1080" w:top="864" w:right="1099" w:bottom="1440" w:gutter="0" w:footer="0" w:header="0"/>
          <w:type w:val="continuous"/>
        </w:sectPr>
      </w:pP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Applicable Law</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This Agreement will be interpreted and enforced under the laws of the State of Delaware (without regard to its choice of law provisions).</w:t>
      </w:r>
    </w:p>
    <w:p>
      <w:pPr>
        <w:spacing w:after="0" w:line="181" w:lineRule="exact"/>
        <w:rPr>
          <w:sz w:val="20"/>
          <w:szCs w:val="20"/>
          <w:color w:val="auto"/>
        </w:rPr>
      </w:pPr>
    </w:p>
    <w:p>
      <w:pPr>
        <w:sectPr>
          <w:pgSz w:w="11900" w:h="16838" w:orient="portrait"/>
          <w:cols w:equalWidth="0" w:num="2">
            <w:col w:w="1780" w:space="720"/>
            <w:col w:w="7220"/>
          </w:cols>
          <w:pgMar w:left="1080" w:top="864" w:right="109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b w:val="1"/>
          <w:bCs w:val="1"/>
          <w:color w:val="auto"/>
        </w:rPr>
        <w:t>Venue</w:t>
      </w:r>
    </w:p>
    <w:p>
      <w:pPr>
        <w:spacing w:after="0" w:line="20" w:lineRule="exact"/>
        <w:rPr>
          <w:sz w:val="20"/>
          <w:szCs w:val="20"/>
          <w:color w:val="auto"/>
        </w:rPr>
      </w:pPr>
      <w:r>
        <w:rPr>
          <w:sz w:val="20"/>
          <w:szCs w:val="20"/>
          <w:color w:val="auto"/>
        </w:rPr>
        <w:br w:type="column"/>
      </w:r>
    </w:p>
    <w:p>
      <w:pPr>
        <w:jc w:val="both"/>
        <w:spacing w:after="0" w:line="235" w:lineRule="auto"/>
        <w:rPr>
          <w:sz w:val="20"/>
          <w:szCs w:val="20"/>
          <w:color w:val="auto"/>
        </w:rPr>
      </w:pPr>
      <w:r>
        <w:rPr>
          <w:rFonts w:ascii="Times New Roman" w:cs="Times New Roman" w:eastAsia="Times New Roman" w:hAnsi="Times New Roman"/>
          <w:sz w:val="22"/>
          <w:szCs w:val="22"/>
          <w:color w:val="auto"/>
        </w:rPr>
        <w:t>Any and all disputes relating to, concerning or arising from this Agreement, or relating to, concerning or arising from the relationship between you and Incyte evidenced by this option or this Agreement, shall be brought and heard exclusively in the United States District Court for the District of Delaware or the Delaware Superior Court, New Castle County. You hereby represent and agree that you are subject to the personal jurisdiction of said courts, irrevocably consent to the jurisdiction of such courts in any legal or equitable proceedings related</w:t>
      </w:r>
    </w:p>
    <w:p>
      <w:pPr>
        <w:spacing w:after="0" w:line="200" w:lineRule="exact"/>
        <w:rPr>
          <w:sz w:val="20"/>
          <w:szCs w:val="20"/>
          <w:color w:val="auto"/>
        </w:rPr>
      </w:pPr>
    </w:p>
    <w:p>
      <w:pPr>
        <w:sectPr>
          <w:pgSz w:w="11900" w:h="16838" w:orient="portrait"/>
          <w:cols w:equalWidth="0" w:num="2">
            <w:col w:w="1780" w:space="720"/>
            <w:col w:w="7220"/>
          </w:cols>
          <w:pgMar w:left="1080" w:top="864"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353695</wp:posOffset>
            </wp:positionV>
            <wp:extent cx="629221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20"/>
          </w:cols>
          <w:pgMar w:left="1080" w:top="864" w:right="1099" w:bottom="1440" w:gutter="0" w:footer="0" w:header="0"/>
          <w:type w:val="continuous"/>
        </w:sectPr>
      </w:pPr>
    </w:p>
    <w:bookmarkStart w:id="108" w:name="page109"/>
    <w:bookmarkEnd w:id="108"/>
    <w:p>
      <w:pPr>
        <w:jc w:val="both"/>
        <w:ind w:left="2500"/>
        <w:spacing w:after="0" w:line="238" w:lineRule="auto"/>
        <w:rPr>
          <w:sz w:val="20"/>
          <w:szCs w:val="20"/>
          <w:color w:val="auto"/>
        </w:rPr>
      </w:pPr>
      <w:r>
        <w:rPr>
          <w:rFonts w:ascii="Times New Roman" w:cs="Times New Roman" w:eastAsia="Times New Roman" w:hAnsi="Times New Roman"/>
          <w:sz w:val="22"/>
          <w:szCs w:val="22"/>
          <w:color w:val="auto"/>
        </w:rPr>
        <w:t>to, concerning or arising from such dispute, and waive, to the fullest extent permitted by law, any objection which you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200" w:lineRule="exact"/>
        <w:rPr>
          <w:sz w:val="20"/>
          <w:szCs w:val="20"/>
          <w:color w:val="auto"/>
        </w:rPr>
      </w:pPr>
    </w:p>
    <w:p>
      <w:pPr>
        <w:spacing w:after="0" w:line="216" w:lineRule="exact"/>
        <w:rPr>
          <w:sz w:val="20"/>
          <w:szCs w:val="20"/>
          <w:color w:val="auto"/>
        </w:rPr>
      </w:pPr>
    </w:p>
    <w:p>
      <w:pPr>
        <w:spacing w:after="0"/>
        <w:tabs>
          <w:tab w:leader="none" w:pos="2480" w:val="left"/>
        </w:tabs>
        <w:rPr>
          <w:sz w:val="20"/>
          <w:szCs w:val="20"/>
          <w:color w:val="auto"/>
        </w:rPr>
      </w:pPr>
      <w:r>
        <w:rPr>
          <w:rFonts w:ascii="Times New Roman" w:cs="Times New Roman" w:eastAsia="Times New Roman" w:hAnsi="Times New Roman"/>
          <w:sz w:val="22"/>
          <w:szCs w:val="22"/>
          <w:b w:val="1"/>
          <w:bCs w:val="1"/>
          <w:color w:val="auto"/>
        </w:rPr>
        <w:t>The Plan and Other</w:t>
      </w:r>
      <w:r>
        <w:rPr>
          <w:sz w:val="20"/>
          <w:szCs w:val="20"/>
          <w:color w:val="auto"/>
        </w:rPr>
        <w:tab/>
      </w:r>
      <w:r>
        <w:rPr>
          <w:rFonts w:ascii="Times New Roman" w:cs="Times New Roman" w:eastAsia="Times New Roman" w:hAnsi="Times New Roman"/>
          <w:sz w:val="22"/>
          <w:szCs w:val="22"/>
          <w:color w:val="auto"/>
        </w:rPr>
        <w:t>The text of the Incyte Corporation Amended and Restated 2010 Stock Incentive</w:t>
      </w:r>
    </w:p>
    <w:p>
      <w:pPr>
        <w:spacing w:after="0" w:line="18" w:lineRule="exact"/>
        <w:rPr>
          <w:sz w:val="20"/>
          <w:szCs w:val="20"/>
          <w:color w:val="auto"/>
        </w:rPr>
      </w:pPr>
    </w:p>
    <w:p>
      <w:pPr>
        <w:jc w:val="both"/>
        <w:ind w:left="2500" w:hanging="2499"/>
        <w:spacing w:after="0" w:line="233" w:lineRule="auto"/>
        <w:tabs>
          <w:tab w:leader="none" w:pos="2480" w:val="left"/>
        </w:tabs>
        <w:rPr>
          <w:sz w:val="20"/>
          <w:szCs w:val="20"/>
          <w:color w:val="auto"/>
        </w:rPr>
      </w:pPr>
      <w:r>
        <w:rPr>
          <w:rFonts w:ascii="Times New Roman" w:cs="Times New Roman" w:eastAsia="Times New Roman" w:hAnsi="Times New Roman"/>
          <w:sz w:val="22"/>
          <w:szCs w:val="22"/>
          <w:b w:val="1"/>
          <w:bCs w:val="1"/>
          <w:color w:val="auto"/>
        </w:rPr>
        <w:t>Agreements</w:t>
      </w:r>
      <w:r>
        <w:rPr>
          <w:sz w:val="20"/>
          <w:szCs w:val="20"/>
          <w:color w:val="auto"/>
        </w:rPr>
        <w:tab/>
      </w:r>
      <w:r>
        <w:rPr>
          <w:rFonts w:ascii="Times New Roman" w:cs="Times New Roman" w:eastAsia="Times New Roman" w:hAnsi="Times New Roman"/>
          <w:sz w:val="22"/>
          <w:szCs w:val="22"/>
          <w:color w:val="auto"/>
        </w:rPr>
        <w:t>Plan (the “Plan”) is incorporated in this Agreement by reference. All capitalized terms not defined in this Agreement are subject to definition under the Plan. If there is any discrepancy between the terms and conditions of this Agreement and the terms and conditions of the Plan, the terms and conditions of the Plan shall control.</w:t>
      </w:r>
    </w:p>
    <w:p>
      <w:pPr>
        <w:spacing w:after="0" w:line="179" w:lineRule="exact"/>
        <w:rPr>
          <w:sz w:val="20"/>
          <w:szCs w:val="20"/>
          <w:color w:val="auto"/>
        </w:rPr>
      </w:pPr>
    </w:p>
    <w:p>
      <w:pPr>
        <w:jc w:val="both"/>
        <w:ind w:left="2500"/>
        <w:spacing w:after="0" w:line="235" w:lineRule="auto"/>
        <w:rPr>
          <w:sz w:val="20"/>
          <w:szCs w:val="20"/>
          <w:color w:val="auto"/>
        </w:rPr>
      </w:pPr>
      <w:r>
        <w:rPr>
          <w:rFonts w:ascii="Times New Roman" w:cs="Times New Roman" w:eastAsia="Times New Roman" w:hAnsi="Times New Roman"/>
          <w:sz w:val="22"/>
          <w:szCs w:val="22"/>
          <w:color w:val="auto"/>
        </w:rPr>
        <w:t>This Agreement, the grant notice and the Plan constitute the entire understanding between you and Incyte regarding this option. Any prior agreements, commitments or negotiations concerning this option are superseded. This Agreement may be amended by the Committee without your consent; however, if any such amendment would materially impair your rights or obligations under the Agreement, this Agreement may be amended only by another written agreement signed by you and Incyte.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By accepting the grant notice, you agree to all of the terms and conditions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described in this Agreement (including any appendix) and in the Plan.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353695</wp:posOffset>
            </wp:positionV>
            <wp:extent cx="629221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20"/>
          </w:cols>
          <w:pgMar w:left="1080" w:top="868" w:right="109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INCYTE CORPORATION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2010 STOCK INCENTIVE PLAN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RESTRICTED STOCK UNIT AWARD</w:t>
      </w:r>
    </w:p>
    <w:p>
      <w:pPr>
        <w:spacing w:after="0" w:line="210" w:lineRule="exact"/>
        <w:rPr>
          <w:sz w:val="20"/>
          <w:szCs w:val="20"/>
          <w:color w:val="auto"/>
        </w:rPr>
      </w:pPr>
    </w:p>
    <w:p>
      <w:pPr>
        <w:ind w:right="240" w:firstLine="648"/>
        <w:spacing w:after="0" w:line="244" w:lineRule="auto"/>
        <w:rPr>
          <w:sz w:val="20"/>
          <w:szCs w:val="20"/>
          <w:color w:val="auto"/>
        </w:rPr>
      </w:pPr>
      <w:r>
        <w:rPr>
          <w:rFonts w:ascii="Times New Roman" w:cs="Times New Roman" w:eastAsia="Times New Roman" w:hAnsi="Times New Roman"/>
          <w:sz w:val="22"/>
          <w:szCs w:val="22"/>
          <w:color w:val="auto"/>
        </w:rPr>
        <w:t>You have been granted the following units representing shares of common stock of INCYTE CORPORATION (“Incyte”) under the Incyte Corporation Amended and Restated 2010 Stock Incentive Plan, as amended (the “Plan”):</w:t>
      </w:r>
    </w:p>
    <w:p>
      <w:pPr>
        <w:sectPr>
          <w:pgSz w:w="11900" w:h="16838" w:orient="portrait"/>
          <w:cols w:equalWidth="0" w:num="1">
            <w:col w:w="9920"/>
          </w:cols>
          <w:pgMar w:left="980" w:top="351" w:right="999" w:bottom="1440" w:gutter="0" w:footer="0" w:header="0"/>
        </w:sectPr>
      </w:pP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Date of Grant: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of Grant]</w:t>
      </w:r>
    </w:p>
    <w:p>
      <w:pPr>
        <w:spacing w:after="0" w:line="200" w:lineRule="exact"/>
        <w:rPr>
          <w:sz w:val="20"/>
          <w:szCs w:val="20"/>
          <w:color w:val="auto"/>
        </w:rPr>
      </w:pPr>
    </w:p>
    <w:p>
      <w:pPr>
        <w:sectPr>
          <w:pgSz w:w="11900" w:h="16838" w:orient="portrait"/>
          <w:cols w:equalWidth="0" w:num="2">
            <w:col w:w="2420" w:space="720"/>
            <w:col w:w="6780"/>
          </w:cols>
          <w:pgMar w:left="980" w:top="351" w:right="99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Name of Recipient:</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of Recipient]</w:t>
      </w:r>
    </w:p>
    <w:p>
      <w:pPr>
        <w:spacing w:after="0" w:line="200" w:lineRule="exact"/>
        <w:rPr>
          <w:sz w:val="20"/>
          <w:szCs w:val="20"/>
          <w:color w:val="auto"/>
        </w:rPr>
      </w:pPr>
    </w:p>
    <w:p>
      <w:pPr>
        <w:sectPr>
          <w:pgSz w:w="11900" w:h="16838" w:orient="portrait"/>
          <w:cols w:equalWidth="0" w:num="2">
            <w:col w:w="2420" w:space="720"/>
            <w:col w:w="6780"/>
          </w:cols>
          <w:pgMar w:left="980" w:top="351" w:right="99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Total Number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Units Granted:</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w:t>
      </w:r>
    </w:p>
    <w:p>
      <w:pPr>
        <w:spacing w:after="0" w:line="235" w:lineRule="exact"/>
        <w:rPr>
          <w:sz w:val="20"/>
          <w:szCs w:val="20"/>
          <w:color w:val="auto"/>
        </w:rPr>
      </w:pPr>
    </w:p>
    <w:p>
      <w:pPr>
        <w:sectPr>
          <w:pgSz w:w="11900" w:h="16838" w:orient="portrait"/>
          <w:cols w:equalWidth="0" w:num="2">
            <w:col w:w="2420" w:space="720"/>
            <w:col w:w="6780"/>
          </w:cols>
          <w:pgMar w:left="980" w:top="351" w:right="99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[__________]</w:t>
      </w:r>
    </w:p>
    <w:p>
      <w:pPr>
        <w:spacing w:after="0" w:line="200" w:lineRule="exact"/>
        <w:rPr>
          <w:sz w:val="20"/>
          <w:szCs w:val="20"/>
          <w:color w:val="auto"/>
        </w:rPr>
      </w:pPr>
    </w:p>
    <w:p>
      <w:pPr>
        <w:sectPr>
          <w:pgSz w:w="11900" w:h="16838" w:orient="portrait"/>
          <w:cols w:equalWidth="0" w:num="2">
            <w:col w:w="2620" w:space="520"/>
            <w:col w:w="6780"/>
          </w:cols>
          <w:pgMar w:left="980" w:top="351" w:right="99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Vesting Schedule:</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w:t>
      </w:r>
    </w:p>
    <w:p>
      <w:pPr>
        <w:spacing w:after="0" w:line="200" w:lineRule="exact"/>
        <w:rPr>
          <w:sz w:val="20"/>
          <w:szCs w:val="20"/>
          <w:color w:val="auto"/>
        </w:rPr>
      </w:pPr>
    </w:p>
    <w:p>
      <w:pPr>
        <w:sectPr>
          <w:pgSz w:w="11900" w:h="16838" w:orient="portrait"/>
          <w:cols w:equalWidth="0" w:num="2">
            <w:col w:w="2420" w:space="720"/>
            <w:col w:w="6780"/>
          </w:cols>
          <w:pgMar w:left="980" w:top="351" w:right="999" w:bottom="1440" w:gutter="0" w:footer="0" w:header="0"/>
          <w:type w:val="continuous"/>
        </w:sectPr>
      </w:pPr>
    </w:p>
    <w:p>
      <w:pPr>
        <w:spacing w:after="0" w:line="41" w:lineRule="exact"/>
        <w:rPr>
          <w:sz w:val="20"/>
          <w:szCs w:val="20"/>
          <w:color w:val="auto"/>
        </w:rPr>
      </w:pPr>
    </w:p>
    <w:p>
      <w:pPr>
        <w:ind w:right="280"/>
        <w:spacing w:after="0" w:line="241" w:lineRule="auto"/>
        <w:rPr>
          <w:sz w:val="20"/>
          <w:szCs w:val="20"/>
          <w:color w:val="auto"/>
        </w:rPr>
      </w:pPr>
      <w:r>
        <w:rPr>
          <w:rFonts w:ascii="Times New Roman" w:cs="Times New Roman" w:eastAsia="Times New Roman" w:hAnsi="Times New Roman"/>
          <w:sz w:val="22"/>
          <w:szCs w:val="22"/>
          <w:b w:val="1"/>
          <w:bCs w:val="1"/>
          <w:color w:val="auto"/>
        </w:rPr>
        <w:t>You and Incyte agree that these units are granted under and governed by the terms and conditions of the Plan and the Global Restricted Stock Unit Award Agreement (the “Agreement”) that can be reviewed by clicking on the link provided above. By accepting this Notice, you are agreeing to all of those terms and conditions.</w:t>
      </w:r>
    </w:p>
    <w:p>
      <w:pPr>
        <w:spacing w:after="0" w:line="172"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21"/>
          <w:szCs w:val="21"/>
          <w:b w:val="1"/>
          <w:bCs w:val="1"/>
          <w:color w:val="auto"/>
        </w:rPr>
        <w:t>When you accept this Notice, Incyte may email all documents related to the Plan or this award to you. Incyte may also deliver these documents by posting them on a website maintained by Incyte or by a third party under contract with Incyte. If Incyte posts these documents on a website, you will be notified.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630555</wp:posOffset>
            </wp:positionV>
            <wp:extent cx="629221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1" w:right="999" w:bottom="1440" w:gutter="0" w:footer="0" w:header="0"/>
          <w:type w:val="continuous"/>
        </w:sectPr>
      </w:pPr>
    </w:p>
    <w:bookmarkStart w:id="110" w:name="page111"/>
    <w:bookmarkEnd w:id="110"/>
    <w:p>
      <w:pPr>
        <w:ind w:left="3600"/>
        <w:spacing w:after="0"/>
        <w:rPr>
          <w:sz w:val="20"/>
          <w:szCs w:val="20"/>
          <w:color w:val="auto"/>
        </w:rPr>
      </w:pPr>
      <w:r>
        <w:rPr>
          <w:rFonts w:ascii="Times New Roman" w:cs="Times New Roman" w:eastAsia="Times New Roman" w:hAnsi="Times New Roman"/>
          <w:sz w:val="22"/>
          <w:szCs w:val="22"/>
          <w:b w:val="1"/>
          <w:bCs w:val="1"/>
          <w:color w:val="auto"/>
        </w:rPr>
        <w:t>INCYTE CORPORATION</w:t>
      </w:r>
    </w:p>
    <w:p>
      <w:pPr>
        <w:spacing w:after="0" w:line="1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1"/>
          <w:szCs w:val="21"/>
          <w:b w:val="1"/>
          <w:bCs w:val="1"/>
          <w:color w:val="auto"/>
        </w:rPr>
        <w:t>AMENDED AND RESTATED 2010 STOCK INCENTIVE PLAN</w:t>
      </w:r>
    </w:p>
    <w:p>
      <w:pPr>
        <w:spacing w:after="0" w:line="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1"/>
          <w:szCs w:val="21"/>
          <w:b w:val="1"/>
          <w:bCs w:val="1"/>
          <w:color w:val="auto"/>
        </w:rPr>
        <w:t>GLOBAL RESTRICTED STOCK UNIT AWARD AGREEMENT</w:t>
      </w:r>
    </w:p>
    <w:p>
      <w:pPr>
        <w:sectPr>
          <w:pgSz w:w="11900" w:h="16838" w:orient="portrait"/>
          <w:cols w:equalWidth="0" w:num="1">
            <w:col w:w="9680"/>
          </w:cols>
          <w:pgMar w:left="1080" w:top="891" w:right="1139" w:bottom="1440" w:gutter="0" w:footer="0" w:header="0"/>
        </w:sect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2"/>
          <w:szCs w:val="22"/>
          <w:color w:val="auto"/>
        </w:rPr>
        <w:t>No cash payment is required for the units you receive or for the issuance of shares of Incyte common stock on settlement of the units. Incyte will, however, withhold any Tax-Related Items, as defined and as further described below.</w:t>
      </w:r>
    </w:p>
    <w:p>
      <w:pPr>
        <w:spacing w:after="0" w:line="176" w:lineRule="exact"/>
        <w:rPr>
          <w:sz w:val="20"/>
          <w:szCs w:val="20"/>
          <w:color w:val="auto"/>
        </w:rPr>
      </w:pPr>
    </w:p>
    <w:p>
      <w:pPr>
        <w:sectPr>
          <w:pgSz w:w="11900" w:h="16838" w:orient="portrait"/>
          <w:cols w:equalWidth="0" w:num="2">
            <w:col w:w="2100" w:space="720"/>
            <w:col w:w="6860"/>
          </w:cols>
          <w:pgMar w:left="1080" w:top="891" w:right="113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b w:val="1"/>
          <w:bCs w:val="1"/>
          <w:color w:val="auto"/>
        </w:rPr>
        <w:t>Vesting</w:t>
      </w:r>
    </w:p>
    <w:p>
      <w:pPr>
        <w:spacing w:after="0" w:line="20" w:lineRule="exact"/>
        <w:rPr>
          <w:sz w:val="20"/>
          <w:szCs w:val="20"/>
          <w:color w:val="auto"/>
        </w:rPr>
      </w:pPr>
      <w:r>
        <w:rPr>
          <w:sz w:val="20"/>
          <w:szCs w:val="20"/>
          <w:color w:val="auto"/>
        </w:rPr>
        <w:br w:type="column"/>
      </w:r>
    </w:p>
    <w:p>
      <w:pPr>
        <w:ind w:right="480"/>
        <w:spacing w:after="0" w:line="258" w:lineRule="auto"/>
        <w:rPr>
          <w:sz w:val="20"/>
          <w:szCs w:val="20"/>
          <w:color w:val="auto"/>
        </w:rPr>
      </w:pPr>
      <w:r>
        <w:rPr>
          <w:rFonts w:ascii="Times New Roman" w:cs="Times New Roman" w:eastAsia="Times New Roman" w:hAnsi="Times New Roman"/>
          <w:sz w:val="22"/>
          <w:szCs w:val="22"/>
          <w:color w:val="auto"/>
        </w:rPr>
        <w:t>The units vest as shown in the Notice of Restricted Stock Unit Award (the “award notice”).</w:t>
      </w:r>
    </w:p>
    <w:p>
      <w:pPr>
        <w:spacing w:after="0" w:line="158" w:lineRule="exact"/>
        <w:rPr>
          <w:sz w:val="20"/>
          <w:szCs w:val="20"/>
          <w:color w:val="auto"/>
        </w:rPr>
      </w:pPr>
    </w:p>
    <w:p>
      <w:pPr>
        <w:sectPr>
          <w:pgSz w:w="11900" w:h="16838" w:orient="portrait"/>
          <w:cols w:equalWidth="0" w:num="2">
            <w:col w:w="2100" w:space="720"/>
            <w:col w:w="6860"/>
          </w:cols>
          <w:pgMar w:left="1080" w:top="891" w:right="1139" w:bottom="1440" w:gutter="0" w:footer="0" w:header="0"/>
          <w:type w:val="continuous"/>
        </w:sectPr>
      </w:pPr>
    </w:p>
    <w:p>
      <w:pPr>
        <w:jc w:val="both"/>
        <w:ind w:left="2820" w:right="540"/>
        <w:spacing w:after="0" w:line="261" w:lineRule="auto"/>
        <w:rPr>
          <w:sz w:val="20"/>
          <w:szCs w:val="20"/>
          <w:color w:val="auto"/>
        </w:rPr>
      </w:pPr>
      <w:r>
        <w:rPr>
          <w:rFonts w:ascii="Times New Roman" w:cs="Times New Roman" w:eastAsia="Times New Roman" w:hAnsi="Times New Roman"/>
          <w:sz w:val="21"/>
          <w:szCs w:val="21"/>
          <w:color w:val="auto"/>
        </w:rPr>
        <w:t>No additional units will vest after your service as an employee, director, consultant or advisor of Incyte (or any subsidiary) has terminated for any reason, except as provided below under “Change in Control.”</w:t>
      </w:r>
    </w:p>
    <w:p>
      <w:pPr>
        <w:sectPr>
          <w:pgSz w:w="11900" w:h="16838" w:orient="portrait"/>
          <w:cols w:equalWidth="0" w:num="1">
            <w:col w:w="9680"/>
          </w:cols>
          <w:pgMar w:left="1080" w:top="891" w:right="1139" w:bottom="1440" w:gutter="0" w:footer="0" w:header="0"/>
          <w:type w:val="continuous"/>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Forfeiture</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If your service as an employee, director, consultant or advisor of Incyte (or any subsidiary) terminates for any reason, then your units will be forfeited to the extent that they have not vested before the termination date and do not vest as a result of the termination. This means that the units will immediately be cancelled. You receive no payment for units that are forfeited.</w:t>
      </w:r>
    </w:p>
    <w:p>
      <w:pPr>
        <w:spacing w:after="0" w:line="177" w:lineRule="exact"/>
        <w:rPr>
          <w:sz w:val="20"/>
          <w:szCs w:val="20"/>
          <w:color w:val="auto"/>
        </w:rPr>
      </w:pPr>
    </w:p>
    <w:p>
      <w:pPr>
        <w:sectPr>
          <w:pgSz w:w="11900" w:h="16838" w:orient="portrait"/>
          <w:cols w:equalWidth="0" w:num="2">
            <w:col w:w="2100" w:space="720"/>
            <w:col w:w="6860"/>
          </w:cols>
          <w:pgMar w:left="1080" w:top="891" w:right="1139" w:bottom="1440" w:gutter="0" w:footer="0" w:header="0"/>
          <w:type w:val="continuous"/>
        </w:sectPr>
      </w:pPr>
    </w:p>
    <w:p>
      <w:pPr>
        <w:ind w:left="2820"/>
        <w:spacing w:after="0"/>
        <w:rPr>
          <w:sz w:val="20"/>
          <w:szCs w:val="20"/>
          <w:color w:val="auto"/>
        </w:rPr>
      </w:pPr>
      <w:r>
        <w:rPr>
          <w:rFonts w:ascii="Times New Roman" w:cs="Times New Roman" w:eastAsia="Times New Roman" w:hAnsi="Times New Roman"/>
          <w:sz w:val="21"/>
          <w:szCs w:val="21"/>
          <w:color w:val="auto"/>
        </w:rPr>
        <w:t>Incyte determines when your service terminates for this purpose.</w:t>
      </w:r>
    </w:p>
    <w:p>
      <w:pPr>
        <w:sectPr>
          <w:pgSz w:w="11900" w:h="16838" w:orient="portrait"/>
          <w:cols w:equalWidth="0" w:num="1">
            <w:col w:w="9680"/>
          </w:cols>
          <w:pgMar w:left="1080" w:top="891" w:right="1139" w:bottom="1440" w:gutter="0" w:footer="0" w:header="0"/>
          <w:type w:val="continuous"/>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Leaves of Absence</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1"/>
          <w:szCs w:val="21"/>
          <w:color w:val="auto"/>
        </w:rPr>
        <w:t xml:space="preserve">For purposes of this award, your service does not terminate when you go on a military leave, a sick leave or another </w:t>
      </w:r>
      <w:r>
        <w:rPr>
          <w:rFonts w:ascii="Times New Roman" w:cs="Times New Roman" w:eastAsia="Times New Roman" w:hAnsi="Times New Roman"/>
          <w:sz w:val="21"/>
          <w:szCs w:val="21"/>
          <w:i w:val="1"/>
          <w:iCs w:val="1"/>
          <w:color w:val="auto"/>
        </w:rPr>
        <w:t>bona fide</w:t>
      </w:r>
      <w:r>
        <w:rPr>
          <w:rFonts w:ascii="Times New Roman" w:cs="Times New Roman" w:eastAsia="Times New Roman" w:hAnsi="Times New Roman"/>
          <w:sz w:val="21"/>
          <w:szCs w:val="21"/>
          <w:color w:val="auto"/>
        </w:rPr>
        <w:t xml:space="preserve"> leave of absence, if the leave was approved by Incyte in writing and the terms of the leave or applicable law requires continued service crediting. But your service terminates when the approved leave ends, unless you immediately return to active work.</w:t>
      </w:r>
    </w:p>
    <w:p>
      <w:pPr>
        <w:spacing w:after="0" w:line="191" w:lineRule="exact"/>
        <w:rPr>
          <w:sz w:val="20"/>
          <w:szCs w:val="20"/>
          <w:color w:val="auto"/>
        </w:rPr>
      </w:pPr>
    </w:p>
    <w:p>
      <w:pPr>
        <w:sectPr>
          <w:pgSz w:w="11900" w:h="16838" w:orient="portrait"/>
          <w:cols w:equalWidth="0" w:num="2">
            <w:col w:w="2100" w:space="720"/>
            <w:col w:w="6860"/>
          </w:cols>
          <w:pgMar w:left="1080" w:top="891" w:right="113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b w:val="1"/>
          <w:bCs w:val="1"/>
          <w:color w:val="auto"/>
        </w:rPr>
        <w:t>Nature of Units</w:t>
      </w:r>
    </w:p>
    <w:p>
      <w:pPr>
        <w:spacing w:after="0" w:line="20" w:lineRule="exact"/>
        <w:rPr>
          <w:sz w:val="20"/>
          <w:szCs w:val="20"/>
          <w:color w:val="auto"/>
        </w:rPr>
      </w:pPr>
      <w:r>
        <w:rPr>
          <w:sz w:val="20"/>
          <w:szCs w:val="20"/>
          <w:color w:val="auto"/>
        </w:rPr>
        <w:br w:type="column"/>
      </w:r>
    </w:p>
    <w:p>
      <w:pPr>
        <w:ind w:right="140"/>
        <w:spacing w:after="0" w:line="239" w:lineRule="auto"/>
        <w:rPr>
          <w:sz w:val="20"/>
          <w:szCs w:val="20"/>
          <w:color w:val="auto"/>
        </w:rPr>
      </w:pPr>
      <w:r>
        <w:rPr>
          <w:rFonts w:ascii="Times New Roman" w:cs="Times New Roman" w:eastAsia="Times New Roman" w:hAnsi="Times New Roman"/>
          <w:sz w:val="22"/>
          <w:szCs w:val="22"/>
          <w:color w:val="auto"/>
        </w:rPr>
        <w:t>Your units are mere bookkeeping entries. They represent only Incyte’s unfunded and unsecured promise to issue shares of Incyte common stock on a future date. As a holder of units, you have no rights other than the rights of a general creditor of Incyte.</w:t>
      </w:r>
    </w:p>
    <w:p>
      <w:pPr>
        <w:spacing w:after="0" w:line="200" w:lineRule="exact"/>
        <w:rPr>
          <w:sz w:val="20"/>
          <w:szCs w:val="20"/>
          <w:color w:val="auto"/>
        </w:rPr>
      </w:pPr>
    </w:p>
    <w:p>
      <w:pPr>
        <w:sectPr>
          <w:pgSz w:w="11900" w:h="16838" w:orient="portrait"/>
          <w:cols w:equalWidth="0" w:num="2">
            <w:col w:w="2100" w:space="720"/>
            <w:col w:w="6860"/>
          </w:cols>
          <w:pgMar w:left="1080" w:top="891" w:right="1139" w:bottom="1440" w:gutter="0" w:footer="0" w:header="0"/>
          <w:type w:val="continuous"/>
        </w:sectPr>
      </w:pPr>
    </w:p>
    <w:p>
      <w:pPr>
        <w:spacing w:after="0" w:line="3"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No Voting Rights or Dividends</w:t>
      </w:r>
    </w:p>
    <w:p>
      <w:pPr>
        <w:spacing w:after="0" w:line="20" w:lineRule="exact"/>
        <w:rPr>
          <w:sz w:val="20"/>
          <w:szCs w:val="20"/>
          <w:color w:val="auto"/>
        </w:rPr>
      </w:pPr>
      <w:r>
        <w:rPr>
          <w:sz w:val="20"/>
          <w:szCs w:val="20"/>
          <w:color w:val="auto"/>
        </w:rPr>
        <w:br w:type="column"/>
      </w:r>
    </w:p>
    <w:p>
      <w:pPr>
        <w:ind w:right="80"/>
        <w:spacing w:after="0" w:line="249" w:lineRule="auto"/>
        <w:rPr>
          <w:sz w:val="20"/>
          <w:szCs w:val="20"/>
          <w:color w:val="auto"/>
        </w:rPr>
      </w:pPr>
      <w:r>
        <w:rPr>
          <w:rFonts w:ascii="Times New Roman" w:cs="Times New Roman" w:eastAsia="Times New Roman" w:hAnsi="Times New Roman"/>
          <w:sz w:val="21"/>
          <w:szCs w:val="21"/>
          <w:color w:val="auto"/>
        </w:rPr>
        <w:t>Your units carry neither voting rights nor rights to dividends. You, or your estate or heirs, have no rights as a stockholder of Incyte unless and until your units are settled by issuing shares of Incyte’s common stock. No dividend equivalents will be provided and no adjustments will be made for dividends or other rights if the applicable record date occurs before your stock certificate is</w:t>
      </w:r>
    </w:p>
    <w:p>
      <w:pPr>
        <w:spacing w:after="0" w:line="2" w:lineRule="exact"/>
        <w:rPr>
          <w:sz w:val="20"/>
          <w:szCs w:val="20"/>
          <w:color w:val="auto"/>
        </w:rPr>
      </w:pPr>
    </w:p>
    <w:p>
      <w:pPr>
        <w:sectPr>
          <w:pgSz w:w="11900" w:h="16838" w:orient="portrait"/>
          <w:cols w:equalWidth="0" w:num="2">
            <w:col w:w="2100" w:space="720"/>
            <w:col w:w="6860"/>
          </w:cols>
          <w:pgMar w:left="1080" w:top="891" w:right="1139" w:bottom="1440" w:gutter="0" w:footer="0" w:header="0"/>
          <w:type w:val="continuous"/>
        </w:sectPr>
      </w:pPr>
    </w:p>
    <w:p>
      <w:pPr>
        <w:ind w:left="2820" w:right="220"/>
        <w:spacing w:after="0" w:line="230" w:lineRule="auto"/>
        <w:rPr>
          <w:sz w:val="20"/>
          <w:szCs w:val="20"/>
          <w:color w:val="auto"/>
        </w:rPr>
      </w:pPr>
      <w:r>
        <w:rPr>
          <w:rFonts w:ascii="Times New Roman" w:cs="Times New Roman" w:eastAsia="Times New Roman" w:hAnsi="Times New Roman"/>
          <w:sz w:val="22"/>
          <w:szCs w:val="22"/>
          <w:color w:val="auto"/>
        </w:rPr>
        <w:t>issued, except that in the case of a dividend payable in the form of additional shares of Incyte common stock, the number of units granted under this Agreement will be adjusted proportionately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361315</wp:posOffset>
            </wp:positionV>
            <wp:extent cx="629221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680"/>
          </w:cols>
          <w:pgMar w:left="1080" w:top="891" w:right="1139" w:bottom="1440" w:gutter="0" w:footer="0" w:header="0"/>
          <w:type w:val="continuous"/>
        </w:sectPr>
      </w:pPr>
    </w:p>
    <w:bookmarkStart w:id="111" w:name="page112"/>
    <w:bookmarkEnd w:id="111"/>
    <w:tbl>
      <w:tblPr>
        <w:tblLayout w:type="fixed"/>
        <w:tblInd w:w="0" w:type="dxa"/>
        <w:tblCellMar>
          <w:top w:w="0" w:type="dxa"/>
          <w:left w:w="0" w:type="dxa"/>
          <w:bottom w:w="0" w:type="dxa"/>
          <w:right w:w="0" w:type="dxa"/>
        </w:tblCellMar>
      </w:tblPr>
      <w:tr>
        <w:trPr>
          <w:trHeight w:val="253"/>
        </w:trPr>
        <w:tc>
          <w:tcPr>
            <w:tcW w:w="2520" w:type="dxa"/>
            <w:vAlign w:val="bottom"/>
          </w:tcPr>
          <w:p>
            <w:pPr>
              <w:spacing w:after="0"/>
              <w:rPr>
                <w:sz w:val="22"/>
                <w:szCs w:val="22"/>
                <w:color w:val="auto"/>
              </w:rPr>
            </w:pPr>
          </w:p>
        </w:tc>
        <w:tc>
          <w:tcPr>
            <w:tcW w:w="720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w w:val="97"/>
              </w:rPr>
              <w:t>multiplying that number by the number of shares of Incyte common stock that a</w:t>
            </w:r>
          </w:p>
        </w:tc>
      </w:tr>
      <w:tr>
        <w:trPr>
          <w:trHeight w:val="243"/>
        </w:trPr>
        <w:tc>
          <w:tcPr>
            <w:tcW w:w="2520" w:type="dxa"/>
            <w:vAlign w:val="bottom"/>
          </w:tcPr>
          <w:p>
            <w:pPr>
              <w:spacing w:after="0"/>
              <w:rPr>
                <w:sz w:val="21"/>
                <w:szCs w:val="21"/>
                <w:color w:val="auto"/>
              </w:rPr>
            </w:pPr>
          </w:p>
        </w:tc>
        <w:tc>
          <w:tcPr>
            <w:tcW w:w="7200" w:type="dxa"/>
            <w:vAlign w:val="bottom"/>
            <w:gridSpan w:val="2"/>
          </w:tcPr>
          <w:p>
            <w:pPr>
              <w:ind w:left="300"/>
              <w:spacing w:after="0" w:line="243" w:lineRule="exact"/>
              <w:rPr>
                <w:sz w:val="20"/>
                <w:szCs w:val="20"/>
                <w:color w:val="auto"/>
              </w:rPr>
            </w:pPr>
            <w:r>
              <w:rPr>
                <w:rFonts w:ascii="Times New Roman" w:cs="Times New Roman" w:eastAsia="Times New Roman" w:hAnsi="Times New Roman"/>
                <w:sz w:val="22"/>
                <w:szCs w:val="22"/>
                <w:color w:val="auto"/>
                <w:w w:val="99"/>
              </w:rPr>
              <w:t>holder of one share of Incyte common stock before the dividend payment date</w:t>
            </w:r>
          </w:p>
        </w:tc>
      </w:tr>
      <w:tr>
        <w:trPr>
          <w:trHeight w:val="282"/>
        </w:trPr>
        <w:tc>
          <w:tcPr>
            <w:tcW w:w="2520" w:type="dxa"/>
            <w:vAlign w:val="bottom"/>
          </w:tcPr>
          <w:p>
            <w:pPr>
              <w:spacing w:after="0"/>
              <w:rPr>
                <w:sz w:val="24"/>
                <w:szCs w:val="24"/>
                <w:color w:val="auto"/>
              </w:rPr>
            </w:pPr>
          </w:p>
        </w:tc>
        <w:tc>
          <w:tcPr>
            <w:tcW w:w="720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would hold after the dividend payment date.</w:t>
            </w:r>
          </w:p>
        </w:tc>
      </w:tr>
      <w:tr>
        <w:trPr>
          <w:trHeight w:val="420"/>
        </w:trPr>
        <w:tc>
          <w:tcPr>
            <w:tcW w:w="25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Settlement of Units</w:t>
            </w:r>
          </w:p>
        </w:tc>
        <w:tc>
          <w:tcPr>
            <w:tcW w:w="720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w w:val="99"/>
              </w:rPr>
              <w:t>Each of your units will be settled as soon as practicable after, but no later than</w:t>
            </w:r>
          </w:p>
        </w:tc>
      </w:tr>
      <w:tr>
        <w:trPr>
          <w:trHeight w:val="282"/>
        </w:trPr>
        <w:tc>
          <w:tcPr>
            <w:tcW w:w="2520" w:type="dxa"/>
            <w:vAlign w:val="bottom"/>
          </w:tcPr>
          <w:p>
            <w:pPr>
              <w:spacing w:after="0"/>
              <w:rPr>
                <w:sz w:val="24"/>
                <w:szCs w:val="24"/>
                <w:color w:val="auto"/>
              </w:rPr>
            </w:pPr>
          </w:p>
        </w:tc>
        <w:tc>
          <w:tcPr>
            <w:tcW w:w="720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30 days after, the date the units vest.</w:t>
            </w:r>
          </w:p>
        </w:tc>
      </w:tr>
      <w:tr>
        <w:trPr>
          <w:trHeight w:val="420"/>
        </w:trPr>
        <w:tc>
          <w:tcPr>
            <w:tcW w:w="2520" w:type="dxa"/>
            <w:vAlign w:val="bottom"/>
          </w:tcPr>
          <w:p>
            <w:pPr>
              <w:spacing w:after="0"/>
              <w:rPr>
                <w:sz w:val="24"/>
                <w:szCs w:val="24"/>
                <w:color w:val="auto"/>
              </w:rPr>
            </w:pPr>
          </w:p>
        </w:tc>
        <w:tc>
          <w:tcPr>
            <w:tcW w:w="720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At the time of settlement, you will receive one share of Incyte common stock</w:t>
            </w:r>
          </w:p>
        </w:tc>
      </w:tr>
      <w:tr>
        <w:trPr>
          <w:trHeight w:val="282"/>
        </w:trPr>
        <w:tc>
          <w:tcPr>
            <w:tcW w:w="2520" w:type="dxa"/>
            <w:vAlign w:val="bottom"/>
          </w:tcPr>
          <w:p>
            <w:pPr>
              <w:spacing w:after="0"/>
              <w:rPr>
                <w:sz w:val="24"/>
                <w:szCs w:val="24"/>
                <w:color w:val="auto"/>
              </w:rPr>
            </w:pPr>
          </w:p>
        </w:tc>
        <w:tc>
          <w:tcPr>
            <w:tcW w:w="720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for each vested unit.</w:t>
            </w:r>
          </w:p>
        </w:tc>
      </w:tr>
      <w:tr>
        <w:trPr>
          <w:trHeight w:val="420"/>
        </w:trPr>
        <w:tc>
          <w:tcPr>
            <w:tcW w:w="25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Responsibility for Taxes</w:t>
            </w:r>
          </w:p>
        </w:tc>
        <w:tc>
          <w:tcPr>
            <w:tcW w:w="720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Regardless of any action taken by Incyte or, if different, your employer, the</w:t>
            </w:r>
          </w:p>
        </w:tc>
      </w:tr>
      <w:tr>
        <w:trPr>
          <w:trHeight w:val="243"/>
        </w:trPr>
        <w:tc>
          <w:tcPr>
            <w:tcW w:w="2520" w:type="dxa"/>
            <w:vAlign w:val="bottom"/>
          </w:tcPr>
          <w:p>
            <w:pPr>
              <w:spacing w:after="0"/>
              <w:rPr>
                <w:sz w:val="21"/>
                <w:szCs w:val="21"/>
                <w:color w:val="auto"/>
              </w:rPr>
            </w:pPr>
          </w:p>
        </w:tc>
        <w:tc>
          <w:tcPr>
            <w:tcW w:w="7200" w:type="dxa"/>
            <w:vAlign w:val="bottom"/>
            <w:gridSpan w:val="2"/>
          </w:tcPr>
          <w:p>
            <w:pPr>
              <w:ind w:left="300"/>
              <w:spacing w:after="0" w:line="243" w:lineRule="exact"/>
              <w:rPr>
                <w:sz w:val="20"/>
                <w:szCs w:val="20"/>
                <w:color w:val="auto"/>
              </w:rPr>
            </w:pPr>
            <w:r>
              <w:rPr>
                <w:rFonts w:ascii="Times New Roman" w:cs="Times New Roman" w:eastAsia="Times New Roman" w:hAnsi="Times New Roman"/>
                <w:sz w:val="22"/>
                <w:szCs w:val="22"/>
                <w:color w:val="auto"/>
              </w:rPr>
              <w:t>ultimate liability for all income tax (including U.S. federal, state, and local</w:t>
            </w:r>
          </w:p>
        </w:tc>
      </w:tr>
      <w:tr>
        <w:trPr>
          <w:trHeight w:val="243"/>
        </w:trPr>
        <w:tc>
          <w:tcPr>
            <w:tcW w:w="2520" w:type="dxa"/>
            <w:vAlign w:val="bottom"/>
          </w:tcPr>
          <w:p>
            <w:pPr>
              <w:spacing w:after="0"/>
              <w:rPr>
                <w:sz w:val="21"/>
                <w:szCs w:val="21"/>
                <w:color w:val="auto"/>
              </w:rPr>
            </w:pPr>
          </w:p>
        </w:tc>
        <w:tc>
          <w:tcPr>
            <w:tcW w:w="7200" w:type="dxa"/>
            <w:vAlign w:val="bottom"/>
            <w:gridSpan w:val="2"/>
          </w:tcPr>
          <w:p>
            <w:pPr>
              <w:ind w:left="300"/>
              <w:spacing w:after="0" w:line="243" w:lineRule="exact"/>
              <w:rPr>
                <w:sz w:val="20"/>
                <w:szCs w:val="20"/>
                <w:color w:val="auto"/>
              </w:rPr>
            </w:pPr>
            <w:r>
              <w:rPr>
                <w:rFonts w:ascii="Times New Roman" w:cs="Times New Roman" w:eastAsia="Times New Roman" w:hAnsi="Times New Roman"/>
                <w:sz w:val="22"/>
                <w:szCs w:val="22"/>
                <w:color w:val="auto"/>
              </w:rPr>
              <w:t>taxes and/or non-U.S. taxes), social insurance, payroll tax, fringe benefits tax,</w:t>
            </w:r>
          </w:p>
        </w:tc>
      </w:tr>
      <w:tr>
        <w:trPr>
          <w:trHeight w:val="243"/>
        </w:trPr>
        <w:tc>
          <w:tcPr>
            <w:tcW w:w="2520" w:type="dxa"/>
            <w:vAlign w:val="bottom"/>
          </w:tcPr>
          <w:p>
            <w:pPr>
              <w:spacing w:after="0"/>
              <w:rPr>
                <w:sz w:val="21"/>
                <w:szCs w:val="21"/>
                <w:color w:val="auto"/>
              </w:rPr>
            </w:pPr>
          </w:p>
        </w:tc>
        <w:tc>
          <w:tcPr>
            <w:tcW w:w="7200" w:type="dxa"/>
            <w:vAlign w:val="bottom"/>
            <w:gridSpan w:val="2"/>
          </w:tcPr>
          <w:p>
            <w:pPr>
              <w:ind w:left="300"/>
              <w:spacing w:after="0" w:line="243" w:lineRule="exact"/>
              <w:rPr>
                <w:sz w:val="20"/>
                <w:szCs w:val="20"/>
                <w:color w:val="auto"/>
              </w:rPr>
            </w:pPr>
            <w:r>
              <w:rPr>
                <w:rFonts w:ascii="Times New Roman" w:cs="Times New Roman" w:eastAsia="Times New Roman" w:hAnsi="Times New Roman"/>
                <w:sz w:val="22"/>
                <w:szCs w:val="22"/>
                <w:color w:val="auto"/>
              </w:rPr>
              <w:t>payment on account or other tax-related items related to your participation in</w:t>
            </w:r>
          </w:p>
        </w:tc>
      </w:tr>
      <w:tr>
        <w:trPr>
          <w:trHeight w:val="243"/>
        </w:trPr>
        <w:tc>
          <w:tcPr>
            <w:tcW w:w="2520" w:type="dxa"/>
            <w:vAlign w:val="bottom"/>
          </w:tcPr>
          <w:p>
            <w:pPr>
              <w:spacing w:after="0"/>
              <w:rPr>
                <w:sz w:val="21"/>
                <w:szCs w:val="21"/>
                <w:color w:val="auto"/>
              </w:rPr>
            </w:pPr>
          </w:p>
        </w:tc>
        <w:tc>
          <w:tcPr>
            <w:tcW w:w="7200" w:type="dxa"/>
            <w:vAlign w:val="bottom"/>
            <w:gridSpan w:val="2"/>
          </w:tcPr>
          <w:p>
            <w:pPr>
              <w:ind w:left="300"/>
              <w:spacing w:after="0" w:line="243" w:lineRule="exact"/>
              <w:rPr>
                <w:sz w:val="20"/>
                <w:szCs w:val="20"/>
                <w:color w:val="auto"/>
              </w:rPr>
            </w:pPr>
            <w:r>
              <w:rPr>
                <w:rFonts w:ascii="Times New Roman" w:cs="Times New Roman" w:eastAsia="Times New Roman" w:hAnsi="Times New Roman"/>
                <w:sz w:val="22"/>
                <w:szCs w:val="22"/>
                <w:color w:val="auto"/>
                <w:w w:val="98"/>
              </w:rPr>
              <w:t>the Plan and legally applicable to you (the “Tax-Related Items”) is and remains</w:t>
            </w:r>
          </w:p>
        </w:tc>
      </w:tr>
      <w:tr>
        <w:trPr>
          <w:trHeight w:val="243"/>
        </w:trPr>
        <w:tc>
          <w:tcPr>
            <w:tcW w:w="2520" w:type="dxa"/>
            <w:vAlign w:val="bottom"/>
          </w:tcPr>
          <w:p>
            <w:pPr>
              <w:spacing w:after="0"/>
              <w:rPr>
                <w:sz w:val="21"/>
                <w:szCs w:val="21"/>
                <w:color w:val="auto"/>
              </w:rPr>
            </w:pPr>
          </w:p>
        </w:tc>
        <w:tc>
          <w:tcPr>
            <w:tcW w:w="7200" w:type="dxa"/>
            <w:vAlign w:val="bottom"/>
            <w:gridSpan w:val="2"/>
          </w:tcPr>
          <w:p>
            <w:pPr>
              <w:ind w:left="300"/>
              <w:spacing w:after="0" w:line="243" w:lineRule="exact"/>
              <w:rPr>
                <w:sz w:val="20"/>
                <w:szCs w:val="20"/>
                <w:color w:val="auto"/>
              </w:rPr>
            </w:pPr>
            <w:r>
              <w:rPr>
                <w:rFonts w:ascii="Times New Roman" w:cs="Times New Roman" w:eastAsia="Times New Roman" w:hAnsi="Times New Roman"/>
                <w:sz w:val="22"/>
                <w:szCs w:val="22"/>
                <w:color w:val="auto"/>
              </w:rPr>
              <w:t>your responsibility and may exceed the amount, if any, withheld by Incyte or</w:t>
            </w:r>
          </w:p>
        </w:tc>
      </w:tr>
      <w:tr>
        <w:trPr>
          <w:trHeight w:val="282"/>
        </w:trPr>
        <w:tc>
          <w:tcPr>
            <w:tcW w:w="2520" w:type="dxa"/>
            <w:vAlign w:val="bottom"/>
          </w:tcPr>
          <w:p>
            <w:pPr>
              <w:spacing w:after="0"/>
              <w:rPr>
                <w:sz w:val="24"/>
                <w:szCs w:val="24"/>
                <w:color w:val="auto"/>
              </w:rPr>
            </w:pPr>
          </w:p>
        </w:tc>
        <w:tc>
          <w:tcPr>
            <w:tcW w:w="720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your employer.</w:t>
            </w:r>
          </w:p>
        </w:tc>
      </w:tr>
      <w:tr>
        <w:trPr>
          <w:trHeight w:val="420"/>
        </w:trPr>
        <w:tc>
          <w:tcPr>
            <w:tcW w:w="2520" w:type="dxa"/>
            <w:vAlign w:val="bottom"/>
          </w:tcPr>
          <w:p>
            <w:pPr>
              <w:spacing w:after="0"/>
              <w:rPr>
                <w:sz w:val="24"/>
                <w:szCs w:val="24"/>
                <w:color w:val="auto"/>
              </w:rPr>
            </w:pPr>
          </w:p>
        </w:tc>
        <w:tc>
          <w:tcPr>
            <w:tcW w:w="720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Incyte and your employer (i) make no representations or undertakings</w:t>
            </w:r>
          </w:p>
        </w:tc>
      </w:tr>
      <w:tr>
        <w:trPr>
          <w:trHeight w:val="243"/>
        </w:trPr>
        <w:tc>
          <w:tcPr>
            <w:tcW w:w="2520" w:type="dxa"/>
            <w:vAlign w:val="bottom"/>
          </w:tcPr>
          <w:p>
            <w:pPr>
              <w:spacing w:after="0"/>
              <w:rPr>
                <w:sz w:val="21"/>
                <w:szCs w:val="21"/>
                <w:color w:val="auto"/>
              </w:rPr>
            </w:pPr>
          </w:p>
        </w:tc>
        <w:tc>
          <w:tcPr>
            <w:tcW w:w="7200" w:type="dxa"/>
            <w:vAlign w:val="bottom"/>
            <w:gridSpan w:val="2"/>
          </w:tcPr>
          <w:p>
            <w:pPr>
              <w:ind w:left="300"/>
              <w:spacing w:after="0" w:line="243" w:lineRule="exact"/>
              <w:rPr>
                <w:sz w:val="20"/>
                <w:szCs w:val="20"/>
                <w:color w:val="auto"/>
              </w:rPr>
            </w:pPr>
            <w:r>
              <w:rPr>
                <w:rFonts w:ascii="Times New Roman" w:cs="Times New Roman" w:eastAsia="Times New Roman" w:hAnsi="Times New Roman"/>
                <w:sz w:val="22"/>
                <w:szCs w:val="22"/>
                <w:color w:val="auto"/>
                <w:w w:val="97"/>
              </w:rPr>
              <w:t>regarding the treatment of any Tax-Related Items, and (ii) do not commit to and</w:t>
            </w:r>
          </w:p>
        </w:tc>
      </w:tr>
      <w:tr>
        <w:trPr>
          <w:trHeight w:val="243"/>
        </w:trPr>
        <w:tc>
          <w:tcPr>
            <w:tcW w:w="2520" w:type="dxa"/>
            <w:vAlign w:val="bottom"/>
          </w:tcPr>
          <w:p>
            <w:pPr>
              <w:spacing w:after="0"/>
              <w:rPr>
                <w:sz w:val="21"/>
                <w:szCs w:val="21"/>
                <w:color w:val="auto"/>
              </w:rPr>
            </w:pPr>
          </w:p>
        </w:tc>
        <w:tc>
          <w:tcPr>
            <w:tcW w:w="7200" w:type="dxa"/>
            <w:vAlign w:val="bottom"/>
            <w:gridSpan w:val="2"/>
          </w:tcPr>
          <w:p>
            <w:pPr>
              <w:ind w:left="300"/>
              <w:spacing w:after="0" w:line="243" w:lineRule="exact"/>
              <w:rPr>
                <w:sz w:val="20"/>
                <w:szCs w:val="20"/>
                <w:color w:val="auto"/>
              </w:rPr>
            </w:pPr>
            <w:r>
              <w:rPr>
                <w:rFonts w:ascii="Times New Roman" w:cs="Times New Roman" w:eastAsia="Times New Roman" w:hAnsi="Times New Roman"/>
                <w:sz w:val="22"/>
                <w:szCs w:val="22"/>
                <w:color w:val="auto"/>
              </w:rPr>
              <w:t>are under no obligation to reduce or eliminate your liability for Tax-Related</w:t>
            </w:r>
          </w:p>
        </w:tc>
      </w:tr>
      <w:tr>
        <w:trPr>
          <w:trHeight w:val="282"/>
        </w:trPr>
        <w:tc>
          <w:tcPr>
            <w:tcW w:w="2520" w:type="dxa"/>
            <w:vAlign w:val="bottom"/>
          </w:tcPr>
          <w:p>
            <w:pPr>
              <w:spacing w:after="0"/>
              <w:rPr>
                <w:sz w:val="24"/>
                <w:szCs w:val="24"/>
                <w:color w:val="auto"/>
              </w:rPr>
            </w:pPr>
          </w:p>
        </w:tc>
        <w:tc>
          <w:tcPr>
            <w:tcW w:w="720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w w:val="98"/>
              </w:rPr>
              <w:t>Items or to structure the terms of this award to achieve any particular tax result.</w:t>
            </w:r>
          </w:p>
        </w:tc>
      </w:tr>
      <w:tr>
        <w:trPr>
          <w:trHeight w:val="420"/>
        </w:trPr>
        <w:tc>
          <w:tcPr>
            <w:tcW w:w="2520" w:type="dxa"/>
            <w:vAlign w:val="bottom"/>
          </w:tcPr>
          <w:p>
            <w:pPr>
              <w:spacing w:after="0"/>
              <w:rPr>
                <w:sz w:val="24"/>
                <w:szCs w:val="24"/>
                <w:color w:val="auto"/>
              </w:rPr>
            </w:pPr>
          </w:p>
        </w:tc>
        <w:tc>
          <w:tcPr>
            <w:tcW w:w="720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If you become subject to taxation in more than one jurisdiction, Incyte and/or</w:t>
            </w:r>
          </w:p>
        </w:tc>
      </w:tr>
      <w:tr>
        <w:trPr>
          <w:trHeight w:val="243"/>
        </w:trPr>
        <w:tc>
          <w:tcPr>
            <w:tcW w:w="2520" w:type="dxa"/>
            <w:vAlign w:val="bottom"/>
          </w:tcPr>
          <w:p>
            <w:pPr>
              <w:spacing w:after="0"/>
              <w:rPr>
                <w:sz w:val="21"/>
                <w:szCs w:val="21"/>
                <w:color w:val="auto"/>
              </w:rPr>
            </w:pPr>
          </w:p>
        </w:tc>
        <w:tc>
          <w:tcPr>
            <w:tcW w:w="7200" w:type="dxa"/>
            <w:vAlign w:val="bottom"/>
            <w:gridSpan w:val="2"/>
          </w:tcPr>
          <w:p>
            <w:pPr>
              <w:ind w:left="300"/>
              <w:spacing w:after="0" w:line="243" w:lineRule="exact"/>
              <w:rPr>
                <w:sz w:val="20"/>
                <w:szCs w:val="20"/>
                <w:color w:val="auto"/>
              </w:rPr>
            </w:pPr>
            <w:r>
              <w:rPr>
                <w:rFonts w:ascii="Times New Roman" w:cs="Times New Roman" w:eastAsia="Times New Roman" w:hAnsi="Times New Roman"/>
                <w:sz w:val="22"/>
                <w:szCs w:val="22"/>
                <w:color w:val="auto"/>
                <w:w w:val="98"/>
              </w:rPr>
              <w:t>your employer (or former employer, as applicable) may be required to withhold</w:t>
            </w:r>
          </w:p>
        </w:tc>
      </w:tr>
      <w:tr>
        <w:trPr>
          <w:trHeight w:val="282"/>
        </w:trPr>
        <w:tc>
          <w:tcPr>
            <w:tcW w:w="2520" w:type="dxa"/>
            <w:vAlign w:val="bottom"/>
          </w:tcPr>
          <w:p>
            <w:pPr>
              <w:spacing w:after="0"/>
              <w:rPr>
                <w:sz w:val="24"/>
                <w:szCs w:val="24"/>
                <w:color w:val="auto"/>
              </w:rPr>
            </w:pPr>
          </w:p>
        </w:tc>
        <w:tc>
          <w:tcPr>
            <w:tcW w:w="720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or account for Tax-Related Items in more than one jurisdiction.</w:t>
            </w:r>
          </w:p>
        </w:tc>
      </w:tr>
      <w:tr>
        <w:trPr>
          <w:trHeight w:val="420"/>
        </w:trPr>
        <w:tc>
          <w:tcPr>
            <w:tcW w:w="2520" w:type="dxa"/>
            <w:vAlign w:val="bottom"/>
          </w:tcPr>
          <w:p>
            <w:pPr>
              <w:spacing w:after="0"/>
              <w:rPr>
                <w:sz w:val="24"/>
                <w:szCs w:val="24"/>
                <w:color w:val="auto"/>
              </w:rPr>
            </w:pPr>
          </w:p>
        </w:tc>
        <w:tc>
          <w:tcPr>
            <w:tcW w:w="720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Prior to any taxable or tax withholding event, you will make arrangements</w:t>
            </w:r>
          </w:p>
        </w:tc>
      </w:tr>
      <w:tr>
        <w:trPr>
          <w:trHeight w:val="243"/>
        </w:trPr>
        <w:tc>
          <w:tcPr>
            <w:tcW w:w="2520" w:type="dxa"/>
            <w:vAlign w:val="bottom"/>
          </w:tcPr>
          <w:p>
            <w:pPr>
              <w:spacing w:after="0"/>
              <w:rPr>
                <w:sz w:val="21"/>
                <w:szCs w:val="21"/>
                <w:color w:val="auto"/>
              </w:rPr>
            </w:pPr>
          </w:p>
        </w:tc>
        <w:tc>
          <w:tcPr>
            <w:tcW w:w="7200" w:type="dxa"/>
            <w:vAlign w:val="bottom"/>
            <w:gridSpan w:val="2"/>
          </w:tcPr>
          <w:p>
            <w:pPr>
              <w:ind w:left="300"/>
              <w:spacing w:after="0" w:line="243" w:lineRule="exact"/>
              <w:rPr>
                <w:sz w:val="20"/>
                <w:szCs w:val="20"/>
                <w:color w:val="auto"/>
              </w:rPr>
            </w:pPr>
            <w:r>
              <w:rPr>
                <w:rFonts w:ascii="Times New Roman" w:cs="Times New Roman" w:eastAsia="Times New Roman" w:hAnsi="Times New Roman"/>
                <w:sz w:val="22"/>
                <w:szCs w:val="22"/>
                <w:color w:val="auto"/>
                <w:w w:val="99"/>
              </w:rPr>
              <w:t>satisfactory to Incyte and your employer so that Incyte and your employer can</w:t>
            </w:r>
          </w:p>
        </w:tc>
      </w:tr>
      <w:tr>
        <w:trPr>
          <w:trHeight w:val="243"/>
        </w:trPr>
        <w:tc>
          <w:tcPr>
            <w:tcW w:w="2520" w:type="dxa"/>
            <w:vAlign w:val="bottom"/>
          </w:tcPr>
          <w:p>
            <w:pPr>
              <w:spacing w:after="0"/>
              <w:rPr>
                <w:sz w:val="21"/>
                <w:szCs w:val="21"/>
                <w:color w:val="auto"/>
              </w:rPr>
            </w:pPr>
          </w:p>
        </w:tc>
        <w:tc>
          <w:tcPr>
            <w:tcW w:w="7200" w:type="dxa"/>
            <w:vAlign w:val="bottom"/>
            <w:gridSpan w:val="2"/>
          </w:tcPr>
          <w:p>
            <w:pPr>
              <w:ind w:left="300"/>
              <w:spacing w:after="0" w:line="243" w:lineRule="exact"/>
              <w:rPr>
                <w:sz w:val="20"/>
                <w:szCs w:val="20"/>
                <w:color w:val="auto"/>
              </w:rPr>
            </w:pPr>
            <w:r>
              <w:rPr>
                <w:rFonts w:ascii="Times New Roman" w:cs="Times New Roman" w:eastAsia="Times New Roman" w:hAnsi="Times New Roman"/>
                <w:sz w:val="22"/>
                <w:szCs w:val="22"/>
                <w:color w:val="auto"/>
              </w:rPr>
              <w:t>fulfill any withholding obligations for Tax-Related Items. Incyte shall not be</w:t>
            </w:r>
          </w:p>
        </w:tc>
      </w:tr>
      <w:tr>
        <w:trPr>
          <w:trHeight w:val="243"/>
        </w:trPr>
        <w:tc>
          <w:tcPr>
            <w:tcW w:w="2520" w:type="dxa"/>
            <w:vAlign w:val="bottom"/>
          </w:tcPr>
          <w:p>
            <w:pPr>
              <w:spacing w:after="0"/>
              <w:rPr>
                <w:sz w:val="21"/>
                <w:szCs w:val="21"/>
                <w:color w:val="auto"/>
              </w:rPr>
            </w:pPr>
          </w:p>
        </w:tc>
        <w:tc>
          <w:tcPr>
            <w:tcW w:w="7200" w:type="dxa"/>
            <w:vAlign w:val="bottom"/>
            <w:gridSpan w:val="2"/>
          </w:tcPr>
          <w:p>
            <w:pPr>
              <w:ind w:left="300"/>
              <w:spacing w:after="0" w:line="243" w:lineRule="exact"/>
              <w:rPr>
                <w:sz w:val="20"/>
                <w:szCs w:val="20"/>
                <w:color w:val="auto"/>
              </w:rPr>
            </w:pPr>
            <w:r>
              <w:rPr>
                <w:rFonts w:ascii="Times New Roman" w:cs="Times New Roman" w:eastAsia="Times New Roman" w:hAnsi="Times New Roman"/>
                <w:sz w:val="22"/>
                <w:szCs w:val="22"/>
                <w:color w:val="auto"/>
                <w:w w:val="99"/>
              </w:rPr>
              <w:t>required to issue any shares of Incyte common stock or deliver the proceeds of</w:t>
            </w:r>
          </w:p>
        </w:tc>
      </w:tr>
      <w:tr>
        <w:trPr>
          <w:trHeight w:val="243"/>
        </w:trPr>
        <w:tc>
          <w:tcPr>
            <w:tcW w:w="2520" w:type="dxa"/>
            <w:vAlign w:val="bottom"/>
          </w:tcPr>
          <w:p>
            <w:pPr>
              <w:spacing w:after="0"/>
              <w:rPr>
                <w:sz w:val="21"/>
                <w:szCs w:val="21"/>
                <w:color w:val="auto"/>
              </w:rPr>
            </w:pPr>
          </w:p>
        </w:tc>
        <w:tc>
          <w:tcPr>
            <w:tcW w:w="7200" w:type="dxa"/>
            <w:vAlign w:val="bottom"/>
            <w:gridSpan w:val="2"/>
          </w:tcPr>
          <w:p>
            <w:pPr>
              <w:ind w:left="300"/>
              <w:spacing w:after="0" w:line="243" w:lineRule="exact"/>
              <w:rPr>
                <w:sz w:val="20"/>
                <w:szCs w:val="20"/>
                <w:color w:val="auto"/>
              </w:rPr>
            </w:pPr>
            <w:r>
              <w:rPr>
                <w:rFonts w:ascii="Times New Roman" w:cs="Times New Roman" w:eastAsia="Times New Roman" w:hAnsi="Times New Roman"/>
                <w:sz w:val="22"/>
                <w:szCs w:val="22"/>
                <w:color w:val="auto"/>
              </w:rPr>
              <w:t>the sale of any shares of Incyte common stock until such obligations are</w:t>
            </w:r>
          </w:p>
        </w:tc>
      </w:tr>
      <w:tr>
        <w:trPr>
          <w:trHeight w:val="282"/>
        </w:trPr>
        <w:tc>
          <w:tcPr>
            <w:tcW w:w="2520" w:type="dxa"/>
            <w:vAlign w:val="bottom"/>
          </w:tcPr>
          <w:p>
            <w:pPr>
              <w:spacing w:after="0"/>
              <w:rPr>
                <w:sz w:val="24"/>
                <w:szCs w:val="24"/>
                <w:color w:val="auto"/>
              </w:rPr>
            </w:pPr>
          </w:p>
        </w:tc>
        <w:tc>
          <w:tcPr>
            <w:tcW w:w="720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satisfied.</w:t>
            </w:r>
          </w:p>
        </w:tc>
      </w:tr>
      <w:tr>
        <w:trPr>
          <w:trHeight w:val="447"/>
        </w:trPr>
        <w:tc>
          <w:tcPr>
            <w:tcW w:w="2520" w:type="dxa"/>
            <w:vAlign w:val="bottom"/>
          </w:tcPr>
          <w:p>
            <w:pPr>
              <w:spacing w:after="0"/>
              <w:rPr>
                <w:sz w:val="24"/>
                <w:szCs w:val="24"/>
                <w:color w:val="auto"/>
              </w:rPr>
            </w:pPr>
          </w:p>
        </w:tc>
        <w:tc>
          <w:tcPr>
            <w:tcW w:w="720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In this regard, Incyte will withhold shares of Incyte common stock on</w:t>
            </w:r>
          </w:p>
        </w:tc>
      </w:tr>
      <w:tr>
        <w:trPr>
          <w:trHeight w:val="243"/>
        </w:trPr>
        <w:tc>
          <w:tcPr>
            <w:tcW w:w="2520" w:type="dxa"/>
            <w:vAlign w:val="bottom"/>
          </w:tcPr>
          <w:p>
            <w:pPr>
              <w:spacing w:after="0"/>
              <w:rPr>
                <w:sz w:val="21"/>
                <w:szCs w:val="21"/>
                <w:color w:val="auto"/>
              </w:rPr>
            </w:pPr>
          </w:p>
        </w:tc>
        <w:tc>
          <w:tcPr>
            <w:tcW w:w="7200" w:type="dxa"/>
            <w:vAlign w:val="bottom"/>
            <w:gridSpan w:val="2"/>
          </w:tcPr>
          <w:p>
            <w:pPr>
              <w:ind w:left="300"/>
              <w:spacing w:after="0" w:line="243" w:lineRule="exact"/>
              <w:rPr>
                <w:sz w:val="20"/>
                <w:szCs w:val="20"/>
                <w:color w:val="auto"/>
              </w:rPr>
            </w:pPr>
            <w:r>
              <w:rPr>
                <w:rFonts w:ascii="Times New Roman" w:cs="Times New Roman" w:eastAsia="Times New Roman" w:hAnsi="Times New Roman"/>
                <w:sz w:val="22"/>
                <w:szCs w:val="22"/>
                <w:color w:val="auto"/>
              </w:rPr>
              <w:t>settlement of the units to satisfy any applicable withholding obligations for</w:t>
            </w:r>
          </w:p>
        </w:tc>
      </w:tr>
      <w:tr>
        <w:trPr>
          <w:trHeight w:val="243"/>
        </w:trPr>
        <w:tc>
          <w:tcPr>
            <w:tcW w:w="2520" w:type="dxa"/>
            <w:vAlign w:val="bottom"/>
          </w:tcPr>
          <w:p>
            <w:pPr>
              <w:spacing w:after="0"/>
              <w:rPr>
                <w:sz w:val="21"/>
                <w:szCs w:val="21"/>
                <w:color w:val="auto"/>
              </w:rPr>
            </w:pPr>
          </w:p>
        </w:tc>
        <w:tc>
          <w:tcPr>
            <w:tcW w:w="7200" w:type="dxa"/>
            <w:vAlign w:val="bottom"/>
            <w:gridSpan w:val="2"/>
          </w:tcPr>
          <w:p>
            <w:pPr>
              <w:ind w:left="300"/>
              <w:spacing w:after="0" w:line="243" w:lineRule="exact"/>
              <w:rPr>
                <w:sz w:val="20"/>
                <w:szCs w:val="20"/>
                <w:color w:val="auto"/>
              </w:rPr>
            </w:pPr>
            <w:r>
              <w:rPr>
                <w:rFonts w:ascii="Times New Roman" w:cs="Times New Roman" w:eastAsia="Times New Roman" w:hAnsi="Times New Roman"/>
                <w:sz w:val="22"/>
                <w:szCs w:val="22"/>
                <w:color w:val="auto"/>
              </w:rPr>
              <w:t>Tax-Related Items. Alternatively, provided you are not a Section 16 officer of</w:t>
            </w:r>
          </w:p>
        </w:tc>
      </w:tr>
      <w:tr>
        <w:trPr>
          <w:trHeight w:val="243"/>
        </w:trPr>
        <w:tc>
          <w:tcPr>
            <w:tcW w:w="2520" w:type="dxa"/>
            <w:vAlign w:val="bottom"/>
          </w:tcPr>
          <w:p>
            <w:pPr>
              <w:spacing w:after="0"/>
              <w:rPr>
                <w:sz w:val="21"/>
                <w:szCs w:val="21"/>
                <w:color w:val="auto"/>
              </w:rPr>
            </w:pPr>
          </w:p>
        </w:tc>
        <w:tc>
          <w:tcPr>
            <w:tcW w:w="7200" w:type="dxa"/>
            <w:vAlign w:val="bottom"/>
            <w:gridSpan w:val="2"/>
          </w:tcPr>
          <w:p>
            <w:pPr>
              <w:ind w:left="300"/>
              <w:spacing w:after="0" w:line="243" w:lineRule="exact"/>
              <w:rPr>
                <w:sz w:val="20"/>
                <w:szCs w:val="20"/>
                <w:color w:val="auto"/>
              </w:rPr>
            </w:pPr>
            <w:r>
              <w:rPr>
                <w:rFonts w:ascii="Times New Roman" w:cs="Times New Roman" w:eastAsia="Times New Roman" w:hAnsi="Times New Roman"/>
                <w:sz w:val="22"/>
                <w:szCs w:val="22"/>
                <w:color w:val="auto"/>
                <w:w w:val="97"/>
              </w:rPr>
              <w:t>Incyte under the Exchange Act, Incyte and/or your employer, or their respective</w:t>
            </w:r>
          </w:p>
        </w:tc>
      </w:tr>
      <w:tr>
        <w:trPr>
          <w:trHeight w:val="243"/>
        </w:trPr>
        <w:tc>
          <w:tcPr>
            <w:tcW w:w="2520" w:type="dxa"/>
            <w:vAlign w:val="bottom"/>
          </w:tcPr>
          <w:p>
            <w:pPr>
              <w:spacing w:after="0"/>
              <w:rPr>
                <w:sz w:val="21"/>
                <w:szCs w:val="21"/>
                <w:color w:val="auto"/>
              </w:rPr>
            </w:pPr>
          </w:p>
        </w:tc>
        <w:tc>
          <w:tcPr>
            <w:tcW w:w="7200" w:type="dxa"/>
            <w:vAlign w:val="bottom"/>
            <w:gridSpan w:val="2"/>
          </w:tcPr>
          <w:p>
            <w:pPr>
              <w:ind w:left="300"/>
              <w:spacing w:after="0" w:line="243" w:lineRule="exact"/>
              <w:rPr>
                <w:sz w:val="20"/>
                <w:szCs w:val="20"/>
                <w:color w:val="auto"/>
              </w:rPr>
            </w:pPr>
            <w:r>
              <w:rPr>
                <w:rFonts w:ascii="Times New Roman" w:cs="Times New Roman" w:eastAsia="Times New Roman" w:hAnsi="Times New Roman"/>
                <w:sz w:val="22"/>
                <w:szCs w:val="22"/>
                <w:color w:val="auto"/>
              </w:rPr>
              <w:t>agents, at their discretion, may fulfill any applicable withholding obligations</w:t>
            </w:r>
          </w:p>
        </w:tc>
      </w:tr>
      <w:tr>
        <w:trPr>
          <w:trHeight w:val="282"/>
        </w:trPr>
        <w:tc>
          <w:tcPr>
            <w:tcW w:w="2520" w:type="dxa"/>
            <w:vAlign w:val="bottom"/>
          </w:tcPr>
          <w:p>
            <w:pPr>
              <w:spacing w:after="0"/>
              <w:rPr>
                <w:sz w:val="24"/>
                <w:szCs w:val="24"/>
                <w:color w:val="auto"/>
              </w:rPr>
            </w:pPr>
          </w:p>
        </w:tc>
        <w:tc>
          <w:tcPr>
            <w:tcW w:w="720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for Tax-Related Items by one or a combination of the following:</w:t>
            </w:r>
          </w:p>
        </w:tc>
      </w:tr>
      <w:tr>
        <w:trPr>
          <w:trHeight w:val="420"/>
        </w:trPr>
        <w:tc>
          <w:tcPr>
            <w:tcW w:w="2520" w:type="dxa"/>
            <w:vAlign w:val="bottom"/>
          </w:tcPr>
          <w:p>
            <w:pPr>
              <w:spacing w:after="0"/>
              <w:rPr>
                <w:sz w:val="24"/>
                <w:szCs w:val="24"/>
                <w:color w:val="auto"/>
              </w:rPr>
            </w:pPr>
          </w:p>
        </w:tc>
        <w:tc>
          <w:tcPr>
            <w:tcW w:w="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(A)</w:t>
            </w:r>
          </w:p>
        </w:tc>
        <w:tc>
          <w:tcPr>
            <w:tcW w:w="64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withholding from your wages or other cash amount payable to you by</w:t>
            </w:r>
          </w:p>
        </w:tc>
      </w:tr>
      <w:tr>
        <w:trPr>
          <w:trHeight w:val="282"/>
        </w:trPr>
        <w:tc>
          <w:tcPr>
            <w:tcW w:w="2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Incyte and/or your employer;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361315</wp:posOffset>
            </wp:positionV>
            <wp:extent cx="629221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20"/>
          </w:cols>
          <w:pgMar w:left="1080" w:top="885" w:right="1099" w:bottom="1440" w:gutter="0" w:footer="0" w:header="0"/>
        </w:sectPr>
      </w:pPr>
    </w:p>
    <w:bookmarkStart w:id="112" w:name="page113"/>
    <w:bookmarkEnd w:id="112"/>
    <w:p>
      <w:pPr>
        <w:jc w:val="both"/>
        <w:ind w:left="3460" w:hanging="639"/>
        <w:spacing w:after="0" w:line="239" w:lineRule="auto"/>
        <w:tabs>
          <w:tab w:leader="none" w:pos="344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withholding from proceeds of the sale of shares of Incyte common stock acquired upon settlement of the units either through a voluntary sale or through a mandatory sale arranged by Incyte (on your behalf pursuant to this authorization without further consent);</w:t>
      </w:r>
    </w:p>
    <w:p>
      <w:pPr>
        <w:spacing w:after="0" w:line="180" w:lineRule="exact"/>
        <w:rPr>
          <w:sz w:val="20"/>
          <w:szCs w:val="20"/>
          <w:color w:val="auto"/>
        </w:rPr>
      </w:pPr>
    </w:p>
    <w:p>
      <w:pPr>
        <w:ind w:left="3460" w:right="20" w:hanging="639"/>
        <w:spacing w:after="0" w:line="258" w:lineRule="auto"/>
        <w:tabs>
          <w:tab w:leader="none" w:pos="344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color w:val="auto"/>
        </w:rPr>
        <w:t>requiring you to make a cash payment to Incyte or your employer; and/or</w:t>
      </w:r>
    </w:p>
    <w:p>
      <w:pPr>
        <w:spacing w:after="0" w:line="158" w:lineRule="exact"/>
        <w:rPr>
          <w:sz w:val="20"/>
          <w:szCs w:val="20"/>
          <w:color w:val="auto"/>
        </w:rPr>
      </w:pPr>
    </w:p>
    <w:p>
      <w:pPr>
        <w:ind w:left="3460" w:hanging="639"/>
        <w:spacing w:after="0" w:line="258" w:lineRule="auto"/>
        <w:tabs>
          <w:tab w:leader="none" w:pos="344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any other method of withholding determined by Incyte and permitted by applicable law.</w:t>
      </w:r>
    </w:p>
    <w:p>
      <w:pPr>
        <w:spacing w:after="0" w:line="158" w:lineRule="exact"/>
        <w:rPr>
          <w:sz w:val="20"/>
          <w:szCs w:val="20"/>
          <w:color w:val="auto"/>
        </w:rPr>
      </w:pPr>
    </w:p>
    <w:p>
      <w:pPr>
        <w:ind w:left="2820"/>
        <w:spacing w:after="0" w:line="238" w:lineRule="auto"/>
        <w:rPr>
          <w:sz w:val="20"/>
          <w:szCs w:val="20"/>
          <w:color w:val="auto"/>
        </w:rPr>
      </w:pPr>
      <w:r>
        <w:rPr>
          <w:rFonts w:ascii="Times New Roman" w:cs="Times New Roman" w:eastAsia="Times New Roman" w:hAnsi="Times New Roman"/>
          <w:sz w:val="22"/>
          <w:szCs w:val="22"/>
          <w:color w:val="auto"/>
        </w:rPr>
        <w:t>If the obligation for Tax-Related Items is satisfied by withholding shares of Incyte common stock, for tax purposes, you will be deemed to have been issued the full number of shares of Incyte common stock subject to the vested units, notwithstanding that a number of shares of Incyte common stock are withheld to pay the Tax-Related Items.</w:t>
      </w:r>
    </w:p>
    <w:p>
      <w:pPr>
        <w:spacing w:after="0" w:line="204" w:lineRule="exact"/>
        <w:rPr>
          <w:sz w:val="20"/>
          <w:szCs w:val="20"/>
          <w:color w:val="auto"/>
        </w:rPr>
      </w:pPr>
    </w:p>
    <w:p>
      <w:pPr>
        <w:ind w:left="2820" w:right="60"/>
        <w:spacing w:after="0" w:line="246" w:lineRule="auto"/>
        <w:rPr>
          <w:sz w:val="20"/>
          <w:szCs w:val="20"/>
          <w:color w:val="auto"/>
        </w:rPr>
      </w:pPr>
      <w:r>
        <w:rPr>
          <w:rFonts w:ascii="Times New Roman" w:cs="Times New Roman" w:eastAsia="Times New Roman" w:hAnsi="Times New Roman"/>
          <w:sz w:val="21"/>
          <w:szCs w:val="21"/>
          <w:color w:val="auto"/>
        </w:rPr>
        <w:t>Incyte may withhold or account for Tax-Related Items by considering statutory withholding rates or other applicable withholding rates, including up to the maximum applicable rate in your jurisdiction to the extent permitted under the Plan. In the event any over-withholding results from the application of statutory or other withholding rates, you may receive a refund from your employer or you may be required to request a refund from the tax authorities in your country, but you will not be entitled to any interest or to the equivalent amount in shares of Incyte common stock. In the event any under-withholding results from the application or statutory or other withholding rates, you may be required to pay additional amounts to the tax authorities in your country.</w:t>
      </w:r>
    </w:p>
    <w:p>
      <w:pPr>
        <w:sectPr>
          <w:pgSz w:w="11900" w:h="16838" w:orient="portrait"/>
          <w:cols w:equalWidth="0" w:num="1">
            <w:col w:w="9720"/>
          </w:cols>
          <w:pgMar w:left="1080" w:top="895" w:right="1099" w:bottom="1440" w:gutter="0" w:footer="0" w:header="0"/>
        </w:sectPr>
      </w:pP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Change in Control</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right="240"/>
        <w:spacing w:after="0" w:line="236" w:lineRule="auto"/>
        <w:rPr>
          <w:sz w:val="20"/>
          <w:szCs w:val="20"/>
          <w:color w:val="auto"/>
        </w:rPr>
      </w:pPr>
      <w:r>
        <w:rPr>
          <w:rFonts w:ascii="Times New Roman" w:cs="Times New Roman" w:eastAsia="Times New Roman" w:hAnsi="Times New Roman"/>
          <w:sz w:val="22"/>
          <w:szCs w:val="22"/>
          <w:color w:val="auto"/>
        </w:rPr>
        <w:t>The following provisions will apply in the event a Change in Control (as defined in the Plan) occurs while the units granted under this Agreement are outstanding and you are still performing service as an employee, director, consultant or advisor of Incyte (or any parent or subsidiary). For purposes of these provisions, Incyte or any parent or subsidiary for which you are performing services is referred to as the “Employer.”</w:t>
      </w:r>
    </w:p>
    <w:p>
      <w:pPr>
        <w:spacing w:after="0" w:line="181" w:lineRule="exact"/>
        <w:rPr>
          <w:sz w:val="20"/>
          <w:szCs w:val="20"/>
          <w:color w:val="auto"/>
        </w:rPr>
      </w:pPr>
    </w:p>
    <w:p>
      <w:pPr>
        <w:sectPr>
          <w:pgSz w:w="11900" w:h="16838" w:orient="portrait"/>
          <w:cols w:equalWidth="0" w:num="2">
            <w:col w:w="2100" w:space="720"/>
            <w:col w:w="6900"/>
          </w:cols>
          <w:pgMar w:left="1080" w:top="895" w:right="1099" w:bottom="1440" w:gutter="0" w:footer="0" w:header="0"/>
          <w:type w:val="continuous"/>
        </w:sectPr>
      </w:pPr>
    </w:p>
    <w:p>
      <w:pPr>
        <w:ind w:left="2820" w:right="40"/>
        <w:spacing w:after="0" w:line="261" w:lineRule="auto"/>
        <w:rPr>
          <w:sz w:val="20"/>
          <w:szCs w:val="20"/>
          <w:color w:val="auto"/>
        </w:rPr>
      </w:pPr>
      <w:r>
        <w:rPr>
          <w:rFonts w:ascii="Times New Roman" w:cs="Times New Roman" w:eastAsia="Times New Roman" w:hAnsi="Times New Roman"/>
          <w:sz w:val="21"/>
          <w:szCs w:val="21"/>
          <w:color w:val="auto"/>
        </w:rPr>
        <w:t>If this Agreement is not assumed or replaced with a new comparable award (with the determination of comparability to be made by the Committee), then there would be full accelerated vesting of the units upon the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361315</wp:posOffset>
            </wp:positionV>
            <wp:extent cx="62922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20"/>
          </w:cols>
          <w:pgMar w:left="1080" w:top="895" w:right="1099" w:bottom="1440" w:gutter="0" w:footer="0" w:header="0"/>
          <w:type w:val="continuous"/>
        </w:sectPr>
      </w:pPr>
    </w:p>
    <w:bookmarkStart w:id="113" w:name="page114"/>
    <w:bookmarkEnd w:id="113"/>
    <w:p>
      <w:pPr>
        <w:ind w:left="2460" w:right="200"/>
        <w:spacing w:after="0" w:line="239" w:lineRule="auto"/>
        <w:rPr>
          <w:sz w:val="20"/>
          <w:szCs w:val="20"/>
          <w:color w:val="auto"/>
        </w:rPr>
      </w:pPr>
      <w:r>
        <w:rPr>
          <w:rFonts w:ascii="Times New Roman" w:cs="Times New Roman" w:eastAsia="Times New Roman" w:hAnsi="Times New Roman"/>
          <w:sz w:val="22"/>
          <w:szCs w:val="22"/>
          <w:color w:val="auto"/>
        </w:rPr>
        <w:t>If this Agreement is assumed or replaced with a new comparable award, then the units (or such comparable award) would vest in full if within one year following the Change in Control your service for the Employer is terminated without Cause or is Constructively Terminated.</w:t>
      </w:r>
    </w:p>
    <w:p>
      <w:pPr>
        <w:spacing w:after="0" w:line="1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1"/>
          <w:szCs w:val="21"/>
          <w:color w:val="auto"/>
        </w:rPr>
        <w:t>For purposes of this Agreement, “Cause” shall mean</w:t>
      </w:r>
    </w:p>
    <w:p>
      <w:pPr>
        <w:spacing w:after="0" w:line="218" w:lineRule="exact"/>
        <w:rPr>
          <w:sz w:val="20"/>
          <w:szCs w:val="20"/>
          <w:color w:val="auto"/>
        </w:rPr>
      </w:pPr>
    </w:p>
    <w:p>
      <w:pPr>
        <w:ind w:left="2460" w:firstLine="643"/>
        <w:spacing w:after="0" w:line="244" w:lineRule="auto"/>
        <w:tabs>
          <w:tab w:leader="none" w:pos="3366"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where there is no employment agreement, consulting agreement, change in control agreement or similar agreement or plan in effect between Incyte and you on the date specified in the award notice (or where there is such an agreement or plan but it does not define “cause” (or words of like import)): (A) your continued failure to perform your duties with the Employer (other than any such failure resulting from incapacity due to physical or mental illness or total and permanent disability, which incapacity has been recognized as such by the Committee or its designee); (B) engagement in illegal conduct, gross misconduct or dishonesty that is injurious to the Employer or its affiliates; (C) unauthorized disclosure or misuse of any of the Employer’s secret, confidential or proprietary information, knowledge or data relating to the Employer or its affiliates; or (D) violation of any of the employee policies or procedures of the Employer; or</w:t>
      </w:r>
    </w:p>
    <w:p>
      <w:pPr>
        <w:spacing w:after="0" w:line="183" w:lineRule="exact"/>
        <w:rPr>
          <w:rFonts w:ascii="Times New Roman" w:cs="Times New Roman" w:eastAsia="Times New Roman" w:hAnsi="Times New Roman"/>
          <w:sz w:val="21"/>
          <w:szCs w:val="21"/>
          <w:color w:val="auto"/>
        </w:rPr>
      </w:pPr>
    </w:p>
    <w:p>
      <w:pPr>
        <w:ind w:left="2460" w:right="140" w:firstLine="643"/>
        <w:spacing w:after="0" w:line="255" w:lineRule="auto"/>
        <w:tabs>
          <w:tab w:leader="none" w:pos="3426"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where there is an employment agreement, consulting agreement, change in control agreement or similar agreement or plan in effect between Incyte and you on the date specified in the award notice that defines “cause” (or words of like import), as defined under such agreement or plan.</w:t>
      </w:r>
    </w:p>
    <w:p>
      <w:pPr>
        <w:spacing w:after="0" w:line="162"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For purposes of this Agreement, “Constructive Termination” shall mean</w:t>
      </w:r>
    </w:p>
    <w:p>
      <w:pPr>
        <w:spacing w:after="0" w:line="206" w:lineRule="exact"/>
        <w:rPr>
          <w:sz w:val="20"/>
          <w:szCs w:val="20"/>
          <w:color w:val="auto"/>
        </w:rPr>
      </w:pPr>
    </w:p>
    <w:p>
      <w:pPr>
        <w:ind w:left="2460" w:right="20" w:firstLine="643"/>
        <w:spacing w:after="0" w:line="245" w:lineRule="auto"/>
        <w:tabs>
          <w:tab w:leader="none" w:pos="3366"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where there is no employment agreement, consulting agreement, change in control agreement or similar agreement or plan in effect between Incyte and you on the date specified in the award notice (or where there is such an agreement or plan but it does not define “constructive termination” (or words of like import)): (A) the assignment to you of any duties fundamentally inconsistent with your position, authority, duties or responsibilities as in effect immediately prior to a Change in Control (or any other action by the Employer that results in a fundamental diminishment in such position, authority, duties or responsibilities as in effect immediately prior to a Change in Control), provided that neither a mere change in title alone nor reassignment to a position that is substantially similar to the position held prior to the Change in Control shall constitute fundamental diminishment; (B)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361315</wp:posOffset>
            </wp:positionV>
            <wp:extent cx="629221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320"/>
          </w:cols>
          <w:pgMar w:left="1440" w:top="895" w:right="1139" w:bottom="1440" w:gutter="0" w:footer="0" w:header="0"/>
        </w:sectPr>
      </w:pPr>
    </w:p>
    <w:bookmarkStart w:id="114" w:name="page115"/>
    <w:bookmarkEnd w:id="114"/>
    <w:p>
      <w:pPr>
        <w:ind w:left="2820" w:right="140"/>
        <w:spacing w:after="0" w:line="238" w:lineRule="auto"/>
        <w:rPr>
          <w:sz w:val="20"/>
          <w:szCs w:val="20"/>
          <w:color w:val="auto"/>
        </w:rPr>
      </w:pPr>
      <w:r>
        <w:rPr>
          <w:rFonts w:ascii="Times New Roman" w:cs="Times New Roman" w:eastAsia="Times New Roman" w:hAnsi="Times New Roman"/>
          <w:sz w:val="22"/>
          <w:szCs w:val="22"/>
          <w:color w:val="auto"/>
        </w:rPr>
        <w:t>Employer requiring you to be based at any office or location more than 50 miles from the office or location where you are based immediately prior to the Change in Control; or (C) any reduction in your annual base salary or target bonus opportunity (if any) from that which exists immediately prior to a Change in Control; or</w:t>
      </w:r>
    </w:p>
    <w:p>
      <w:pPr>
        <w:spacing w:after="0" w:line="177" w:lineRule="exact"/>
        <w:rPr>
          <w:sz w:val="20"/>
          <w:szCs w:val="20"/>
          <w:color w:val="auto"/>
        </w:rPr>
      </w:pPr>
    </w:p>
    <w:p>
      <w:pPr>
        <w:ind w:left="2820" w:right="180" w:firstLine="648"/>
        <w:spacing w:after="0" w:line="238" w:lineRule="auto"/>
        <w:rPr>
          <w:sz w:val="20"/>
          <w:szCs w:val="20"/>
          <w:color w:val="auto"/>
        </w:rPr>
      </w:pPr>
      <w:r>
        <w:rPr>
          <w:rFonts w:ascii="Times New Roman" w:cs="Times New Roman" w:eastAsia="Times New Roman" w:hAnsi="Times New Roman"/>
          <w:sz w:val="22"/>
          <w:szCs w:val="22"/>
          <w:color w:val="auto"/>
        </w:rPr>
        <w:t>(ii) in the case where there is an employment agreement, consulting agreement, change in control agreement or similar agreement or plan in effect between Incyte and you on the date specified in the award notice that defines “constructive termination” (or words of like import), as defined under such agreement or plan.</w:t>
      </w:r>
    </w:p>
    <w:p>
      <w:pPr>
        <w:sectPr>
          <w:pgSz w:w="11900" w:h="16838" w:orient="portrait"/>
          <w:cols w:equalWidth="0" w:num="1">
            <w:col w:w="9720"/>
          </w:cols>
          <w:pgMar w:left="1080" w:top="909" w:right="1099" w:bottom="1440" w:gutter="0" w:footer="0" w:header="0"/>
        </w:sectPr>
      </w:pP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Units Nontransferable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21"/>
          <w:szCs w:val="21"/>
          <w:color w:val="auto"/>
        </w:rPr>
        <w:t>You may not sell, transfer, assign, pledge or otherwise dispose of any of your units. For instance, you may not use your units as security for a loan. If you attempt to do any of these things, your units will immediately become invalid. You may, however, dispose of any vested but unsettled units in your will.</w:t>
      </w:r>
    </w:p>
    <w:p>
      <w:pPr>
        <w:spacing w:after="0" w:line="162" w:lineRule="exact"/>
        <w:rPr>
          <w:sz w:val="20"/>
          <w:szCs w:val="20"/>
          <w:color w:val="auto"/>
        </w:rPr>
      </w:pPr>
    </w:p>
    <w:p>
      <w:pPr>
        <w:sectPr>
          <w:pgSz w:w="11900" w:h="16838" w:orient="portrait"/>
          <w:cols w:equalWidth="0" w:num="2">
            <w:col w:w="2100" w:space="720"/>
            <w:col w:w="6900"/>
          </w:cols>
          <w:pgMar w:left="1080" w:top="909" w:right="1099" w:bottom="1440" w:gutter="0" w:footer="0" w:header="0"/>
          <w:type w:val="continuous"/>
        </w:sectPr>
      </w:pPr>
    </w:p>
    <w:p>
      <w:pPr>
        <w:ind w:left="2820" w:right="240"/>
        <w:spacing w:after="0" w:line="282" w:lineRule="auto"/>
        <w:rPr>
          <w:sz w:val="20"/>
          <w:szCs w:val="20"/>
          <w:color w:val="auto"/>
        </w:rPr>
      </w:pPr>
      <w:r>
        <w:rPr>
          <w:rFonts w:ascii="Times New Roman" w:cs="Times New Roman" w:eastAsia="Times New Roman" w:hAnsi="Times New Roman"/>
          <w:sz w:val="21"/>
          <w:szCs w:val="21"/>
          <w:color w:val="auto"/>
        </w:rPr>
        <w:t>Regardless of any marital property settlement agreement, Incyte is not obligated to recognize your former spouse’s interest in your units in any way.</w:t>
      </w:r>
    </w:p>
    <w:p>
      <w:pPr>
        <w:sectPr>
          <w:pgSz w:w="11900" w:h="16838" w:orient="portrait"/>
          <w:cols w:equalWidth="0" w:num="1">
            <w:col w:w="9720"/>
          </w:cols>
          <w:pgMar w:left="1080" w:top="909" w:right="1099" w:bottom="1440" w:gutter="0" w:footer="0" w:header="0"/>
          <w:type w:val="continuous"/>
        </w:sectPr>
      </w:pP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Beneficiary Designation</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You may designate a beneficiary in writing to receive your vested units in the event you die before settlement of the units. A beneficiary designation must be filed with Incyte on the proper form, and it will be recognized only if it has been received at Incyte’s headquarters before your death. If you file no beneficiary designation, if none of your designated beneficiaries survives you, or if your beneficiary designation is determined not to be valid (in Incyte’s sole and absolute discretion), then your estate will receive any vested units that you hold at the time of your death.</w:t>
      </w:r>
    </w:p>
    <w:p>
      <w:pPr>
        <w:spacing w:after="0" w:line="174" w:lineRule="exact"/>
        <w:rPr>
          <w:sz w:val="20"/>
          <w:szCs w:val="20"/>
          <w:color w:val="auto"/>
        </w:rPr>
      </w:pPr>
    </w:p>
    <w:p>
      <w:pPr>
        <w:sectPr>
          <w:pgSz w:w="11900" w:h="16838" w:orient="portrait"/>
          <w:cols w:equalWidth="0" w:num="2">
            <w:col w:w="2200" w:space="620"/>
            <w:col w:w="6900"/>
          </w:cols>
          <w:pgMar w:left="1080" w:top="909" w:right="109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b w:val="1"/>
          <w:bCs w:val="1"/>
          <w:color w:val="auto"/>
        </w:rPr>
        <w:t>Restrictions on Resale</w:t>
      </w:r>
    </w:p>
    <w:p>
      <w:pPr>
        <w:spacing w:after="0" w:line="20" w:lineRule="exact"/>
        <w:rPr>
          <w:sz w:val="20"/>
          <w:szCs w:val="20"/>
          <w:color w:val="auto"/>
        </w:rPr>
      </w:pPr>
      <w:r>
        <w:rPr>
          <w:sz w:val="20"/>
          <w:szCs w:val="20"/>
          <w:color w:val="auto"/>
        </w:rPr>
        <w:br w:type="column"/>
      </w:r>
    </w:p>
    <w:p>
      <w:pPr>
        <w:ind w:right="320"/>
        <w:spacing w:after="0" w:line="238" w:lineRule="auto"/>
        <w:rPr>
          <w:sz w:val="20"/>
          <w:szCs w:val="20"/>
          <w:color w:val="auto"/>
        </w:rPr>
      </w:pPr>
      <w:r>
        <w:rPr>
          <w:rFonts w:ascii="Times New Roman" w:cs="Times New Roman" w:eastAsia="Times New Roman" w:hAnsi="Times New Roman"/>
          <w:sz w:val="22"/>
          <w:szCs w:val="22"/>
          <w:color w:val="auto"/>
        </w:rPr>
        <w:t>By accepting the award notice, you agree not to sell any shares of Incyte common stock issued upon settlement of the units at a time when applicable laws or Incyte policies prohibit a sale. This restriction will apply as long as you are an employee, director, consultant or advisor of Incyte (or any subsidiary).</w:t>
      </w:r>
    </w:p>
    <w:p>
      <w:pPr>
        <w:spacing w:after="0" w:line="173" w:lineRule="exact"/>
        <w:rPr>
          <w:sz w:val="20"/>
          <w:szCs w:val="20"/>
          <w:color w:val="auto"/>
        </w:rPr>
      </w:pPr>
    </w:p>
    <w:p>
      <w:pPr>
        <w:sectPr>
          <w:pgSz w:w="11900" w:h="16838" w:orient="portrait"/>
          <w:cols w:equalWidth="0" w:num="2">
            <w:col w:w="2100" w:space="720"/>
            <w:col w:w="6900"/>
          </w:cols>
          <w:pgMar w:left="1080" w:top="909" w:right="109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b w:val="1"/>
          <w:bCs w:val="1"/>
          <w:color w:val="auto"/>
        </w:rPr>
        <w:t>Retention Rights</w:t>
      </w:r>
    </w:p>
    <w:p>
      <w:pPr>
        <w:spacing w:after="0" w:line="20" w:lineRule="exact"/>
        <w:rPr>
          <w:sz w:val="20"/>
          <w:szCs w:val="20"/>
          <w:color w:val="auto"/>
        </w:rPr>
      </w:pPr>
      <w:r>
        <w:rPr>
          <w:sz w:val="20"/>
          <w:szCs w:val="20"/>
          <w:color w:val="auto"/>
        </w:rPr>
        <w:br w:type="column"/>
      </w:r>
    </w:p>
    <w:p>
      <w:pPr>
        <w:spacing w:after="0" w:line="244" w:lineRule="auto"/>
        <w:rPr>
          <w:sz w:val="20"/>
          <w:szCs w:val="20"/>
          <w:color w:val="auto"/>
        </w:rPr>
      </w:pPr>
      <w:r>
        <w:rPr>
          <w:rFonts w:ascii="Times New Roman" w:cs="Times New Roman" w:eastAsia="Times New Roman" w:hAnsi="Times New Roman"/>
          <w:sz w:val="22"/>
          <w:szCs w:val="22"/>
          <w:color w:val="auto"/>
        </w:rPr>
        <w:t>Neither your award nor this Agreement gives you the right to be retained by Incyte (or any subsidiary) in any capacity. Incyte (and any subsidiaries) reserve the right to terminate your service at any time, with or without cause.</w:t>
      </w:r>
    </w:p>
    <w:p>
      <w:pPr>
        <w:spacing w:after="0" w:line="169" w:lineRule="exact"/>
        <w:rPr>
          <w:sz w:val="20"/>
          <w:szCs w:val="20"/>
          <w:color w:val="auto"/>
        </w:rPr>
      </w:pPr>
    </w:p>
    <w:p>
      <w:pPr>
        <w:sectPr>
          <w:pgSz w:w="11900" w:h="16838" w:orient="portrait"/>
          <w:cols w:equalWidth="0" w:num="2">
            <w:col w:w="2100" w:space="720"/>
            <w:col w:w="6900"/>
          </w:cols>
          <w:pgMar w:left="1080" w:top="909" w:right="109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b w:val="1"/>
          <w:bCs w:val="1"/>
          <w:color w:val="auto"/>
        </w:rPr>
        <w:t>Adjustments</w:t>
      </w:r>
    </w:p>
    <w:p>
      <w:pPr>
        <w:spacing w:after="0" w:line="20" w:lineRule="exact"/>
        <w:rPr>
          <w:sz w:val="20"/>
          <w:szCs w:val="20"/>
          <w:color w:val="auto"/>
        </w:rPr>
      </w:pPr>
      <w:r>
        <w:rPr>
          <w:sz w:val="20"/>
          <w:szCs w:val="20"/>
          <w:color w:val="auto"/>
        </w:rPr>
        <w:br w:type="column"/>
      </w:r>
    </w:p>
    <w:p>
      <w:pPr>
        <w:ind w:right="520"/>
        <w:spacing w:after="0" w:line="244" w:lineRule="auto"/>
        <w:rPr>
          <w:sz w:val="20"/>
          <w:szCs w:val="20"/>
          <w:color w:val="auto"/>
        </w:rPr>
      </w:pPr>
      <w:r>
        <w:rPr>
          <w:rFonts w:ascii="Times New Roman" w:cs="Times New Roman" w:eastAsia="Times New Roman" w:hAnsi="Times New Roman"/>
          <w:sz w:val="22"/>
          <w:szCs w:val="22"/>
          <w:color w:val="auto"/>
        </w:rPr>
        <w:t>In the event of a stock split, a stock dividend or a similar change in Incyte common stock, the number of your units covered by this award may be adjusted pursuant to the Plan.</w:t>
      </w:r>
    </w:p>
    <w:p>
      <w:pPr>
        <w:spacing w:after="0" w:line="200" w:lineRule="exact"/>
        <w:rPr>
          <w:sz w:val="20"/>
          <w:szCs w:val="20"/>
          <w:color w:val="auto"/>
        </w:rPr>
      </w:pPr>
    </w:p>
    <w:p>
      <w:pPr>
        <w:sectPr>
          <w:pgSz w:w="11900" w:h="16838" w:orient="portrait"/>
          <w:cols w:equalWidth="0" w:num="2">
            <w:col w:w="2100" w:space="720"/>
            <w:col w:w="6900"/>
          </w:cols>
          <w:pgMar w:left="1080" w:top="909"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361315</wp:posOffset>
            </wp:positionV>
            <wp:extent cx="629221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20"/>
          </w:cols>
          <w:pgMar w:left="1080" w:top="909" w:right="1099" w:bottom="1440" w:gutter="0" w:footer="0" w:header="0"/>
          <w:type w:val="continuous"/>
        </w:sectPr>
      </w:pPr>
    </w:p>
    <w:bookmarkStart w:id="115" w:name="page116"/>
    <w:bookmarkEnd w:id="115"/>
    <w:p>
      <w:pPr>
        <w:spacing w:after="0" w:line="286" w:lineRule="auto"/>
        <w:rPr>
          <w:sz w:val="20"/>
          <w:szCs w:val="20"/>
          <w:color w:val="auto"/>
        </w:rPr>
      </w:pPr>
      <w:r>
        <w:rPr>
          <w:rFonts w:ascii="Times New Roman" w:cs="Times New Roman" w:eastAsia="Times New Roman" w:hAnsi="Times New Roman"/>
          <w:sz w:val="21"/>
          <w:szCs w:val="21"/>
          <w:b w:val="1"/>
          <w:bCs w:val="1"/>
          <w:color w:val="auto"/>
        </w:rPr>
        <w:t>Recovery and Reimbursement of Gain</w:t>
      </w:r>
    </w:p>
    <w:p>
      <w:pPr>
        <w:spacing w:after="0" w:line="20" w:lineRule="exact"/>
        <w:rPr>
          <w:sz w:val="20"/>
          <w:szCs w:val="20"/>
          <w:color w:val="auto"/>
        </w:rPr>
      </w:pPr>
      <w:r>
        <w:rPr>
          <w:sz w:val="20"/>
          <w:szCs w:val="20"/>
          <w:color w:val="auto"/>
        </w:rPr>
        <w:br w:type="column"/>
      </w:r>
    </w:p>
    <w:p>
      <w:pPr>
        <w:ind w:right="40"/>
        <w:spacing w:after="0" w:line="238" w:lineRule="auto"/>
        <w:rPr>
          <w:sz w:val="20"/>
          <w:szCs w:val="20"/>
          <w:color w:val="auto"/>
        </w:rPr>
      </w:pPr>
      <w:r>
        <w:rPr>
          <w:rFonts w:ascii="Times New Roman" w:cs="Times New Roman" w:eastAsia="Times New Roman" w:hAnsi="Times New Roman"/>
          <w:sz w:val="22"/>
          <w:szCs w:val="22"/>
          <w:color w:val="auto"/>
        </w:rPr>
        <w:t>Incyte shall have the right to recover, or receive reimbursement for, any compensation or profit realized by the issuance or settlement of units under this Agreement, or by the disposition of any shares issued upon settlement of the units, to the extent Incyte has such a right of recovery or reimbursement under applicable securities laws.</w:t>
      </w:r>
    </w:p>
    <w:p>
      <w:pPr>
        <w:spacing w:after="0" w:line="173" w:lineRule="exact"/>
        <w:rPr>
          <w:sz w:val="20"/>
          <w:szCs w:val="20"/>
          <w:color w:val="auto"/>
        </w:rPr>
      </w:pPr>
    </w:p>
    <w:p>
      <w:pPr>
        <w:sectPr>
          <w:pgSz w:w="11900" w:h="16838" w:orient="portrait"/>
          <w:cols w:equalWidth="0" w:num="2">
            <w:col w:w="2220" w:space="600"/>
            <w:col w:w="6900"/>
          </w:cols>
          <w:pgMar w:left="1080" w:top="891" w:right="1099" w:bottom="1440" w:gutter="0" w:footer="0" w:header="0"/>
        </w:sectPr>
      </w:pPr>
    </w:p>
    <w:p>
      <w:pPr>
        <w:spacing w:after="0" w:line="286" w:lineRule="auto"/>
        <w:rPr>
          <w:sz w:val="20"/>
          <w:szCs w:val="20"/>
          <w:color w:val="auto"/>
        </w:rPr>
      </w:pPr>
      <w:r>
        <w:rPr>
          <w:rFonts w:ascii="Times New Roman" w:cs="Times New Roman" w:eastAsia="Times New Roman" w:hAnsi="Times New Roman"/>
          <w:sz w:val="21"/>
          <w:szCs w:val="21"/>
          <w:b w:val="1"/>
          <w:bCs w:val="1"/>
          <w:color w:val="auto"/>
        </w:rPr>
        <w:t>Compliance with Section 409A of the Code</w:t>
      </w:r>
    </w:p>
    <w:p>
      <w:pPr>
        <w:spacing w:after="0" w:line="20" w:lineRule="exact"/>
        <w:rPr>
          <w:sz w:val="20"/>
          <w:szCs w:val="20"/>
          <w:color w:val="auto"/>
        </w:rPr>
      </w:pPr>
      <w:r>
        <w:rPr>
          <w:sz w:val="20"/>
          <w:szCs w:val="20"/>
          <w:color w:val="auto"/>
        </w:rPr>
        <w:br w:type="column"/>
      </w:r>
    </w:p>
    <w:p>
      <w:pPr>
        <w:ind w:right="100"/>
        <w:spacing w:after="0" w:line="234" w:lineRule="auto"/>
        <w:rPr>
          <w:sz w:val="20"/>
          <w:szCs w:val="20"/>
          <w:color w:val="auto"/>
        </w:rPr>
      </w:pPr>
      <w:r>
        <w:rPr>
          <w:rFonts w:ascii="Times New Roman" w:cs="Times New Roman" w:eastAsia="Times New Roman" w:hAnsi="Times New Roman"/>
          <w:sz w:val="22"/>
          <w:szCs w:val="22"/>
          <w:color w:val="auto"/>
        </w:rPr>
        <w:t>Incyte intends that the vesting and settlement of the units awarded under this Agreement will qualify for an exemption from the application of, or will otherwise comply with, Section 409A of the U.S. Internal Revenue Code. Incyte reserves the right, to the extent it deems necessary or advisable, to amend this Agreement without your consent in order to maintain such qualification for exemption or compliance. By reserving this right, however, Incyte is not guarantying that Section 409A will never apply to the vesting and/or settlement of the units, or that the requirements of Section 409A will be complied with.</w:t>
      </w:r>
    </w:p>
    <w:p>
      <w:pPr>
        <w:spacing w:after="0" w:line="179" w:lineRule="exact"/>
        <w:rPr>
          <w:sz w:val="20"/>
          <w:szCs w:val="20"/>
          <w:color w:val="auto"/>
        </w:rPr>
      </w:pPr>
    </w:p>
    <w:p>
      <w:pPr>
        <w:sectPr>
          <w:pgSz w:w="11900" w:h="16838" w:orient="portrait"/>
          <w:cols w:equalWidth="0" w:num="2">
            <w:col w:w="2300" w:space="520"/>
            <w:col w:w="6900"/>
          </w:cols>
          <w:pgMar w:left="1080" w:top="891" w:right="1099" w:bottom="1440" w:gutter="0" w:footer="0" w:header="0"/>
          <w:type w:val="continuous"/>
        </w:sectPr>
      </w:pPr>
    </w:p>
    <w:p>
      <w:pPr>
        <w:ind w:right="200"/>
        <w:spacing w:after="0" w:line="262" w:lineRule="auto"/>
        <w:rPr>
          <w:sz w:val="20"/>
          <w:szCs w:val="20"/>
          <w:color w:val="auto"/>
        </w:rPr>
      </w:pPr>
      <w:r>
        <w:rPr>
          <w:rFonts w:ascii="Times New Roman" w:cs="Times New Roman" w:eastAsia="Times New Roman" w:hAnsi="Times New Roman"/>
          <w:sz w:val="22"/>
          <w:szCs w:val="22"/>
          <w:b w:val="1"/>
          <w:bCs w:val="1"/>
          <w:color w:val="auto"/>
        </w:rPr>
        <w:t>Jurisdiction-Specific Provisions</w:t>
      </w:r>
    </w:p>
    <w:p>
      <w:pPr>
        <w:spacing w:after="0" w:line="20" w:lineRule="exact"/>
        <w:rPr>
          <w:sz w:val="20"/>
          <w:szCs w:val="20"/>
          <w:color w:val="auto"/>
        </w:rPr>
      </w:pPr>
      <w:r>
        <w:rPr>
          <w:sz w:val="20"/>
          <w:szCs w:val="20"/>
          <w:color w:val="auto"/>
        </w:rPr>
        <w:br w:type="column"/>
      </w:r>
    </w:p>
    <w:p>
      <w:pPr>
        <w:jc w:val="both"/>
        <w:ind w:right="100"/>
        <w:spacing w:after="0" w:line="244" w:lineRule="auto"/>
        <w:rPr>
          <w:sz w:val="20"/>
          <w:szCs w:val="20"/>
          <w:color w:val="auto"/>
        </w:rPr>
      </w:pPr>
      <w:r>
        <w:rPr>
          <w:rFonts w:ascii="Times New Roman" w:cs="Times New Roman" w:eastAsia="Times New Roman" w:hAnsi="Times New Roman"/>
          <w:sz w:val="22"/>
          <w:szCs w:val="22"/>
          <w:color w:val="auto"/>
        </w:rPr>
        <w:t>Additional or different terms and conditions and/or information with respect to this award may be included in an appendix to this Agreement. The appendices constitute part of this Agreement.</w:t>
      </w:r>
    </w:p>
    <w:p>
      <w:pPr>
        <w:spacing w:after="0" w:line="173" w:lineRule="exact"/>
        <w:rPr>
          <w:sz w:val="20"/>
          <w:szCs w:val="20"/>
          <w:color w:val="auto"/>
        </w:rPr>
      </w:pPr>
    </w:p>
    <w:p>
      <w:pPr>
        <w:sectPr>
          <w:pgSz w:w="11900" w:h="16838" w:orient="portrait"/>
          <w:cols w:equalWidth="0" w:num="2">
            <w:col w:w="2100" w:space="720"/>
            <w:col w:w="6900"/>
          </w:cols>
          <w:pgMar w:left="1080" w:top="891" w:right="1099" w:bottom="1440" w:gutter="0" w:footer="0" w:header="0"/>
          <w:type w:val="continuous"/>
        </w:sectPr>
      </w:pPr>
    </w:p>
    <w:p>
      <w:pPr>
        <w:ind w:left="2820"/>
        <w:spacing w:after="0" w:line="246" w:lineRule="auto"/>
        <w:rPr>
          <w:sz w:val="20"/>
          <w:szCs w:val="20"/>
          <w:color w:val="auto"/>
        </w:rPr>
      </w:pPr>
      <w:r>
        <w:rPr>
          <w:rFonts w:ascii="Times New Roman" w:cs="Times New Roman" w:eastAsia="Times New Roman" w:hAnsi="Times New Roman"/>
          <w:sz w:val="21"/>
          <w:szCs w:val="21"/>
          <w:color w:val="auto"/>
        </w:rPr>
        <w:t>This award is subject to any terms and conditions for your jurisdiction set forth in Appendix A to this Agreement (“Appendix A”). If you transfer residence and/or employment to a country reflected in Appendix A, the terms and conditions for such country will apply to you to the extent Incyte determines, in its sole discretion, that the application of such terms and conditions is necessary or advisable for legal or administrative reasons. In addition, Incyte may impose other requirements on this award and require you to sign additional agreements or undertakings that Incyte determines may be necessary or advisable for legal or administrative reasons to accomplish the grant of this award or the issuance of the securities issuable upon settlement of this award.</w:t>
      </w:r>
    </w:p>
    <w:p>
      <w:pPr>
        <w:spacing w:after="0" w:line="171" w:lineRule="exact"/>
        <w:rPr>
          <w:sz w:val="20"/>
          <w:szCs w:val="20"/>
          <w:color w:val="auto"/>
        </w:rPr>
      </w:pPr>
    </w:p>
    <w:p>
      <w:pPr>
        <w:ind w:left="2820" w:right="280"/>
        <w:spacing w:after="0" w:line="258" w:lineRule="auto"/>
        <w:rPr>
          <w:sz w:val="20"/>
          <w:szCs w:val="20"/>
          <w:color w:val="auto"/>
        </w:rPr>
      </w:pPr>
      <w:r>
        <w:rPr>
          <w:rFonts w:ascii="Times New Roman" w:cs="Times New Roman" w:eastAsia="Times New Roman" w:hAnsi="Times New Roman"/>
          <w:sz w:val="22"/>
          <w:szCs w:val="22"/>
          <w:color w:val="auto"/>
        </w:rPr>
        <w:t>Information regarding the use of personal data in connection with the Plan is set forth in Appendix B to this Agreement (“Appendix B”).</w:t>
      </w:r>
    </w:p>
    <w:p>
      <w:pPr>
        <w:sectPr>
          <w:pgSz w:w="11900" w:h="16838" w:orient="portrait"/>
          <w:cols w:equalWidth="0" w:num="1">
            <w:col w:w="9720"/>
          </w:cols>
          <w:pgMar w:left="1080" w:top="891" w:right="109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Applicable Law</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This Agreement will be interpreted and enforced under the laws of the State of Delaware (without regard to its choice of law provisions).</w:t>
      </w:r>
    </w:p>
    <w:p>
      <w:pPr>
        <w:spacing w:after="0" w:line="154" w:lineRule="exact"/>
        <w:rPr>
          <w:sz w:val="20"/>
          <w:szCs w:val="20"/>
          <w:color w:val="auto"/>
        </w:rPr>
      </w:pPr>
    </w:p>
    <w:p>
      <w:pPr>
        <w:sectPr>
          <w:pgSz w:w="11900" w:h="16838" w:orient="portrait"/>
          <w:cols w:equalWidth="0" w:num="2">
            <w:col w:w="2100" w:space="720"/>
            <w:col w:w="6900"/>
          </w:cols>
          <w:pgMar w:left="1080" w:top="891" w:right="109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b w:val="1"/>
          <w:bCs w:val="1"/>
          <w:color w:val="auto"/>
        </w:rPr>
        <w:t>Venue</w:t>
      </w:r>
    </w:p>
    <w:p>
      <w:pPr>
        <w:spacing w:after="0" w:line="20" w:lineRule="exact"/>
        <w:rPr>
          <w:sz w:val="20"/>
          <w:szCs w:val="20"/>
          <w:color w:val="auto"/>
        </w:rPr>
      </w:pPr>
      <w:r>
        <w:rPr>
          <w:sz w:val="20"/>
          <w:szCs w:val="20"/>
          <w:color w:val="auto"/>
        </w:rPr>
        <w:br w:type="column"/>
      </w:r>
    </w:p>
    <w:p>
      <w:pPr>
        <w:ind w:right="100"/>
        <w:spacing w:after="0" w:line="238" w:lineRule="auto"/>
        <w:rPr>
          <w:sz w:val="20"/>
          <w:szCs w:val="20"/>
          <w:color w:val="auto"/>
        </w:rPr>
      </w:pPr>
      <w:r>
        <w:rPr>
          <w:rFonts w:ascii="Times New Roman" w:cs="Times New Roman" w:eastAsia="Times New Roman" w:hAnsi="Times New Roman"/>
          <w:sz w:val="22"/>
          <w:szCs w:val="22"/>
          <w:color w:val="auto"/>
        </w:rPr>
        <w:t>Any and all disputes relating to, concerning or arising from this Agreement, or relating to, concerning or arising from the relationship between you and Incyte evidenced by this award or this Agreement, shall be brought and heard exclusively in the United States District Court for the District of Delaware or the Delaware</w:t>
      </w:r>
    </w:p>
    <w:p>
      <w:pPr>
        <w:spacing w:after="0" w:line="200" w:lineRule="exact"/>
        <w:rPr>
          <w:sz w:val="20"/>
          <w:szCs w:val="20"/>
          <w:color w:val="auto"/>
        </w:rPr>
      </w:pPr>
    </w:p>
    <w:p>
      <w:pPr>
        <w:sectPr>
          <w:pgSz w:w="11900" w:h="16838" w:orient="portrait"/>
          <w:cols w:equalWidth="0" w:num="2">
            <w:col w:w="2100" w:space="720"/>
            <w:col w:w="6900"/>
          </w:cols>
          <w:pgMar w:left="1080" w:top="891"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361315</wp:posOffset>
            </wp:positionV>
            <wp:extent cx="629221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20"/>
          </w:cols>
          <w:pgMar w:left="1080" w:top="891" w:right="1099" w:bottom="1440" w:gutter="0" w:footer="0" w:header="0"/>
          <w:type w:val="continuous"/>
        </w:sectPr>
      </w:pPr>
    </w:p>
    <w:bookmarkStart w:id="116" w:name="page117"/>
    <w:bookmarkEnd w:id="116"/>
    <w:p>
      <w:pPr>
        <w:ind w:left="2820" w:right="40"/>
        <w:spacing w:after="0" w:line="247" w:lineRule="auto"/>
        <w:rPr>
          <w:sz w:val="20"/>
          <w:szCs w:val="20"/>
          <w:color w:val="auto"/>
        </w:rPr>
      </w:pPr>
      <w:r>
        <w:rPr>
          <w:rFonts w:ascii="Times New Roman" w:cs="Times New Roman" w:eastAsia="Times New Roman" w:hAnsi="Times New Roman"/>
          <w:sz w:val="21"/>
          <w:szCs w:val="21"/>
          <w:color w:val="auto"/>
        </w:rPr>
        <w:t>Superior Court, New Castle County. You hereby represent and agree that you are subject to the personal jurisdiction of said courts, irrevocably consent to the jurisdiction of such courts in any legal or equitable proceedings related to, concerning or arising from such dispute, and waive, to the fullest extent permitted by law, any objection which you may now or hereafter have that the laying of the venue of any legal or equitable proceedings related to, concerning or arising from such dispute which is brought in such courts is improper or that such proceedings have been brought in an inconvenient forum.</w:t>
      </w:r>
    </w:p>
    <w:p>
      <w:pPr>
        <w:sectPr>
          <w:pgSz w:w="11900" w:h="16838" w:orient="portrait"/>
          <w:cols w:equalWidth="0" w:num="1">
            <w:col w:w="9720"/>
          </w:cols>
          <w:pgMar w:left="1080" w:top="909" w:right="1099" w:bottom="1440" w:gutter="0" w:footer="0" w:header="0"/>
        </w:sectPr>
      </w:pPr>
    </w:p>
    <w:p>
      <w:pPr>
        <w:spacing w:after="0" w:line="168"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The Plan and Other Agreements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The text of the Incyte Corporation Amended and Restated 2010 Stock Incentive Plan (the “Plan”) is incorporated in this Agreement by reference. All capitalized terms not defined in this Agreement are subject to definition under the Plan. If there is any discrepancy between the terms and conditions of this Agreement and the terms and conditions of the Plan, the terms and conditions of the Plan shall control.</w:t>
      </w:r>
    </w:p>
    <w:p>
      <w:pPr>
        <w:spacing w:after="0" w:line="181" w:lineRule="exact"/>
        <w:rPr>
          <w:sz w:val="20"/>
          <w:szCs w:val="20"/>
          <w:color w:val="auto"/>
        </w:rPr>
      </w:pPr>
    </w:p>
    <w:p>
      <w:pPr>
        <w:sectPr>
          <w:pgSz w:w="11900" w:h="16838" w:orient="portrait"/>
          <w:cols w:equalWidth="0" w:num="2">
            <w:col w:w="2100" w:space="720"/>
            <w:col w:w="6900"/>
          </w:cols>
          <w:pgMar w:left="1080" w:top="909" w:right="1099" w:bottom="1440" w:gutter="0" w:footer="0" w:header="0"/>
          <w:type w:val="continuous"/>
        </w:sectPr>
      </w:pPr>
    </w:p>
    <w:p>
      <w:pPr>
        <w:ind w:left="2820" w:right="100"/>
        <w:spacing w:after="0" w:line="235" w:lineRule="auto"/>
        <w:rPr>
          <w:sz w:val="20"/>
          <w:szCs w:val="20"/>
          <w:color w:val="auto"/>
        </w:rPr>
      </w:pPr>
      <w:r>
        <w:rPr>
          <w:rFonts w:ascii="Times New Roman" w:cs="Times New Roman" w:eastAsia="Times New Roman" w:hAnsi="Times New Roman"/>
          <w:sz w:val="22"/>
          <w:szCs w:val="22"/>
          <w:color w:val="auto"/>
        </w:rPr>
        <w:t>This Agreement, the award notice and the Plan constitute the entire understanding between you and Incyte regarding this award. Any prior agreements, commitments or negotiations concerning this award are superseded. This Agreement may be amended by the Committee without your consent; however, if any such amendment would materially impair your rights or obligations under the Agreement, this Agreement may be amended only by another written agreement (which may be electronic) entered into between you and Incyte.</w:t>
      </w:r>
    </w:p>
    <w:p>
      <w:pPr>
        <w:sectPr>
          <w:pgSz w:w="11900" w:h="16838" w:orient="portrait"/>
          <w:cols w:equalWidth="0" w:num="1">
            <w:col w:w="9720"/>
          </w:cols>
          <w:pgMar w:left="1080" w:top="909" w:right="1099" w:bottom="1440" w:gutter="0" w:footer="0" w:header="0"/>
          <w:type w:val="continuous"/>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By accepting the award notice, you agree to all of the terms and conditions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described in the Agreement (including any appendix) and in the Plan.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361315</wp:posOffset>
            </wp:positionV>
            <wp:extent cx="629221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20"/>
          </w:cols>
          <w:pgMar w:left="1080" w:top="909" w:right="1099" w:bottom="1440" w:gutter="0" w:footer="0" w:header="0"/>
          <w:type w:val="continuous"/>
        </w:sectPr>
      </w:pPr>
    </w:p>
    <w:bookmarkStart w:id="117" w:name="page118"/>
    <w:bookmarkEnd w:id="117"/>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INCYTE CORPORATION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2010 STOCK INCENTIVE PLAN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PERFORMANCE SHARE AWARD</w:t>
      </w:r>
    </w:p>
    <w:p>
      <w:pPr>
        <w:spacing w:after="0" w:line="210" w:lineRule="exact"/>
        <w:rPr>
          <w:sz w:val="20"/>
          <w:szCs w:val="20"/>
          <w:color w:val="auto"/>
        </w:rPr>
      </w:pPr>
    </w:p>
    <w:p>
      <w:pPr>
        <w:ind w:right="200" w:firstLine="648"/>
        <w:spacing w:after="0" w:line="244" w:lineRule="auto"/>
        <w:rPr>
          <w:sz w:val="20"/>
          <w:szCs w:val="20"/>
          <w:color w:val="auto"/>
        </w:rPr>
      </w:pPr>
      <w:r>
        <w:rPr>
          <w:rFonts w:ascii="Times New Roman" w:cs="Times New Roman" w:eastAsia="Times New Roman" w:hAnsi="Times New Roman"/>
          <w:sz w:val="22"/>
          <w:szCs w:val="22"/>
          <w:color w:val="auto"/>
        </w:rPr>
        <w:t>You have been granted the following award of Performance Shares, representing the right to receive on a future date shares of common stock of INCYTE CORPORATION (“Incyte”) under the Incyte Corporation Amended and Restated 2010 Stock Incentive Plan, as amended (the “Plan”):</w:t>
      </w:r>
    </w:p>
    <w:p>
      <w:pPr>
        <w:sectPr>
          <w:pgSz w:w="11900" w:h="16838" w:orient="portrait"/>
          <w:cols w:equalWidth="0" w:num="1">
            <w:col w:w="9920"/>
          </w:cols>
          <w:pgMar w:left="980" w:top="351" w:right="999" w:bottom="1440" w:gutter="0" w:footer="0" w:header="0"/>
        </w:sectPr>
      </w:pP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Date of Grant: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of Grant]</w:t>
      </w:r>
    </w:p>
    <w:p>
      <w:pPr>
        <w:spacing w:after="0" w:line="200" w:lineRule="exact"/>
        <w:rPr>
          <w:sz w:val="20"/>
          <w:szCs w:val="20"/>
          <w:color w:val="auto"/>
        </w:rPr>
      </w:pPr>
    </w:p>
    <w:p>
      <w:pPr>
        <w:sectPr>
          <w:pgSz w:w="11900" w:h="16838" w:orient="portrait"/>
          <w:cols w:equalWidth="0" w:num="2">
            <w:col w:w="1300" w:space="540"/>
            <w:col w:w="8080"/>
          </w:cols>
          <w:pgMar w:left="980" w:top="351" w:right="99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Name of Recipient:</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of Recipient]</w:t>
      </w:r>
    </w:p>
    <w:p>
      <w:pPr>
        <w:spacing w:after="0" w:line="200" w:lineRule="exact"/>
        <w:rPr>
          <w:sz w:val="20"/>
          <w:szCs w:val="20"/>
          <w:color w:val="auto"/>
        </w:rPr>
      </w:pPr>
    </w:p>
    <w:p>
      <w:pPr>
        <w:sectPr>
          <w:pgSz w:w="11900" w:h="16838" w:orient="portrait"/>
          <w:cols w:equalWidth="0" w:num="2">
            <w:col w:w="1680" w:space="160"/>
            <w:col w:w="8080"/>
          </w:cols>
          <w:pgMar w:left="980" w:top="351" w:right="99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Target Grant of</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Performance Shares:</w:t>
      </w:r>
      <w:r>
        <w:rPr>
          <w:rFonts w:ascii="Times New Roman" w:cs="Times New Roman" w:eastAsia="Times New Roman" w:hAnsi="Times New Roman"/>
          <w:sz w:val="22"/>
          <w:szCs w:val="22"/>
          <w:color w:val="auto"/>
        </w:rPr>
        <w:t>[___________]</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Performance</w:t>
      </w:r>
    </w:p>
    <w:p>
      <w:pPr>
        <w:spacing w:after="0" w:line="18"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22"/>
          <w:szCs w:val="22"/>
          <w:i w:val="1"/>
          <w:iCs w:val="1"/>
          <w:color w:val="auto"/>
        </w:rPr>
        <w:t>Period:</w:t>
      </w:r>
      <w:r>
        <w:rPr>
          <w:sz w:val="20"/>
          <w:szCs w:val="20"/>
          <w:color w:val="auto"/>
        </w:rPr>
        <w:tab/>
      </w:r>
      <w:r>
        <w:rPr>
          <w:rFonts w:ascii="Times New Roman" w:cs="Times New Roman" w:eastAsia="Times New Roman" w:hAnsi="Times New Roman"/>
          <w:sz w:val="22"/>
          <w:szCs w:val="22"/>
          <w:color w:val="auto"/>
        </w:rPr>
        <w:t>[___________]</w:t>
      </w:r>
    </w:p>
    <w:p>
      <w:pPr>
        <w:spacing w:after="0" w:line="205" w:lineRule="exact"/>
        <w:rPr>
          <w:sz w:val="20"/>
          <w:szCs w:val="20"/>
          <w:color w:val="auto"/>
        </w:rPr>
      </w:pPr>
    </w:p>
    <w:p>
      <w:pPr>
        <w:ind w:left="1840" w:right="80" w:hanging="1835"/>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Performance Goals: </w:t>
      </w:r>
      <w:r>
        <w:rPr>
          <w:rFonts w:ascii="Times New Roman" w:cs="Times New Roman" w:eastAsia="Times New Roman" w:hAnsi="Times New Roman"/>
          <w:sz w:val="22"/>
          <w:szCs w:val="22"/>
          <w:color w:val="auto"/>
        </w:rPr>
        <w:t>Your Performance Shares may be converted into actual shares of Incyte common stock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soon as practicable after each vesting date described in the Vesting Schedule below, depending on the level of Incyte’s or your achievement of the performance goal(s) described in </w:t>
      </w:r>
      <w:r>
        <w:rPr>
          <w:rFonts w:ascii="Times New Roman" w:cs="Times New Roman" w:eastAsia="Times New Roman" w:hAnsi="Times New Roman"/>
          <w:sz w:val="22"/>
          <w:szCs w:val="22"/>
          <w:u w:val="single" w:color="auto"/>
          <w:color w:val="auto"/>
        </w:rPr>
        <w:t>Exhibit 1</w:t>
      </w:r>
      <w:r>
        <w:rPr>
          <w:rFonts w:ascii="Times New Roman" w:cs="Times New Roman" w:eastAsia="Times New Roman" w:hAnsi="Times New Roman"/>
          <w:sz w:val="22"/>
          <w:szCs w:val="22"/>
          <w:color w:val="auto"/>
        </w:rPr>
        <w:t xml:space="preserve"> during the Performance Period and your continued service through the vesting date. No actual shares will be issued unless Incyte or you achieve the performance goal(s) at the level(s) described in </w:t>
      </w:r>
      <w:r>
        <w:rPr>
          <w:rFonts w:ascii="Times New Roman" w:cs="Times New Roman" w:eastAsia="Times New Roman" w:hAnsi="Times New Roman"/>
          <w:sz w:val="22"/>
          <w:szCs w:val="22"/>
          <w:u w:val="single" w:color="auto"/>
          <w:color w:val="auto"/>
        </w:rPr>
        <w:t>Exhibit 1</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22"/>
          <w:szCs w:val="22"/>
          <w:i w:val="1"/>
          <w:iCs w:val="1"/>
          <w:color w:val="auto"/>
        </w:rPr>
        <w:t>Vesting Schedule:</w:t>
      </w:r>
      <w:r>
        <w:rPr>
          <w:sz w:val="20"/>
          <w:szCs w:val="20"/>
          <w:color w:val="auto"/>
        </w:rPr>
        <w:tab/>
      </w:r>
      <w:r>
        <w:rPr>
          <w:rFonts w:ascii="Times New Roman" w:cs="Times New Roman" w:eastAsia="Times New Roman" w:hAnsi="Times New Roman"/>
          <w:sz w:val="21"/>
          <w:szCs w:val="21"/>
          <w:color w:val="auto"/>
        </w:rPr>
        <w:t xml:space="preserve">Set forth in </w:t>
      </w:r>
      <w:r>
        <w:rPr>
          <w:rFonts w:ascii="Times New Roman" w:cs="Times New Roman" w:eastAsia="Times New Roman" w:hAnsi="Times New Roman"/>
          <w:sz w:val="21"/>
          <w:szCs w:val="21"/>
          <w:u w:val="single" w:color="auto"/>
          <w:color w:val="auto"/>
        </w:rPr>
        <w:t>Exhibit 1</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260"/>
        <w:spacing w:after="0" w:line="241" w:lineRule="auto"/>
        <w:rPr>
          <w:sz w:val="20"/>
          <w:szCs w:val="20"/>
          <w:color w:val="auto"/>
        </w:rPr>
      </w:pPr>
      <w:r>
        <w:rPr>
          <w:rFonts w:ascii="Times New Roman" w:cs="Times New Roman" w:eastAsia="Times New Roman" w:hAnsi="Times New Roman"/>
          <w:sz w:val="22"/>
          <w:szCs w:val="22"/>
          <w:b w:val="1"/>
          <w:bCs w:val="1"/>
          <w:color w:val="auto"/>
        </w:rPr>
        <w:t>You and Incyte agree that this award of Performance Shares is granted under and governed by the terms and conditions of the Plan and the Performance Share Award Agreement (the “Agreement”), including Exhibit 1 thereto, that can be reviewed by clicking on the link provided above. By accepting this Notice, you are agreeing to all of those terms and conditions.</w:t>
      </w:r>
    </w:p>
    <w:p>
      <w:pPr>
        <w:spacing w:after="0" w:line="172"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22"/>
          <w:szCs w:val="22"/>
          <w:b w:val="1"/>
          <w:bCs w:val="1"/>
          <w:color w:val="auto"/>
        </w:rPr>
        <w:t>You and Incyte agree that Incyte has the right to amend this Agreement at any time without your consent if Incyte determines that such amendment is necessary to comply with the terms of the Plan, including an amendment to provide for settlement in cash if settlement in shares would be precluded by the share limitations of Section 5 of the Plan.</w:t>
      </w:r>
    </w:p>
    <w:p>
      <w:pPr>
        <w:spacing w:after="0" w:line="172" w:lineRule="exact"/>
        <w:rPr>
          <w:sz w:val="20"/>
          <w:szCs w:val="20"/>
          <w:color w:val="auto"/>
        </w:rPr>
      </w:pPr>
    </w:p>
    <w:p>
      <w:pPr>
        <w:jc w:val="both"/>
        <w:ind w:right="160"/>
        <w:spacing w:after="0" w:line="241" w:lineRule="auto"/>
        <w:rPr>
          <w:sz w:val="20"/>
          <w:szCs w:val="20"/>
          <w:color w:val="auto"/>
        </w:rPr>
      </w:pPr>
      <w:r>
        <w:rPr>
          <w:rFonts w:ascii="Times New Roman" w:cs="Times New Roman" w:eastAsia="Times New Roman" w:hAnsi="Times New Roman"/>
          <w:sz w:val="22"/>
          <w:szCs w:val="22"/>
          <w:b w:val="1"/>
          <w:bCs w:val="1"/>
          <w:color w:val="auto"/>
        </w:rPr>
        <w:t>By accepting this Notice, you further agree that Incyte may deliver by e-mail all documents related to the Plan or this award. You also agree that Incyte may deliver these documents by posting them on a website maintained by Incyte or by a third party under contract with Incyte. If Incyte posts these documents on a website, it will notify you by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780415</wp:posOffset>
            </wp:positionV>
            <wp:extent cx="629221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1" w:right="999" w:bottom="1440" w:gutter="0" w:footer="0" w:header="0"/>
          <w:type w:val="continuous"/>
        </w:sectPr>
      </w:pPr>
    </w:p>
    <w:bookmarkStart w:id="118" w:name="page119"/>
    <w:bookmarkEnd w:id="118"/>
    <w:tbl>
      <w:tblPr>
        <w:tblLayout w:type="fixed"/>
        <w:tblInd w:w="0" w:type="dxa"/>
        <w:tblCellMar>
          <w:top w:w="0" w:type="dxa"/>
          <w:left w:w="0" w:type="dxa"/>
          <w:bottom w:w="0" w:type="dxa"/>
          <w:right w:w="0" w:type="dxa"/>
        </w:tblCellMar>
      </w:tblPr>
      <w:tr>
        <w:trPr>
          <w:trHeight w:val="253"/>
        </w:trPr>
        <w:tc>
          <w:tcPr>
            <w:tcW w:w="2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0" w:type="dxa"/>
            <w:vAlign w:val="bottom"/>
            <w:gridSpan w:val="8"/>
          </w:tcPr>
          <w:p>
            <w:pPr>
              <w:jc w:val="center"/>
              <w:ind w:right="2920"/>
              <w:spacing w:after="0"/>
              <w:rPr>
                <w:sz w:val="20"/>
                <w:szCs w:val="20"/>
                <w:color w:val="auto"/>
              </w:rPr>
            </w:pPr>
            <w:r>
              <w:rPr>
                <w:rFonts w:ascii="Times New Roman" w:cs="Times New Roman" w:eastAsia="Times New Roman" w:hAnsi="Times New Roman"/>
                <w:sz w:val="22"/>
                <w:szCs w:val="22"/>
                <w:b w:val="1"/>
                <w:bCs w:val="1"/>
                <w:color w:val="auto"/>
                <w:w w:val="97"/>
              </w:rPr>
              <w:t>INCYTE CORPORATION</w:t>
            </w:r>
          </w:p>
        </w:tc>
        <w:tc>
          <w:tcPr>
            <w:tcW w:w="0" w:type="dxa"/>
            <w:vAlign w:val="bottom"/>
          </w:tcPr>
          <w:p>
            <w:pPr>
              <w:spacing w:after="0"/>
              <w:rPr>
                <w:sz w:val="1"/>
                <w:szCs w:val="1"/>
                <w:color w:val="auto"/>
              </w:rPr>
            </w:pPr>
          </w:p>
        </w:tc>
      </w:tr>
      <w:tr>
        <w:trPr>
          <w:trHeight w:val="243"/>
        </w:trPr>
        <w:tc>
          <w:tcPr>
            <w:tcW w:w="9720" w:type="dxa"/>
            <w:vAlign w:val="bottom"/>
            <w:gridSpan w:val="11"/>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AMENDED AND RESTATED 2010 STOCK INCENTIVE PLAN</w:t>
            </w:r>
          </w:p>
        </w:tc>
        <w:tc>
          <w:tcPr>
            <w:tcW w:w="0" w:type="dxa"/>
            <w:vAlign w:val="bottom"/>
          </w:tcPr>
          <w:p>
            <w:pPr>
              <w:spacing w:after="0"/>
              <w:rPr>
                <w:sz w:val="1"/>
                <w:szCs w:val="1"/>
                <w:color w:val="auto"/>
              </w:rPr>
            </w:pPr>
          </w:p>
        </w:tc>
      </w:tr>
      <w:tr>
        <w:trPr>
          <w:trHeight w:val="286"/>
        </w:trPr>
        <w:tc>
          <w:tcPr>
            <w:tcW w:w="2160" w:type="dxa"/>
            <w:vAlign w:val="bottom"/>
          </w:tcPr>
          <w:p>
            <w:pPr>
              <w:spacing w:after="0"/>
              <w:rPr>
                <w:sz w:val="24"/>
                <w:szCs w:val="24"/>
                <w:color w:val="auto"/>
              </w:rPr>
            </w:pPr>
          </w:p>
        </w:tc>
        <w:tc>
          <w:tcPr>
            <w:tcW w:w="7560" w:type="dxa"/>
            <w:vAlign w:val="bottom"/>
            <w:gridSpan w:val="10"/>
          </w:tcPr>
          <w:p>
            <w:pPr>
              <w:jc w:val="center"/>
              <w:ind w:right="2140"/>
              <w:spacing w:after="0"/>
              <w:rPr>
                <w:sz w:val="20"/>
                <w:szCs w:val="20"/>
                <w:color w:val="auto"/>
              </w:rPr>
            </w:pPr>
            <w:r>
              <w:rPr>
                <w:rFonts w:ascii="Times New Roman" w:cs="Times New Roman" w:eastAsia="Times New Roman" w:hAnsi="Times New Roman"/>
                <w:sz w:val="22"/>
                <w:szCs w:val="22"/>
                <w:b w:val="1"/>
                <w:bCs w:val="1"/>
                <w:color w:val="auto"/>
                <w:w w:val="97"/>
              </w:rPr>
              <w:t>PERFORMANCE SHARE AWARD AGREEMENT</w:t>
            </w:r>
          </w:p>
        </w:tc>
        <w:tc>
          <w:tcPr>
            <w:tcW w:w="0" w:type="dxa"/>
            <w:vAlign w:val="bottom"/>
          </w:tcPr>
          <w:p>
            <w:pPr>
              <w:spacing w:after="0"/>
              <w:rPr>
                <w:sz w:val="1"/>
                <w:szCs w:val="1"/>
                <w:color w:val="auto"/>
              </w:rPr>
            </w:pPr>
          </w:p>
        </w:tc>
      </w:tr>
      <w:tr>
        <w:trPr>
          <w:trHeight w:val="447"/>
        </w:trPr>
        <w:tc>
          <w:tcPr>
            <w:tcW w:w="21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660" w:type="dxa"/>
            <w:vAlign w:val="bottom"/>
          </w:tcPr>
          <w:p>
            <w:pPr>
              <w:spacing w:after="0"/>
              <w:rPr>
                <w:sz w:val="24"/>
                <w:szCs w:val="24"/>
                <w:color w:val="auto"/>
              </w:rPr>
            </w:pPr>
          </w:p>
        </w:tc>
        <w:tc>
          <w:tcPr>
            <w:tcW w:w="690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No cash payment is required upon receipt of this award, or for the issuance of</w:t>
            </w: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900" w:type="dxa"/>
            <w:vAlign w:val="bottom"/>
            <w:gridSpan w:val="9"/>
          </w:tcPr>
          <w:p>
            <w:pPr>
              <w:spacing w:after="0" w:line="243" w:lineRule="exact"/>
              <w:rPr>
                <w:sz w:val="20"/>
                <w:szCs w:val="20"/>
                <w:color w:val="auto"/>
              </w:rPr>
            </w:pPr>
            <w:r>
              <w:rPr>
                <w:rFonts w:ascii="Times New Roman" w:cs="Times New Roman" w:eastAsia="Times New Roman" w:hAnsi="Times New Roman"/>
                <w:sz w:val="22"/>
                <w:szCs w:val="22"/>
                <w:color w:val="auto"/>
                <w:w w:val="98"/>
              </w:rPr>
              <w:t>shares of Incyte common stock on settlement of the Performance Shares. Incyte</w:t>
            </w: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900" w:type="dxa"/>
            <w:vAlign w:val="bottom"/>
            <w:gridSpan w:val="9"/>
          </w:tcPr>
          <w:p>
            <w:pPr>
              <w:spacing w:after="0" w:line="243" w:lineRule="exact"/>
              <w:rPr>
                <w:sz w:val="20"/>
                <w:szCs w:val="20"/>
                <w:color w:val="auto"/>
              </w:rPr>
            </w:pPr>
            <w:r>
              <w:rPr>
                <w:rFonts w:ascii="Times New Roman" w:cs="Times New Roman" w:eastAsia="Times New Roman" w:hAnsi="Times New Roman"/>
                <w:sz w:val="22"/>
                <w:szCs w:val="22"/>
                <w:color w:val="auto"/>
              </w:rPr>
              <w:t>will, however, withhold shares of Incyte common stock on settlement of the</w:t>
            </w: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900" w:type="dxa"/>
            <w:vAlign w:val="bottom"/>
            <w:gridSpan w:val="9"/>
          </w:tcPr>
          <w:p>
            <w:pPr>
              <w:spacing w:after="0" w:line="243" w:lineRule="exact"/>
              <w:rPr>
                <w:sz w:val="20"/>
                <w:szCs w:val="20"/>
                <w:color w:val="auto"/>
              </w:rPr>
            </w:pPr>
            <w:r>
              <w:rPr>
                <w:rFonts w:ascii="Times New Roman" w:cs="Times New Roman" w:eastAsia="Times New Roman" w:hAnsi="Times New Roman"/>
                <w:sz w:val="22"/>
                <w:szCs w:val="22"/>
                <w:color w:val="auto"/>
                <w:w w:val="98"/>
              </w:rPr>
              <w:t>Performance Shares for the payment of any withholding taxes due as a result of</w:t>
            </w:r>
          </w:p>
        </w:tc>
        <w:tc>
          <w:tcPr>
            <w:tcW w:w="0" w:type="dxa"/>
            <w:vAlign w:val="bottom"/>
          </w:tcPr>
          <w:p>
            <w:pPr>
              <w:spacing w:after="0"/>
              <w:rPr>
                <w:sz w:val="1"/>
                <w:szCs w:val="1"/>
                <w:color w:val="auto"/>
              </w:rPr>
            </w:pPr>
          </w:p>
        </w:tc>
      </w:tr>
      <w:tr>
        <w:trPr>
          <w:trHeight w:val="282"/>
        </w:trPr>
        <w:tc>
          <w:tcPr>
            <w:tcW w:w="2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90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the settlement of the Performance Shares.</w:t>
            </w:r>
          </w:p>
        </w:tc>
        <w:tc>
          <w:tcPr>
            <w:tcW w:w="0" w:type="dxa"/>
            <w:vAlign w:val="bottom"/>
          </w:tcPr>
          <w:p>
            <w:pPr>
              <w:spacing w:after="0"/>
              <w:rPr>
                <w:sz w:val="1"/>
                <w:szCs w:val="1"/>
                <w:color w:val="auto"/>
              </w:rPr>
            </w:pPr>
          </w:p>
        </w:tc>
      </w:tr>
      <w:tr>
        <w:trPr>
          <w:trHeight w:val="420"/>
        </w:trPr>
        <w:tc>
          <w:tcPr>
            <w:tcW w:w="21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Performance Shares</w:t>
            </w:r>
          </w:p>
        </w:tc>
        <w:tc>
          <w:tcPr>
            <w:tcW w:w="660" w:type="dxa"/>
            <w:vAlign w:val="bottom"/>
          </w:tcPr>
          <w:p>
            <w:pPr>
              <w:spacing w:after="0"/>
              <w:rPr>
                <w:sz w:val="24"/>
                <w:szCs w:val="24"/>
                <w:color w:val="auto"/>
              </w:rPr>
            </w:pPr>
          </w:p>
        </w:tc>
        <w:tc>
          <w:tcPr>
            <w:tcW w:w="6900" w:type="dxa"/>
            <w:vAlign w:val="bottom"/>
            <w:gridSpan w:val="9"/>
          </w:tcPr>
          <w:p>
            <w:pPr>
              <w:spacing w:after="0"/>
              <w:rPr>
                <w:sz w:val="20"/>
                <w:szCs w:val="20"/>
                <w:color w:val="auto"/>
              </w:rPr>
            </w:pPr>
            <w:r>
              <w:rPr>
                <w:rFonts w:ascii="Times New Roman" w:cs="Times New Roman" w:eastAsia="Times New Roman" w:hAnsi="Times New Roman"/>
                <w:sz w:val="22"/>
                <w:szCs w:val="22"/>
                <w:color w:val="auto"/>
                <w:w w:val="98"/>
              </w:rPr>
              <w:t>Your target grant of Performance Shares is shown in the Notice of Performance</w:t>
            </w: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900" w:type="dxa"/>
            <w:vAlign w:val="bottom"/>
            <w:gridSpan w:val="9"/>
          </w:tcPr>
          <w:p>
            <w:pPr>
              <w:spacing w:after="0" w:line="243" w:lineRule="exact"/>
              <w:rPr>
                <w:sz w:val="20"/>
                <w:szCs w:val="20"/>
                <w:color w:val="auto"/>
              </w:rPr>
            </w:pPr>
            <w:r>
              <w:rPr>
                <w:rFonts w:ascii="Times New Roman" w:cs="Times New Roman" w:eastAsia="Times New Roman" w:hAnsi="Times New Roman"/>
                <w:sz w:val="22"/>
                <w:szCs w:val="22"/>
                <w:color w:val="auto"/>
                <w:w w:val="97"/>
              </w:rPr>
              <w:t>Share Award (the “award notice”). This is the number of actual shares of Incyte</w:t>
            </w: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900" w:type="dxa"/>
            <w:vAlign w:val="bottom"/>
            <w:gridSpan w:val="9"/>
          </w:tcPr>
          <w:p>
            <w:pPr>
              <w:spacing w:after="0" w:line="243" w:lineRule="exact"/>
              <w:rPr>
                <w:sz w:val="20"/>
                <w:szCs w:val="20"/>
                <w:color w:val="auto"/>
              </w:rPr>
            </w:pPr>
            <w:r>
              <w:rPr>
                <w:rFonts w:ascii="Times New Roman" w:cs="Times New Roman" w:eastAsia="Times New Roman" w:hAnsi="Times New Roman"/>
                <w:sz w:val="22"/>
                <w:szCs w:val="22"/>
                <w:color w:val="auto"/>
              </w:rPr>
              <w:t>common stock that may be issued to you after the end of the Performance</w:t>
            </w: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900" w:type="dxa"/>
            <w:vAlign w:val="bottom"/>
            <w:gridSpan w:val="9"/>
          </w:tcPr>
          <w:p>
            <w:pPr>
              <w:spacing w:after="0" w:line="243" w:lineRule="exact"/>
              <w:rPr>
                <w:sz w:val="20"/>
                <w:szCs w:val="20"/>
                <w:color w:val="auto"/>
              </w:rPr>
            </w:pPr>
            <w:r>
              <w:rPr>
                <w:rFonts w:ascii="Times New Roman" w:cs="Times New Roman" w:eastAsia="Times New Roman" w:hAnsi="Times New Roman"/>
                <w:sz w:val="22"/>
                <w:szCs w:val="22"/>
                <w:color w:val="auto"/>
                <w:w w:val="97"/>
              </w:rPr>
              <w:t>Period if Incyte or you achieve the “target” level of performance with respect to</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900" w:type="dxa"/>
            <w:vAlign w:val="bottom"/>
            <w:gridSpan w:val="9"/>
          </w:tcPr>
          <w:p>
            <w:pPr>
              <w:spacing w:after="0" w:line="230" w:lineRule="exact"/>
              <w:rPr>
                <w:sz w:val="20"/>
                <w:szCs w:val="20"/>
                <w:color w:val="auto"/>
              </w:rPr>
            </w:pPr>
            <w:r>
              <w:rPr>
                <w:rFonts w:ascii="Times New Roman" w:cs="Times New Roman" w:eastAsia="Times New Roman" w:hAnsi="Times New Roman"/>
                <w:sz w:val="22"/>
                <w:szCs w:val="22"/>
                <w:color w:val="auto"/>
              </w:rPr>
              <w:t>each performance goal for the Performance Period, as set forth in Exhibit 1.</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500" w:type="dxa"/>
            <w:vAlign w:val="bottom"/>
            <w:gridSpan w:val="7"/>
          </w:tcPr>
          <w:p>
            <w:pPr>
              <w:spacing w:after="0" w:line="236" w:lineRule="exact"/>
              <w:rPr>
                <w:sz w:val="20"/>
                <w:szCs w:val="20"/>
                <w:color w:val="auto"/>
              </w:rPr>
            </w:pPr>
            <w:r>
              <w:rPr>
                <w:rFonts w:ascii="Times New Roman" w:cs="Times New Roman" w:eastAsia="Times New Roman" w:hAnsi="Times New Roman"/>
                <w:sz w:val="22"/>
                <w:szCs w:val="22"/>
                <w:color w:val="auto"/>
                <w:w w:val="98"/>
              </w:rPr>
              <w:t>Depending on Incyte’s or your performance, you may receive a number of</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900" w:type="dxa"/>
            <w:vAlign w:val="bottom"/>
            <w:gridSpan w:val="9"/>
          </w:tcPr>
          <w:p>
            <w:pPr>
              <w:spacing w:after="0" w:line="243" w:lineRule="exact"/>
              <w:rPr>
                <w:sz w:val="20"/>
                <w:szCs w:val="20"/>
                <w:color w:val="auto"/>
              </w:rPr>
            </w:pPr>
            <w:r>
              <w:rPr>
                <w:rFonts w:ascii="Times New Roman" w:cs="Times New Roman" w:eastAsia="Times New Roman" w:hAnsi="Times New Roman"/>
                <w:sz w:val="22"/>
                <w:szCs w:val="22"/>
                <w:color w:val="auto"/>
              </w:rPr>
              <w:t>actual shares that is greater or less than your target grant. If Incyte or you do</w:t>
            </w: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900" w:type="dxa"/>
            <w:vAlign w:val="bottom"/>
            <w:gridSpan w:val="9"/>
          </w:tcPr>
          <w:p>
            <w:pPr>
              <w:spacing w:after="0" w:line="243" w:lineRule="exact"/>
              <w:rPr>
                <w:sz w:val="20"/>
                <w:szCs w:val="20"/>
                <w:color w:val="auto"/>
              </w:rPr>
            </w:pPr>
            <w:r>
              <w:rPr>
                <w:rFonts w:ascii="Times New Roman" w:cs="Times New Roman" w:eastAsia="Times New Roman" w:hAnsi="Times New Roman"/>
                <w:sz w:val="22"/>
                <w:szCs w:val="22"/>
                <w:color w:val="auto"/>
                <w:w w:val="98"/>
              </w:rPr>
              <w:t>not achieve at least the “threshold” level of performance with respect to at least</w:t>
            </w: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900" w:type="dxa"/>
            <w:vAlign w:val="bottom"/>
            <w:gridSpan w:val="9"/>
          </w:tcPr>
          <w:p>
            <w:pPr>
              <w:spacing w:after="0" w:line="243" w:lineRule="exact"/>
              <w:rPr>
                <w:sz w:val="20"/>
                <w:szCs w:val="20"/>
                <w:color w:val="auto"/>
              </w:rPr>
            </w:pPr>
            <w:r>
              <w:rPr>
                <w:rFonts w:ascii="Times New Roman" w:cs="Times New Roman" w:eastAsia="Times New Roman" w:hAnsi="Times New Roman"/>
                <w:sz w:val="22"/>
                <w:szCs w:val="22"/>
                <w:color w:val="auto"/>
              </w:rPr>
              <w:t>one of the performance goals set for the Performance Period, as set forth in</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900" w:type="dxa"/>
            <w:vAlign w:val="bottom"/>
            <w:gridSpan w:val="9"/>
          </w:tcPr>
          <w:p>
            <w:pPr>
              <w:spacing w:after="0" w:line="230" w:lineRule="exact"/>
              <w:rPr>
                <w:sz w:val="20"/>
                <w:szCs w:val="20"/>
                <w:color w:val="auto"/>
              </w:rPr>
            </w:pPr>
            <w:r>
              <w:rPr>
                <w:rFonts w:ascii="Times New Roman" w:cs="Times New Roman" w:eastAsia="Times New Roman" w:hAnsi="Times New Roman"/>
                <w:sz w:val="22"/>
                <w:szCs w:val="22"/>
                <w:color w:val="auto"/>
                <w:w w:val="99"/>
              </w:rPr>
              <w:t>Exhibit 1, you will receive no actual shares of Incyte common stock under this</w:t>
            </w:r>
          </w:p>
        </w:tc>
        <w:tc>
          <w:tcPr>
            <w:tcW w:w="0" w:type="dxa"/>
            <w:vAlign w:val="bottom"/>
          </w:tcPr>
          <w:p>
            <w:pPr>
              <w:spacing w:after="0"/>
              <w:rPr>
                <w:sz w:val="1"/>
                <w:szCs w:val="1"/>
                <w:color w:val="auto"/>
              </w:rPr>
            </w:pPr>
          </w:p>
        </w:tc>
      </w:tr>
      <w:tr>
        <w:trPr>
          <w:trHeight w:val="276"/>
        </w:trPr>
        <w:tc>
          <w:tcPr>
            <w:tcW w:w="2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award.</w:t>
            </w:r>
          </w:p>
        </w:tc>
        <w:tc>
          <w:tcPr>
            <w:tcW w:w="1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420" w:type="dxa"/>
            <w:vAlign w:val="bottom"/>
            <w:gridSpan w:val="2"/>
          </w:tcPr>
          <w:p>
            <w:pPr>
              <w:spacing w:after="0"/>
              <w:rPr>
                <w:sz w:val="23"/>
                <w:szCs w:val="23"/>
                <w:color w:val="auto"/>
              </w:rPr>
            </w:pPr>
          </w:p>
        </w:tc>
        <w:tc>
          <w:tcPr>
            <w:tcW w:w="620" w:type="dxa"/>
            <w:vAlign w:val="bottom"/>
            <w:gridSpan w:val="2"/>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21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Performance Period</w:t>
            </w:r>
          </w:p>
        </w:tc>
        <w:tc>
          <w:tcPr>
            <w:tcW w:w="660" w:type="dxa"/>
            <w:vAlign w:val="bottom"/>
          </w:tcPr>
          <w:p>
            <w:pPr>
              <w:spacing w:after="0"/>
              <w:rPr>
                <w:sz w:val="24"/>
                <w:szCs w:val="24"/>
                <w:color w:val="auto"/>
              </w:rPr>
            </w:pPr>
          </w:p>
        </w:tc>
        <w:tc>
          <w:tcPr>
            <w:tcW w:w="690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The Performance Period covered by this award is shown in the award notice.</w:t>
            </w:r>
          </w:p>
        </w:tc>
        <w:tc>
          <w:tcPr>
            <w:tcW w:w="0" w:type="dxa"/>
            <w:vAlign w:val="bottom"/>
          </w:tcPr>
          <w:p>
            <w:pPr>
              <w:spacing w:after="0"/>
              <w:rPr>
                <w:sz w:val="1"/>
                <w:szCs w:val="1"/>
                <w:color w:val="auto"/>
              </w:rPr>
            </w:pPr>
          </w:p>
        </w:tc>
      </w:tr>
      <w:tr>
        <w:trPr>
          <w:trHeight w:val="407"/>
        </w:trPr>
        <w:tc>
          <w:tcPr>
            <w:tcW w:w="2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900" w:type="dxa"/>
            <w:vAlign w:val="bottom"/>
            <w:gridSpan w:val="9"/>
          </w:tcPr>
          <w:p>
            <w:pPr>
              <w:spacing w:after="0"/>
              <w:rPr>
                <w:sz w:val="20"/>
                <w:szCs w:val="20"/>
                <w:color w:val="auto"/>
              </w:rPr>
            </w:pPr>
            <w:r>
              <w:rPr>
                <w:rFonts w:ascii="Times New Roman" w:cs="Times New Roman" w:eastAsia="Times New Roman" w:hAnsi="Times New Roman"/>
                <w:sz w:val="22"/>
                <w:szCs w:val="22"/>
                <w:color w:val="auto"/>
                <w:w w:val="98"/>
              </w:rPr>
              <w:t>Except as provided in Exhibit 1, you must remain in service with Incyte (or any</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900" w:type="dxa"/>
            <w:vAlign w:val="bottom"/>
            <w:gridSpan w:val="9"/>
          </w:tcPr>
          <w:p>
            <w:pPr>
              <w:spacing w:after="0" w:line="236" w:lineRule="exact"/>
              <w:rPr>
                <w:sz w:val="20"/>
                <w:szCs w:val="20"/>
                <w:color w:val="auto"/>
              </w:rPr>
            </w:pPr>
            <w:r>
              <w:rPr>
                <w:rFonts w:ascii="Times New Roman" w:cs="Times New Roman" w:eastAsia="Times New Roman" w:hAnsi="Times New Roman"/>
                <w:sz w:val="22"/>
                <w:szCs w:val="22"/>
                <w:color w:val="auto"/>
              </w:rPr>
              <w:t>subsidiary) as an employee, director, consultant or advisor for the entire</w:t>
            </w: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900" w:type="dxa"/>
            <w:vAlign w:val="bottom"/>
            <w:gridSpan w:val="9"/>
          </w:tcPr>
          <w:p>
            <w:pPr>
              <w:spacing w:after="0" w:line="243" w:lineRule="exact"/>
              <w:rPr>
                <w:sz w:val="20"/>
                <w:szCs w:val="20"/>
                <w:color w:val="auto"/>
              </w:rPr>
            </w:pPr>
            <w:r>
              <w:rPr>
                <w:rFonts w:ascii="Times New Roman" w:cs="Times New Roman" w:eastAsia="Times New Roman" w:hAnsi="Times New Roman"/>
                <w:sz w:val="22"/>
                <w:szCs w:val="22"/>
                <w:color w:val="auto"/>
              </w:rPr>
              <w:t>Performance Period in order to remain entitled to receive any actual shares of</w:t>
            </w:r>
          </w:p>
        </w:tc>
        <w:tc>
          <w:tcPr>
            <w:tcW w:w="0" w:type="dxa"/>
            <w:vAlign w:val="bottom"/>
          </w:tcPr>
          <w:p>
            <w:pPr>
              <w:spacing w:after="0"/>
              <w:rPr>
                <w:sz w:val="1"/>
                <w:szCs w:val="1"/>
                <w:color w:val="auto"/>
              </w:rPr>
            </w:pPr>
          </w:p>
        </w:tc>
      </w:tr>
      <w:tr>
        <w:trPr>
          <w:trHeight w:val="282"/>
        </w:trPr>
        <w:tc>
          <w:tcPr>
            <w:tcW w:w="2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90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Incyte common stock in settlement of the Performance Shares.</w:t>
            </w:r>
          </w:p>
        </w:tc>
        <w:tc>
          <w:tcPr>
            <w:tcW w:w="0" w:type="dxa"/>
            <w:vAlign w:val="bottom"/>
          </w:tcPr>
          <w:p>
            <w:pPr>
              <w:spacing w:after="0"/>
              <w:rPr>
                <w:sz w:val="1"/>
                <w:szCs w:val="1"/>
                <w:color w:val="auto"/>
              </w:rPr>
            </w:pPr>
          </w:p>
        </w:tc>
      </w:tr>
      <w:tr>
        <w:trPr>
          <w:trHeight w:val="486"/>
        </w:trPr>
        <w:tc>
          <w:tcPr>
            <w:tcW w:w="21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Vesting</w:t>
            </w:r>
          </w:p>
        </w:tc>
        <w:tc>
          <w:tcPr>
            <w:tcW w:w="660" w:type="dxa"/>
            <w:vAlign w:val="bottom"/>
          </w:tcPr>
          <w:p>
            <w:pPr>
              <w:spacing w:after="0"/>
              <w:rPr>
                <w:sz w:val="24"/>
                <w:szCs w:val="24"/>
                <w:color w:val="auto"/>
              </w:rPr>
            </w:pPr>
          </w:p>
        </w:tc>
        <w:tc>
          <w:tcPr>
            <w:tcW w:w="690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The Performance Shares vest as shown in the award notice.</w:t>
            </w:r>
          </w:p>
        </w:tc>
        <w:tc>
          <w:tcPr>
            <w:tcW w:w="0" w:type="dxa"/>
            <w:vAlign w:val="bottom"/>
          </w:tcPr>
          <w:p>
            <w:pPr>
              <w:spacing w:after="0"/>
              <w:rPr>
                <w:sz w:val="1"/>
                <w:szCs w:val="1"/>
                <w:color w:val="auto"/>
              </w:rPr>
            </w:pPr>
          </w:p>
        </w:tc>
      </w:tr>
      <w:tr>
        <w:trPr>
          <w:trHeight w:val="420"/>
        </w:trPr>
        <w:tc>
          <w:tcPr>
            <w:tcW w:w="2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900" w:type="dxa"/>
            <w:vAlign w:val="bottom"/>
            <w:gridSpan w:val="9"/>
          </w:tcPr>
          <w:p>
            <w:pPr>
              <w:spacing w:after="0"/>
              <w:rPr>
                <w:sz w:val="20"/>
                <w:szCs w:val="20"/>
                <w:color w:val="auto"/>
              </w:rPr>
            </w:pPr>
            <w:r>
              <w:rPr>
                <w:rFonts w:ascii="Times New Roman" w:cs="Times New Roman" w:eastAsia="Times New Roman" w:hAnsi="Times New Roman"/>
                <w:sz w:val="22"/>
                <w:szCs w:val="22"/>
                <w:color w:val="auto"/>
                <w:w w:val="99"/>
              </w:rPr>
              <w:t>No additional Performance Shares will vest after your service as an employee,</w:t>
            </w: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900" w:type="dxa"/>
            <w:vAlign w:val="bottom"/>
            <w:gridSpan w:val="9"/>
          </w:tcPr>
          <w:p>
            <w:pPr>
              <w:spacing w:after="0" w:line="243" w:lineRule="exact"/>
              <w:rPr>
                <w:sz w:val="20"/>
                <w:szCs w:val="20"/>
                <w:color w:val="auto"/>
              </w:rPr>
            </w:pPr>
            <w:r>
              <w:rPr>
                <w:rFonts w:ascii="Times New Roman" w:cs="Times New Roman" w:eastAsia="Times New Roman" w:hAnsi="Times New Roman"/>
                <w:sz w:val="22"/>
                <w:szCs w:val="22"/>
                <w:color w:val="auto"/>
              </w:rPr>
              <w:t>director, consultant or advisor of Incyte (or any subsidiary) has terminated for</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900" w:type="dxa"/>
            <w:vAlign w:val="bottom"/>
            <w:gridSpan w:val="9"/>
          </w:tcPr>
          <w:p>
            <w:pPr>
              <w:spacing w:after="0" w:line="230" w:lineRule="exact"/>
              <w:rPr>
                <w:sz w:val="20"/>
                <w:szCs w:val="20"/>
                <w:color w:val="auto"/>
              </w:rPr>
            </w:pPr>
            <w:r>
              <w:rPr>
                <w:rFonts w:ascii="Times New Roman" w:cs="Times New Roman" w:eastAsia="Times New Roman" w:hAnsi="Times New Roman"/>
                <w:sz w:val="22"/>
                <w:szCs w:val="22"/>
                <w:color w:val="auto"/>
                <w:w w:val="99"/>
              </w:rPr>
              <w:t>any reason, except as provided below under “Change in Control” or in Exhibit</w:t>
            </w:r>
          </w:p>
        </w:tc>
        <w:tc>
          <w:tcPr>
            <w:tcW w:w="0" w:type="dxa"/>
            <w:vAlign w:val="bottom"/>
          </w:tcPr>
          <w:p>
            <w:pPr>
              <w:spacing w:after="0"/>
              <w:rPr>
                <w:sz w:val="1"/>
                <w:szCs w:val="1"/>
                <w:color w:val="auto"/>
              </w:rPr>
            </w:pPr>
          </w:p>
        </w:tc>
      </w:tr>
      <w:tr>
        <w:trPr>
          <w:trHeight w:val="223"/>
        </w:trPr>
        <w:tc>
          <w:tcPr>
            <w:tcW w:w="21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Forfeiture</w:t>
            </w:r>
          </w:p>
        </w:tc>
        <w:tc>
          <w:tcPr>
            <w:tcW w:w="1460" w:type="dxa"/>
            <w:vAlign w:val="bottom"/>
            <w:gridSpan w:val="3"/>
          </w:tcPr>
          <w:p>
            <w:pPr>
              <w:ind w:left="660"/>
              <w:spacing w:after="0" w:line="223" w:lineRule="exact"/>
              <w:rPr>
                <w:sz w:val="20"/>
                <w:szCs w:val="20"/>
                <w:color w:val="auto"/>
              </w:rPr>
            </w:pPr>
            <w:r>
              <w:rPr>
                <w:rFonts w:ascii="Times New Roman" w:cs="Times New Roman" w:eastAsia="Times New Roman" w:hAnsi="Times New Roman"/>
                <w:sz w:val="22"/>
                <w:szCs w:val="22"/>
                <w:color w:val="auto"/>
              </w:rPr>
              <w:t>1.</w:t>
            </w: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21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6900" w:type="dxa"/>
            <w:vAlign w:val="bottom"/>
            <w:gridSpan w:val="9"/>
          </w:tcPr>
          <w:p>
            <w:pPr>
              <w:spacing w:after="0"/>
              <w:rPr>
                <w:sz w:val="20"/>
                <w:szCs w:val="20"/>
                <w:color w:val="auto"/>
              </w:rPr>
            </w:pPr>
            <w:r>
              <w:rPr>
                <w:rFonts w:ascii="Times New Roman" w:cs="Times New Roman" w:eastAsia="Times New Roman" w:hAnsi="Times New Roman"/>
                <w:sz w:val="22"/>
                <w:szCs w:val="22"/>
                <w:color w:val="auto"/>
                <w:w w:val="98"/>
              </w:rPr>
              <w:t>If your service as an employee, director, consultant or advisor of Incyte (or any</w:t>
            </w: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900" w:type="dxa"/>
            <w:vAlign w:val="bottom"/>
            <w:gridSpan w:val="9"/>
          </w:tcPr>
          <w:p>
            <w:pPr>
              <w:spacing w:after="0" w:line="243" w:lineRule="exact"/>
              <w:rPr>
                <w:sz w:val="20"/>
                <w:szCs w:val="20"/>
                <w:color w:val="auto"/>
              </w:rPr>
            </w:pPr>
            <w:r>
              <w:rPr>
                <w:rFonts w:ascii="Times New Roman" w:cs="Times New Roman" w:eastAsia="Times New Roman" w:hAnsi="Times New Roman"/>
                <w:sz w:val="22"/>
                <w:szCs w:val="22"/>
                <w:color w:val="auto"/>
              </w:rPr>
              <w:t>subsidiary) terminates for any reason, then your Performance Shares will be</w:t>
            </w: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900" w:type="dxa"/>
            <w:vAlign w:val="bottom"/>
            <w:gridSpan w:val="9"/>
          </w:tcPr>
          <w:p>
            <w:pPr>
              <w:spacing w:after="0" w:line="243" w:lineRule="exact"/>
              <w:rPr>
                <w:sz w:val="20"/>
                <w:szCs w:val="20"/>
                <w:color w:val="auto"/>
              </w:rPr>
            </w:pPr>
            <w:r>
              <w:rPr>
                <w:rFonts w:ascii="Times New Roman" w:cs="Times New Roman" w:eastAsia="Times New Roman" w:hAnsi="Times New Roman"/>
                <w:sz w:val="22"/>
                <w:szCs w:val="22"/>
                <w:color w:val="auto"/>
              </w:rPr>
              <w:t>forfeited to the extent they have not vested before the termination date and do</w:t>
            </w: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900" w:type="dxa"/>
            <w:vAlign w:val="bottom"/>
            <w:gridSpan w:val="9"/>
          </w:tcPr>
          <w:p>
            <w:pPr>
              <w:spacing w:after="0" w:line="243" w:lineRule="exact"/>
              <w:rPr>
                <w:sz w:val="20"/>
                <w:szCs w:val="20"/>
                <w:color w:val="auto"/>
              </w:rPr>
            </w:pPr>
            <w:r>
              <w:rPr>
                <w:rFonts w:ascii="Times New Roman" w:cs="Times New Roman" w:eastAsia="Times New Roman" w:hAnsi="Times New Roman"/>
                <w:sz w:val="22"/>
                <w:szCs w:val="22"/>
                <w:color w:val="auto"/>
                <w:w w:val="99"/>
              </w:rPr>
              <w:t>not vest as a result of the termination. This means that the Performance Shares</w:t>
            </w:r>
          </w:p>
        </w:tc>
        <w:tc>
          <w:tcPr>
            <w:tcW w:w="0" w:type="dxa"/>
            <w:vAlign w:val="bottom"/>
          </w:tcPr>
          <w:p>
            <w:pPr>
              <w:spacing w:after="0"/>
              <w:rPr>
                <w:sz w:val="1"/>
                <w:szCs w:val="1"/>
                <w:color w:val="auto"/>
              </w:rPr>
            </w:pPr>
          </w:p>
        </w:tc>
      </w:tr>
      <w:tr>
        <w:trPr>
          <w:trHeight w:val="282"/>
        </w:trPr>
        <w:tc>
          <w:tcPr>
            <w:tcW w:w="2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90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will be immediately canceled and you will receive no actual shares of Incyte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353695</wp:posOffset>
            </wp:positionV>
            <wp:extent cx="629221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20"/>
          </w:cols>
          <w:pgMar w:left="1080" w:top="881" w:right="1099" w:bottom="1440" w:gutter="0" w:footer="0" w:header="0"/>
        </w:sectPr>
      </w:pPr>
    </w:p>
    <w:bookmarkStart w:id="119" w:name="page120"/>
    <w:bookmarkEnd w:id="119"/>
    <w:p>
      <w:pPr>
        <w:ind w:left="2820" w:right="200"/>
        <w:spacing w:after="0" w:line="258" w:lineRule="auto"/>
        <w:rPr>
          <w:sz w:val="20"/>
          <w:szCs w:val="20"/>
          <w:color w:val="auto"/>
        </w:rPr>
      </w:pPr>
      <w:r>
        <w:rPr>
          <w:rFonts w:ascii="Times New Roman" w:cs="Times New Roman" w:eastAsia="Times New Roman" w:hAnsi="Times New Roman"/>
          <w:sz w:val="22"/>
          <w:szCs w:val="22"/>
          <w:color w:val="auto"/>
        </w:rPr>
        <w:t>common stock. You will receive no payment for any Performance Shares that are forfeited.</w:t>
      </w:r>
    </w:p>
    <w:p>
      <w:pPr>
        <w:spacing w:after="0" w:line="158"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Incyte determines when your service terminates for this purpose.</w:t>
      </w:r>
    </w:p>
    <w:p>
      <w:pPr>
        <w:sectPr>
          <w:pgSz w:w="11900" w:h="16838" w:orient="portrait"/>
          <w:cols w:equalWidth="0" w:num="1">
            <w:col w:w="9720"/>
          </w:cols>
          <w:pgMar w:left="1080" w:top="909" w:right="109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Leaves of Absence</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21"/>
          <w:szCs w:val="21"/>
          <w:color w:val="auto"/>
        </w:rPr>
        <w:t xml:space="preserve">For purposes of this award, your service does not terminate when you go on a military leave, a sick leave or another </w:t>
      </w:r>
      <w:r>
        <w:rPr>
          <w:rFonts w:ascii="Times New Roman" w:cs="Times New Roman" w:eastAsia="Times New Roman" w:hAnsi="Times New Roman"/>
          <w:sz w:val="21"/>
          <w:szCs w:val="21"/>
          <w:i w:val="1"/>
          <w:iCs w:val="1"/>
          <w:color w:val="auto"/>
        </w:rPr>
        <w:t>bona fide</w:t>
      </w:r>
      <w:r>
        <w:rPr>
          <w:rFonts w:ascii="Times New Roman" w:cs="Times New Roman" w:eastAsia="Times New Roman" w:hAnsi="Times New Roman"/>
          <w:sz w:val="21"/>
          <w:szCs w:val="21"/>
          <w:color w:val="auto"/>
        </w:rPr>
        <w:t xml:space="preserve"> leave of absence, if the leave was approved by Incyte in writing and the terms of the leave or applicable law requires continued service crediting. But your service terminates when the approved leave ends, unless you immediately return to active work.</w:t>
      </w:r>
    </w:p>
    <w:p>
      <w:pPr>
        <w:spacing w:after="0" w:line="164" w:lineRule="exact"/>
        <w:rPr>
          <w:sz w:val="20"/>
          <w:szCs w:val="20"/>
          <w:color w:val="auto"/>
        </w:rPr>
      </w:pPr>
    </w:p>
    <w:p>
      <w:pPr>
        <w:sectPr>
          <w:pgSz w:w="11900" w:h="16838" w:orient="portrait"/>
          <w:cols w:equalWidth="0" w:num="2">
            <w:col w:w="2100" w:space="720"/>
            <w:col w:w="6900"/>
          </w:cols>
          <w:pgMar w:left="1080" w:top="909" w:right="1099" w:bottom="1440" w:gutter="0" w:footer="0" w:header="0"/>
          <w:type w:val="continuous"/>
        </w:sect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Nature of Performance Shares</w:t>
      </w:r>
    </w:p>
    <w:p>
      <w:pPr>
        <w:spacing w:after="0" w:line="20" w:lineRule="exact"/>
        <w:rPr>
          <w:sz w:val="20"/>
          <w:szCs w:val="20"/>
          <w:color w:val="auto"/>
        </w:rPr>
      </w:pPr>
      <w:r>
        <w:rPr>
          <w:sz w:val="20"/>
          <w:szCs w:val="20"/>
          <w:color w:val="auto"/>
        </w:rPr>
        <w:br w:type="column"/>
      </w:r>
    </w:p>
    <w:p>
      <w:pPr>
        <w:ind w:right="140"/>
        <w:spacing w:after="0" w:line="251" w:lineRule="auto"/>
        <w:rPr>
          <w:sz w:val="20"/>
          <w:szCs w:val="20"/>
          <w:color w:val="auto"/>
        </w:rPr>
      </w:pPr>
      <w:r>
        <w:rPr>
          <w:rFonts w:ascii="Times New Roman" w:cs="Times New Roman" w:eastAsia="Times New Roman" w:hAnsi="Times New Roman"/>
          <w:sz w:val="21"/>
          <w:szCs w:val="21"/>
          <w:color w:val="auto"/>
        </w:rPr>
        <w:t>The Performance Shares granted under this Agreement are mere bookkeeping entries. They represent only Incyte’s unfunded and unsecured promise to issue shares of Incyte common stock on a future date based on the level of Incyte’s achievement of the specified performance goals. As a holder of Performance Shares, you have no rights other than the rights of a general creditor of Incyte.</w:t>
      </w:r>
    </w:p>
    <w:p>
      <w:pPr>
        <w:spacing w:after="0" w:line="164" w:lineRule="exact"/>
        <w:rPr>
          <w:sz w:val="20"/>
          <w:szCs w:val="20"/>
          <w:color w:val="auto"/>
        </w:rPr>
      </w:pPr>
    </w:p>
    <w:p>
      <w:pPr>
        <w:sectPr>
          <w:pgSz w:w="11900" w:h="16838" w:orient="portrait"/>
          <w:cols w:equalWidth="0" w:num="2">
            <w:col w:w="2140" w:space="680"/>
            <w:col w:w="6900"/>
          </w:cols>
          <w:pgMar w:left="1080" w:top="909" w:right="1099" w:bottom="1440" w:gutter="0" w:footer="0" w:header="0"/>
          <w:type w:val="continuous"/>
        </w:sect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No Voting Rights or Dividends</w:t>
      </w:r>
    </w:p>
    <w:p>
      <w:pPr>
        <w:spacing w:after="0" w:line="20" w:lineRule="exact"/>
        <w:rPr>
          <w:sz w:val="20"/>
          <w:szCs w:val="20"/>
          <w:color w:val="auto"/>
        </w:rPr>
      </w:pPr>
      <w:r>
        <w:rPr>
          <w:sz w:val="20"/>
          <w:szCs w:val="20"/>
          <w:color w:val="auto"/>
        </w:rPr>
        <w:br w:type="column"/>
      </w:r>
    </w:p>
    <w:p>
      <w:pPr>
        <w:spacing w:after="0" w:line="233" w:lineRule="auto"/>
        <w:rPr>
          <w:sz w:val="20"/>
          <w:szCs w:val="20"/>
          <w:color w:val="auto"/>
        </w:rPr>
      </w:pPr>
      <w:r>
        <w:rPr>
          <w:rFonts w:ascii="Times New Roman" w:cs="Times New Roman" w:eastAsia="Times New Roman" w:hAnsi="Times New Roman"/>
          <w:sz w:val="22"/>
          <w:szCs w:val="22"/>
          <w:color w:val="auto"/>
        </w:rPr>
        <w:t>Your Performance Shares carry neither voting rights nor rights to dividends. You, or your estate or heirs, have no rights as a stockholder of Incyte unless and until your Performance Shares are settled by issuing shares of Incyte’s common stock. No dividend equivalents will be provided and no adjustments will be made for dividends or other rights if the applicable record date occurs before your stock certificate is issued, except that in the case of a dividend payable in the form of additional shares of Incyte common stock, your target number of Performance Shares will be adjusted proportionately by multiplying that number by the number of shares of Incyte common stock that a holder of one share of Incyte common stock before the dividend payment date would hold after the dividend payment date.</w:t>
      </w:r>
    </w:p>
    <w:p>
      <w:pPr>
        <w:spacing w:after="0" w:line="183" w:lineRule="exact"/>
        <w:rPr>
          <w:sz w:val="20"/>
          <w:szCs w:val="20"/>
          <w:color w:val="auto"/>
        </w:rPr>
      </w:pPr>
    </w:p>
    <w:p>
      <w:pPr>
        <w:sectPr>
          <w:pgSz w:w="11900" w:h="16838" w:orient="portrait"/>
          <w:cols w:equalWidth="0" w:num="2">
            <w:col w:w="2100" w:space="720"/>
            <w:col w:w="6900"/>
          </w:cols>
          <w:pgMar w:left="1080" w:top="909" w:right="1099" w:bottom="1440" w:gutter="0" w:footer="0" w:header="0"/>
          <w:type w:val="continuous"/>
        </w:sect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Settlement of Performance Shares</w:t>
      </w:r>
    </w:p>
    <w:p>
      <w:pPr>
        <w:spacing w:after="0" w:line="20" w:lineRule="exact"/>
        <w:rPr>
          <w:sz w:val="20"/>
          <w:szCs w:val="20"/>
          <w:color w:val="auto"/>
        </w:rPr>
      </w:pPr>
      <w:r>
        <w:rPr>
          <w:sz w:val="20"/>
          <w:szCs w:val="20"/>
          <w:color w:val="auto"/>
        </w:rPr>
        <w:br w:type="column"/>
      </w:r>
    </w:p>
    <w:p>
      <w:pPr>
        <w:spacing w:after="0" w:line="235" w:lineRule="auto"/>
        <w:rPr>
          <w:sz w:val="20"/>
          <w:szCs w:val="20"/>
          <w:color w:val="auto"/>
        </w:rPr>
      </w:pPr>
      <w:r>
        <w:rPr>
          <w:rFonts w:ascii="Times New Roman" w:cs="Times New Roman" w:eastAsia="Times New Roman" w:hAnsi="Times New Roman"/>
          <w:sz w:val="22"/>
          <w:szCs w:val="22"/>
          <w:color w:val="auto"/>
        </w:rPr>
        <w:t>The Performance Shares will be settled as soon as practicable after each vesting date, provided that the Compensation Committee of Incyte’s Board of Directors or its designee has certified Incyte’s level of achievement with respect to each of the performance goals specified for the Performance Period and has determined that a number of shares of Incyte common stock are issuable based on Incyte’s performance. In no event will settlement occur later than March 15th of the calendar year following the vesting date.</w:t>
      </w:r>
    </w:p>
    <w:p>
      <w:pPr>
        <w:spacing w:after="0" w:line="183" w:lineRule="exact"/>
        <w:rPr>
          <w:sz w:val="20"/>
          <w:szCs w:val="20"/>
          <w:color w:val="auto"/>
        </w:rPr>
      </w:pPr>
    </w:p>
    <w:p>
      <w:pPr>
        <w:sectPr>
          <w:pgSz w:w="11900" w:h="16838" w:orient="portrait"/>
          <w:cols w:equalWidth="0" w:num="2">
            <w:col w:w="2480" w:space="340"/>
            <w:col w:w="6900"/>
          </w:cols>
          <w:pgMar w:left="1080" w:top="909" w:right="1099" w:bottom="1440" w:gutter="0" w:footer="0" w:header="0"/>
          <w:type w:val="continuous"/>
        </w:sectPr>
      </w:pPr>
    </w:p>
    <w:p>
      <w:pPr>
        <w:ind w:left="2820" w:right="300"/>
        <w:spacing w:after="0" w:line="244" w:lineRule="auto"/>
        <w:rPr>
          <w:sz w:val="20"/>
          <w:szCs w:val="20"/>
          <w:color w:val="auto"/>
        </w:rPr>
      </w:pPr>
      <w:r>
        <w:rPr>
          <w:rFonts w:ascii="Times New Roman" w:cs="Times New Roman" w:eastAsia="Times New Roman" w:hAnsi="Times New Roman"/>
          <w:sz w:val="22"/>
          <w:szCs w:val="22"/>
          <w:color w:val="auto"/>
        </w:rPr>
        <w:t>At the time of settlement, your target number of Performance Shares may be adjusted upwards or downwards based on Incyte’s performance for the Performance Period. You will receive one share</w:t>
      </w:r>
    </w:p>
    <w:p>
      <w:pPr>
        <w:sectPr>
          <w:pgSz w:w="11900" w:h="16838" w:orient="portrait"/>
          <w:cols w:equalWidth="0" w:num="1">
            <w:col w:w="9720"/>
          </w:cols>
          <w:pgMar w:left="1080" w:top="909"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353695</wp:posOffset>
            </wp:positionV>
            <wp:extent cx="629221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20"/>
          </w:cols>
          <w:pgMar w:left="1080" w:top="909" w:right="1099" w:bottom="1440" w:gutter="0" w:footer="0" w:header="0"/>
          <w:type w:val="continuous"/>
        </w:sectPr>
      </w:pPr>
    </w:p>
    <w:bookmarkStart w:id="120" w:name="page121"/>
    <w:bookmarkEnd w:id="120"/>
    <w:p>
      <w:pPr>
        <w:ind w:left="2820"/>
        <w:spacing w:after="0" w:line="258" w:lineRule="auto"/>
        <w:rPr>
          <w:sz w:val="20"/>
          <w:szCs w:val="20"/>
          <w:color w:val="auto"/>
        </w:rPr>
      </w:pPr>
      <w:r>
        <w:rPr>
          <w:rFonts w:ascii="Times New Roman" w:cs="Times New Roman" w:eastAsia="Times New Roman" w:hAnsi="Times New Roman"/>
          <w:sz w:val="22"/>
          <w:szCs w:val="22"/>
          <w:color w:val="auto"/>
        </w:rPr>
        <w:t>of Incyte common stock for each Performance Share that you remain entitled to after any such adjustment.</w:t>
      </w:r>
    </w:p>
    <w:p>
      <w:pPr>
        <w:sectPr>
          <w:pgSz w:w="11900" w:h="16838" w:orient="portrait"/>
          <w:cols w:equalWidth="0" w:num="1">
            <w:col w:w="9700"/>
          </w:cols>
          <w:pgMar w:left="1080" w:top="895" w:right="1119" w:bottom="1440" w:gutter="0" w:footer="0" w:header="0"/>
        </w:sectPr>
      </w:pP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Withholding Taxes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Incyte will withhold shares of Incyte common stock on settlement of the Performance Shares for the payment of any withholding taxes due as a result of the settlement of the Performance Shares.</w:t>
      </w:r>
    </w:p>
    <w:p>
      <w:pPr>
        <w:spacing w:after="0" w:line="169" w:lineRule="exact"/>
        <w:rPr>
          <w:sz w:val="20"/>
          <w:szCs w:val="20"/>
          <w:color w:val="auto"/>
        </w:rPr>
      </w:pPr>
    </w:p>
    <w:p>
      <w:pPr>
        <w:sectPr>
          <w:pgSz w:w="11900" w:h="16838" w:orient="portrait"/>
          <w:cols w:equalWidth="0" w:num="2">
            <w:col w:w="2100" w:space="720"/>
            <w:col w:w="6880"/>
          </w:cols>
          <w:pgMar w:left="1080" w:top="895" w:right="111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b w:val="1"/>
          <w:bCs w:val="1"/>
          <w:color w:val="auto"/>
        </w:rPr>
        <w:t>Change in Control</w:t>
      </w:r>
    </w:p>
    <w:p>
      <w:pPr>
        <w:spacing w:after="0" w:line="20" w:lineRule="exact"/>
        <w:rPr>
          <w:sz w:val="20"/>
          <w:szCs w:val="20"/>
          <w:color w:val="auto"/>
        </w:rPr>
      </w:pPr>
      <w:r>
        <w:rPr>
          <w:sz w:val="20"/>
          <w:szCs w:val="20"/>
          <w:color w:val="auto"/>
        </w:rPr>
        <w:br w:type="column"/>
      </w:r>
    </w:p>
    <w:p>
      <w:pPr>
        <w:ind w:right="120"/>
        <w:spacing w:after="0" w:line="233" w:lineRule="auto"/>
        <w:rPr>
          <w:sz w:val="20"/>
          <w:szCs w:val="20"/>
          <w:color w:val="auto"/>
        </w:rPr>
      </w:pPr>
      <w:r>
        <w:rPr>
          <w:rFonts w:ascii="Times New Roman" w:cs="Times New Roman" w:eastAsia="Times New Roman" w:hAnsi="Times New Roman"/>
          <w:sz w:val="22"/>
          <w:szCs w:val="22"/>
          <w:color w:val="auto"/>
        </w:rPr>
        <w:t>The following provisions will apply in the event a Change in Control (as defined in the Plan) occurs after the end of the Performance Period and while the Performance Shares granted under this Agreement are still outstanding, provided that the Compensation Committee of Incyte’s Board of Directors or its designee has determined that a number of shares of Incyte common stock are issuable with respect to the Performance Shares based on Incyte’s achievement of the performance goals for the Performance Period, and provided further that you are still performing service as an employee, director, consultant or advisor of Incyte (or any parent or subsidiary). For purposes of these provisions, Incyte or any parent or subsidiary for which you are performing service is referred to as the “Employer.”</w:t>
      </w:r>
    </w:p>
    <w:p>
      <w:pPr>
        <w:spacing w:after="0" w:line="187" w:lineRule="exact"/>
        <w:rPr>
          <w:sz w:val="20"/>
          <w:szCs w:val="20"/>
          <w:color w:val="auto"/>
        </w:rPr>
      </w:pPr>
    </w:p>
    <w:p>
      <w:pPr>
        <w:sectPr>
          <w:pgSz w:w="11900" w:h="16838" w:orient="portrait"/>
          <w:cols w:equalWidth="0" w:num="2">
            <w:col w:w="2100" w:space="720"/>
            <w:col w:w="6880"/>
          </w:cols>
          <w:pgMar w:left="1080" w:top="895" w:right="1119" w:bottom="1440" w:gutter="0" w:footer="0" w:header="0"/>
          <w:type w:val="continuous"/>
        </w:sectPr>
      </w:pPr>
    </w:p>
    <w:p>
      <w:pPr>
        <w:ind w:left="2820" w:right="100"/>
        <w:spacing w:after="0" w:line="239" w:lineRule="auto"/>
        <w:rPr>
          <w:sz w:val="20"/>
          <w:szCs w:val="20"/>
          <w:color w:val="auto"/>
        </w:rPr>
      </w:pPr>
      <w:r>
        <w:rPr>
          <w:rFonts w:ascii="Times New Roman" w:cs="Times New Roman" w:eastAsia="Times New Roman" w:hAnsi="Times New Roman"/>
          <w:sz w:val="22"/>
          <w:szCs w:val="22"/>
          <w:color w:val="auto"/>
        </w:rPr>
        <w:t>If this Agreement is not assumed or replaced with a new comparable award by the Employer (with the determination of comparability to be made by the Committee), then there would be full accelerated vesting of the Performance Shares upon the Change in Control.</w:t>
      </w:r>
    </w:p>
    <w:p>
      <w:pPr>
        <w:spacing w:after="0" w:line="180" w:lineRule="exact"/>
        <w:rPr>
          <w:sz w:val="20"/>
          <w:szCs w:val="20"/>
          <w:color w:val="auto"/>
        </w:rPr>
      </w:pPr>
    </w:p>
    <w:p>
      <w:pPr>
        <w:ind w:left="2820"/>
        <w:spacing w:after="0" w:line="239" w:lineRule="auto"/>
        <w:rPr>
          <w:sz w:val="20"/>
          <w:szCs w:val="20"/>
          <w:color w:val="auto"/>
        </w:rPr>
      </w:pPr>
      <w:r>
        <w:rPr>
          <w:rFonts w:ascii="Times New Roman" w:cs="Times New Roman" w:eastAsia="Times New Roman" w:hAnsi="Times New Roman"/>
          <w:sz w:val="22"/>
          <w:szCs w:val="22"/>
          <w:color w:val="auto"/>
        </w:rPr>
        <w:t>If this Agreement is assumed or replaced with a new comparable award, then the Performance Shares (or such comparable award) would vest in full if within one year following the Change in Control your service for the Employer is terminated without Cause or is Constructively Terminated.</w:t>
      </w:r>
    </w:p>
    <w:p>
      <w:pPr>
        <w:spacing w:after="0" w:line="18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For purposes of this Agreement, “Cause” shall mean</w:t>
      </w:r>
    </w:p>
    <w:p>
      <w:pPr>
        <w:spacing w:after="0" w:line="206" w:lineRule="exact"/>
        <w:rPr>
          <w:sz w:val="20"/>
          <w:szCs w:val="20"/>
          <w:color w:val="auto"/>
        </w:rPr>
      </w:pPr>
    </w:p>
    <w:p>
      <w:pPr>
        <w:ind w:left="2820" w:right="20"/>
        <w:spacing w:after="0" w:line="245" w:lineRule="auto"/>
        <w:rPr>
          <w:sz w:val="20"/>
          <w:szCs w:val="20"/>
          <w:color w:val="auto"/>
        </w:rPr>
      </w:pPr>
      <w:r>
        <w:rPr>
          <w:rFonts w:ascii="Times New Roman" w:cs="Times New Roman" w:eastAsia="Times New Roman" w:hAnsi="Times New Roman"/>
          <w:sz w:val="21"/>
          <w:szCs w:val="21"/>
          <w:color w:val="auto"/>
        </w:rPr>
        <w:t>(i) in the case where there is no employment agreement, consulting agreement, change in control agreement or similar agreement or plan in effect between Incyte and you on the date specified in the award notice (or where there is such an agreement or plan but it does not define “cause” (or words of like import)): (A) your continued failure to perform your duties with the Employer (other than any such failure resulting from incapacity due to physical or mental illness or total and permanent disability, which incapacity has been recognized as such by the Committee or its designee); (B) engagement in illegal conduct, gross misconduct or dishonesty that is injurious to the Employer or its affiliates; (C) unauthorized disclosure or misuse of any of the Employer’s secret, confidential or proprietary information, knowledge or data relating to the Employer</w:t>
      </w:r>
    </w:p>
    <w:p>
      <w:pPr>
        <w:sectPr>
          <w:pgSz w:w="11900" w:h="16838" w:orient="portrait"/>
          <w:cols w:equalWidth="0" w:num="1">
            <w:col w:w="9700"/>
          </w:cols>
          <w:pgMar w:left="1080" w:top="895" w:right="11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353695</wp:posOffset>
            </wp:positionV>
            <wp:extent cx="629221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00"/>
          </w:cols>
          <w:pgMar w:left="1080" w:top="895" w:right="1119" w:bottom="1440" w:gutter="0" w:footer="0" w:header="0"/>
          <w:type w:val="continuous"/>
        </w:sectPr>
      </w:pPr>
    </w:p>
    <w:bookmarkStart w:id="121" w:name="page122"/>
    <w:bookmarkEnd w:id="121"/>
    <w:p>
      <w:pPr>
        <w:ind w:left="2820" w:right="180"/>
        <w:spacing w:after="0" w:line="258" w:lineRule="auto"/>
        <w:rPr>
          <w:sz w:val="20"/>
          <w:szCs w:val="20"/>
          <w:color w:val="auto"/>
        </w:rPr>
      </w:pPr>
      <w:r>
        <w:rPr>
          <w:rFonts w:ascii="Times New Roman" w:cs="Times New Roman" w:eastAsia="Times New Roman" w:hAnsi="Times New Roman"/>
          <w:sz w:val="22"/>
          <w:szCs w:val="22"/>
          <w:color w:val="auto"/>
        </w:rPr>
        <w:t>or its affiliates; or (D) violation of any of the employee policies or procedures of the Employer; or</w:t>
      </w:r>
    </w:p>
    <w:p>
      <w:pPr>
        <w:spacing w:after="0" w:line="158" w:lineRule="exact"/>
        <w:rPr>
          <w:sz w:val="20"/>
          <w:szCs w:val="20"/>
          <w:color w:val="auto"/>
        </w:rPr>
      </w:pPr>
    </w:p>
    <w:p>
      <w:pPr>
        <w:ind w:left="2820" w:right="40" w:hanging="5"/>
        <w:spacing w:after="0" w:line="239" w:lineRule="auto"/>
        <w:tabs>
          <w:tab w:leader="none" w:pos="313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where there is an employment agreement, consulting agreement, change in control agreement or similar agreement or plan in effect between Incyte and you on the date specified in the award notice that defines “cause” (or words of like import), as defined under such agreement or plan.</w:t>
      </w:r>
    </w:p>
    <w:p>
      <w:pPr>
        <w:spacing w:after="0" w:line="18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For purposes of this Agreement, “Constructive Termination” shall mean</w:t>
      </w:r>
    </w:p>
    <w:p>
      <w:pPr>
        <w:spacing w:after="0" w:line="206" w:lineRule="exact"/>
        <w:rPr>
          <w:sz w:val="20"/>
          <w:szCs w:val="20"/>
          <w:color w:val="auto"/>
        </w:rPr>
      </w:pPr>
    </w:p>
    <w:p>
      <w:pPr>
        <w:ind w:left="2840" w:hanging="25"/>
        <w:spacing w:after="0" w:line="244" w:lineRule="auto"/>
        <w:tabs>
          <w:tab w:leader="none" w:pos="3082"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where there is no employment agreement, consulting agreement, change in control agreement or similar agreement or plan in effect between Incyte and you on the date specified in the award notice (or where there is such an agreement or plan but it does not define “constructive termination” (or words of like import)): (A) the assignment to you of any duties fundamentally inconsistent with your position, authority, duties or responsibilities as in effect immediately prior to a Change in Control (or any other action by the Employer that results in a fundamental diminishment in such position, authority, duties or responsibilities as in effect immediately prior to a Change in Control), provided that neither a mere change in title alone nor reassignment to a position that is substantially similar to the position held prior to the Change in Control shall constitute fundamental diminishment; (B) the Employer requiring you to be based at any office or location more than 50 miles from the office or location where you are based immediately prior to the Change in Control; or (C) any reduction in your annual base salary or target bonus opportunity (if any) from that which exists immediately prior to a Change in Control; or</w:t>
      </w:r>
    </w:p>
    <w:p>
      <w:pPr>
        <w:spacing w:after="0" w:line="175" w:lineRule="exact"/>
        <w:rPr>
          <w:rFonts w:ascii="Times New Roman" w:cs="Times New Roman" w:eastAsia="Times New Roman" w:hAnsi="Times New Roman"/>
          <w:sz w:val="21"/>
          <w:szCs w:val="21"/>
          <w:color w:val="auto"/>
        </w:rPr>
      </w:pPr>
    </w:p>
    <w:p>
      <w:pPr>
        <w:ind w:left="2820" w:right="40" w:hanging="5"/>
        <w:spacing w:after="0" w:line="238" w:lineRule="auto"/>
        <w:tabs>
          <w:tab w:leader="none" w:pos="313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where there is an employment agreement, consulting agreement, change in control agreement or similar agreement or plan in effect between Incyte and you on the date specified in the award notice that defines “constructive termination” (or words of like import), as defined under such agreement or plan.</w:t>
      </w:r>
    </w:p>
    <w:p>
      <w:pPr>
        <w:spacing w:after="0" w:line="173" w:lineRule="exact"/>
        <w:rPr>
          <w:sz w:val="20"/>
          <w:szCs w:val="20"/>
          <w:color w:val="auto"/>
        </w:rPr>
      </w:pPr>
    </w:p>
    <w:p>
      <w:pPr>
        <w:ind w:left="2820" w:hanging="2807"/>
        <w:spacing w:after="0" w:line="238" w:lineRule="auto"/>
        <w:tabs>
          <w:tab w:leader="none" w:pos="2800" w:val="left"/>
        </w:tabs>
        <w:rPr>
          <w:sz w:val="20"/>
          <w:szCs w:val="20"/>
          <w:color w:val="auto"/>
        </w:rPr>
      </w:pPr>
      <w:r>
        <w:rPr>
          <w:rFonts w:ascii="Times New Roman" w:cs="Times New Roman" w:eastAsia="Times New Roman" w:hAnsi="Times New Roman"/>
          <w:sz w:val="22"/>
          <w:szCs w:val="22"/>
          <w:b w:val="1"/>
          <w:bCs w:val="1"/>
          <w:color w:val="auto"/>
        </w:rPr>
        <w:t>Award Nontransferable</w:t>
      </w:r>
      <w:r>
        <w:rPr>
          <w:sz w:val="20"/>
          <w:szCs w:val="20"/>
          <w:color w:val="auto"/>
        </w:rPr>
        <w:tab/>
      </w:r>
      <w:r>
        <w:rPr>
          <w:rFonts w:ascii="Times New Roman" w:cs="Times New Roman" w:eastAsia="Times New Roman" w:hAnsi="Times New Roman"/>
          <w:sz w:val="22"/>
          <w:szCs w:val="22"/>
          <w:color w:val="auto"/>
        </w:rPr>
        <w:t>You may not sell, transfer, assign, pledge or otherwise dispose of any of your Performance Shares. For instance, you may not use your Performance Shares as security for a loan. If you attempt to do any of these things, your Performance Shares will immediately become invalid. You may, however, dispose of any vested but unsettled Performance Shares in your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353695</wp:posOffset>
            </wp:positionV>
            <wp:extent cx="629221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20"/>
          </w:cols>
          <w:pgMar w:left="1080" w:top="895" w:right="1099" w:bottom="1440" w:gutter="0" w:footer="0" w:header="0"/>
        </w:sectPr>
      </w:pPr>
    </w:p>
    <w:bookmarkStart w:id="122" w:name="page123"/>
    <w:bookmarkEnd w:id="122"/>
    <w:p>
      <w:pPr>
        <w:ind w:left="2820" w:right="560"/>
        <w:spacing w:after="0" w:line="244" w:lineRule="auto"/>
        <w:rPr>
          <w:sz w:val="20"/>
          <w:szCs w:val="20"/>
          <w:color w:val="auto"/>
        </w:rPr>
      </w:pPr>
      <w:r>
        <w:rPr>
          <w:rFonts w:ascii="Times New Roman" w:cs="Times New Roman" w:eastAsia="Times New Roman" w:hAnsi="Times New Roman"/>
          <w:sz w:val="22"/>
          <w:szCs w:val="22"/>
          <w:color w:val="auto"/>
        </w:rPr>
        <w:t>Regardless of any marital property settlement agreement, Incyte is not obligated to recognize your former spouse’s interest in your Performance Shares in any way.</w:t>
      </w:r>
    </w:p>
    <w:p>
      <w:pPr>
        <w:sectPr>
          <w:pgSz w:w="11900" w:h="16838" w:orient="portrait"/>
          <w:cols w:equalWidth="0" w:num="1">
            <w:col w:w="9700"/>
          </w:cols>
          <w:pgMar w:left="1080" w:top="895" w:right="1119" w:bottom="1440" w:gutter="0" w:footer="0" w:header="0"/>
        </w:sectPr>
      </w:pP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Beneficiary Designation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You may designate a beneficiary in writing to receive your Performance Shares in the event you die after the end of the Performance Period and before settlement of the Performance Shares. A beneficiary designation must be filed with Incyte on the proper form, and it will be recognized only if it has been received at Incyte’s headquarters before your death. If you file no beneficiary designation or if none of your designated beneficiaries survives you, then your estate will receive any settlement of Performance Shares that you are entitled to at the time of your death.</w:t>
      </w:r>
    </w:p>
    <w:p>
      <w:pPr>
        <w:spacing w:after="0" w:line="174" w:lineRule="exact"/>
        <w:rPr>
          <w:sz w:val="20"/>
          <w:szCs w:val="20"/>
          <w:color w:val="auto"/>
        </w:rPr>
      </w:pPr>
    </w:p>
    <w:p>
      <w:pPr>
        <w:sectPr>
          <w:pgSz w:w="11900" w:h="16838" w:orient="portrait"/>
          <w:cols w:equalWidth="0" w:num="2">
            <w:col w:w="2200" w:space="620"/>
            <w:col w:w="6880"/>
          </w:cols>
          <w:pgMar w:left="1080" w:top="895" w:right="111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b w:val="1"/>
          <w:bCs w:val="1"/>
          <w:color w:val="auto"/>
        </w:rPr>
        <w:t>Restrictions on Resale</w:t>
      </w:r>
    </w:p>
    <w:p>
      <w:pPr>
        <w:spacing w:after="0" w:line="20" w:lineRule="exact"/>
        <w:rPr>
          <w:sz w:val="20"/>
          <w:szCs w:val="20"/>
          <w:color w:val="auto"/>
        </w:rPr>
      </w:pPr>
      <w:r>
        <w:rPr>
          <w:sz w:val="20"/>
          <w:szCs w:val="20"/>
          <w:color w:val="auto"/>
        </w:rPr>
        <w:br w:type="column"/>
      </w:r>
    </w:p>
    <w:p>
      <w:pPr>
        <w:ind w:right="140"/>
        <w:spacing w:after="0" w:line="238" w:lineRule="auto"/>
        <w:rPr>
          <w:sz w:val="20"/>
          <w:szCs w:val="20"/>
          <w:color w:val="auto"/>
        </w:rPr>
      </w:pPr>
      <w:r>
        <w:rPr>
          <w:rFonts w:ascii="Times New Roman" w:cs="Times New Roman" w:eastAsia="Times New Roman" w:hAnsi="Times New Roman"/>
          <w:sz w:val="22"/>
          <w:szCs w:val="22"/>
          <w:color w:val="auto"/>
        </w:rPr>
        <w:t>By accepting the award notice, you agree not to sell any shares of Incyte common stock issued upon settlement of the Performance Shares at a time when applicable laws or Incyte policies prohibit a sale. This restriction will apply as long as you are an employee, director, consultant or advisor of Incyte (or any subsidiary).</w:t>
      </w:r>
    </w:p>
    <w:p>
      <w:pPr>
        <w:spacing w:after="0" w:line="173" w:lineRule="exact"/>
        <w:rPr>
          <w:sz w:val="20"/>
          <w:szCs w:val="20"/>
          <w:color w:val="auto"/>
        </w:rPr>
      </w:pPr>
    </w:p>
    <w:p>
      <w:pPr>
        <w:sectPr>
          <w:pgSz w:w="11900" w:h="16838" w:orient="portrait"/>
          <w:cols w:equalWidth="0" w:num="2">
            <w:col w:w="2100" w:space="720"/>
            <w:col w:w="6880"/>
          </w:cols>
          <w:pgMar w:left="1080" w:top="895" w:right="111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b w:val="1"/>
          <w:bCs w:val="1"/>
          <w:color w:val="auto"/>
        </w:rPr>
        <w:t>Retention Rights</w:t>
      </w:r>
    </w:p>
    <w:p>
      <w:pPr>
        <w:spacing w:after="0" w:line="20" w:lineRule="exact"/>
        <w:rPr>
          <w:sz w:val="20"/>
          <w:szCs w:val="20"/>
          <w:color w:val="auto"/>
        </w:rPr>
      </w:pPr>
      <w:r>
        <w:rPr>
          <w:sz w:val="20"/>
          <w:szCs w:val="20"/>
          <w:color w:val="auto"/>
        </w:rPr>
        <w:br w:type="column"/>
      </w:r>
    </w:p>
    <w:p>
      <w:pPr>
        <w:ind w:right="40"/>
        <w:spacing w:after="0" w:line="244" w:lineRule="auto"/>
        <w:rPr>
          <w:sz w:val="20"/>
          <w:szCs w:val="20"/>
          <w:color w:val="auto"/>
        </w:rPr>
      </w:pPr>
      <w:r>
        <w:rPr>
          <w:rFonts w:ascii="Times New Roman" w:cs="Times New Roman" w:eastAsia="Times New Roman" w:hAnsi="Times New Roman"/>
          <w:sz w:val="22"/>
          <w:szCs w:val="22"/>
          <w:color w:val="auto"/>
        </w:rPr>
        <w:t>Neither your award nor this Agreement gives you the right to be retained by Incyte (or any subsidiary) in any capacity. Incyte (and any subsidiaries) reserve the right to terminate your service at any time, with or without cause.</w:t>
      </w:r>
    </w:p>
    <w:p>
      <w:pPr>
        <w:spacing w:after="0" w:line="169" w:lineRule="exact"/>
        <w:rPr>
          <w:sz w:val="20"/>
          <w:szCs w:val="20"/>
          <w:color w:val="auto"/>
        </w:rPr>
      </w:pPr>
    </w:p>
    <w:p>
      <w:pPr>
        <w:sectPr>
          <w:pgSz w:w="11900" w:h="16838" w:orient="portrait"/>
          <w:cols w:equalWidth="0" w:num="2">
            <w:col w:w="2100" w:space="720"/>
            <w:col w:w="6880"/>
          </w:cols>
          <w:pgMar w:left="1080" w:top="895" w:right="111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b w:val="1"/>
          <w:bCs w:val="1"/>
          <w:color w:val="auto"/>
        </w:rPr>
        <w:t>Adjustments</w:t>
      </w:r>
    </w:p>
    <w:p>
      <w:pPr>
        <w:spacing w:after="0" w:line="20" w:lineRule="exact"/>
        <w:rPr>
          <w:sz w:val="20"/>
          <w:szCs w:val="20"/>
          <w:color w:val="auto"/>
        </w:rPr>
      </w:pPr>
      <w:r>
        <w:rPr>
          <w:sz w:val="20"/>
          <w:szCs w:val="20"/>
          <w:color w:val="auto"/>
        </w:rPr>
        <w:br w:type="column"/>
      </w:r>
    </w:p>
    <w:p>
      <w:pPr>
        <w:ind w:right="100"/>
        <w:spacing w:after="0" w:line="244" w:lineRule="auto"/>
        <w:rPr>
          <w:sz w:val="20"/>
          <w:szCs w:val="20"/>
          <w:color w:val="auto"/>
        </w:rPr>
      </w:pPr>
      <w:r>
        <w:rPr>
          <w:rFonts w:ascii="Times New Roman" w:cs="Times New Roman" w:eastAsia="Times New Roman" w:hAnsi="Times New Roman"/>
          <w:sz w:val="22"/>
          <w:szCs w:val="22"/>
          <w:color w:val="auto"/>
        </w:rPr>
        <w:t>In the event of a stock split, a stock dividend or a similar change in Incyte common stock, the number of your Performance Shares covered by this award may be adjusted pursuant to the Plan.</w:t>
      </w:r>
    </w:p>
    <w:p>
      <w:pPr>
        <w:spacing w:after="0" w:line="169" w:lineRule="exact"/>
        <w:rPr>
          <w:sz w:val="20"/>
          <w:szCs w:val="20"/>
          <w:color w:val="auto"/>
        </w:rPr>
      </w:pPr>
    </w:p>
    <w:p>
      <w:pPr>
        <w:sectPr>
          <w:pgSz w:w="11900" w:h="16838" w:orient="portrait"/>
          <w:cols w:equalWidth="0" w:num="2">
            <w:col w:w="2100" w:space="720"/>
            <w:col w:w="6880"/>
          </w:cols>
          <w:pgMar w:left="1080" w:top="895" w:right="1119" w:bottom="1440" w:gutter="0" w:footer="0" w:header="0"/>
          <w:type w:val="continuous"/>
        </w:sectPr>
      </w:pPr>
    </w:p>
    <w:p>
      <w:pPr>
        <w:spacing w:after="0" w:line="286" w:lineRule="auto"/>
        <w:rPr>
          <w:sz w:val="20"/>
          <w:szCs w:val="20"/>
          <w:color w:val="auto"/>
        </w:rPr>
      </w:pPr>
      <w:r>
        <w:rPr>
          <w:rFonts w:ascii="Times New Roman" w:cs="Times New Roman" w:eastAsia="Times New Roman" w:hAnsi="Times New Roman"/>
          <w:sz w:val="21"/>
          <w:szCs w:val="21"/>
          <w:b w:val="1"/>
          <w:bCs w:val="1"/>
          <w:color w:val="auto"/>
        </w:rPr>
        <w:t>Recovery and Reimbursement of Gain</w:t>
      </w:r>
    </w:p>
    <w:p>
      <w:pPr>
        <w:spacing w:after="0" w:line="20" w:lineRule="exact"/>
        <w:rPr>
          <w:sz w:val="20"/>
          <w:szCs w:val="20"/>
          <w:color w:val="auto"/>
        </w:rPr>
      </w:pPr>
      <w:r>
        <w:rPr>
          <w:sz w:val="20"/>
          <w:szCs w:val="20"/>
          <w:color w:val="auto"/>
        </w:rPr>
        <w:br w:type="column"/>
      </w:r>
    </w:p>
    <w:p>
      <w:pPr>
        <w:ind w:right="240"/>
        <w:spacing w:after="0" w:line="251" w:lineRule="auto"/>
        <w:rPr>
          <w:sz w:val="20"/>
          <w:szCs w:val="20"/>
          <w:color w:val="auto"/>
        </w:rPr>
      </w:pPr>
      <w:r>
        <w:rPr>
          <w:rFonts w:ascii="Times New Roman" w:cs="Times New Roman" w:eastAsia="Times New Roman" w:hAnsi="Times New Roman"/>
          <w:sz w:val="21"/>
          <w:szCs w:val="21"/>
          <w:color w:val="auto"/>
        </w:rPr>
        <w:t>Incyte shall have the right to recover, or receive reimbursement for, any compensation or profit realized by the issuance or settlement of Performance Shares under this Agreement, or by the disposition of any shares issued upon settlement of the Performance Shares, to the extent Incyte has such a right of recovery or reimbursement under applicable securities laws.</w:t>
      </w:r>
    </w:p>
    <w:p>
      <w:pPr>
        <w:spacing w:after="0" w:line="164" w:lineRule="exact"/>
        <w:rPr>
          <w:sz w:val="20"/>
          <w:szCs w:val="20"/>
          <w:color w:val="auto"/>
        </w:rPr>
      </w:pPr>
    </w:p>
    <w:p>
      <w:pPr>
        <w:sectPr>
          <w:pgSz w:w="11900" w:h="16838" w:orient="portrait"/>
          <w:cols w:equalWidth="0" w:num="2">
            <w:col w:w="2220" w:space="600"/>
            <w:col w:w="6880"/>
          </w:cols>
          <w:pgMar w:left="1080" w:top="895" w:right="1119" w:bottom="1440" w:gutter="0" w:footer="0" w:header="0"/>
          <w:type w:val="continuous"/>
        </w:sectPr>
      </w:pPr>
    </w:p>
    <w:p>
      <w:pPr>
        <w:spacing w:after="0" w:line="286" w:lineRule="auto"/>
        <w:rPr>
          <w:sz w:val="20"/>
          <w:szCs w:val="20"/>
          <w:color w:val="auto"/>
        </w:rPr>
      </w:pPr>
      <w:r>
        <w:rPr>
          <w:rFonts w:ascii="Times New Roman" w:cs="Times New Roman" w:eastAsia="Times New Roman" w:hAnsi="Times New Roman"/>
          <w:sz w:val="21"/>
          <w:szCs w:val="21"/>
          <w:b w:val="1"/>
          <w:bCs w:val="1"/>
          <w:color w:val="auto"/>
        </w:rPr>
        <w:t>Compliance with Section 409A of the Code</w:t>
      </w:r>
    </w:p>
    <w:p>
      <w:pPr>
        <w:spacing w:after="0" w:line="20" w:lineRule="exact"/>
        <w:rPr>
          <w:sz w:val="20"/>
          <w:szCs w:val="20"/>
          <w:color w:val="auto"/>
        </w:rPr>
      </w:pPr>
      <w:r>
        <w:rPr>
          <w:sz w:val="20"/>
          <w:szCs w:val="20"/>
          <w:color w:val="auto"/>
        </w:rPr>
        <w:br w:type="column"/>
      </w:r>
    </w:p>
    <w:p>
      <w:pPr>
        <w:ind w:right="140"/>
        <w:spacing w:after="0" w:line="234" w:lineRule="auto"/>
        <w:rPr>
          <w:sz w:val="20"/>
          <w:szCs w:val="20"/>
          <w:color w:val="auto"/>
        </w:rPr>
      </w:pPr>
      <w:r>
        <w:rPr>
          <w:rFonts w:ascii="Times New Roman" w:cs="Times New Roman" w:eastAsia="Times New Roman" w:hAnsi="Times New Roman"/>
          <w:sz w:val="22"/>
          <w:szCs w:val="22"/>
          <w:color w:val="auto"/>
        </w:rPr>
        <w:t>Incyte intends that the issuance and settlement of the Performance Shares awarded under this Agreement will qualify for an exemption from the application of, or will otherwise comply with, Section 409A of the Internal Revenue Code. Incyte reserves the right, to the extent it deems necessary or advisable, to amend this Agreement without your consent in order to maintain such qualification for exemption or compliance. By reserving this right, however, Incyte is not guarantying that Section 409A will never apply to the issuance or settlement of the Performance Shares, or that the requirements of Section 409A will be complied with.</w:t>
      </w:r>
    </w:p>
    <w:p>
      <w:pPr>
        <w:spacing w:after="0" w:line="200" w:lineRule="exact"/>
        <w:rPr>
          <w:sz w:val="20"/>
          <w:szCs w:val="20"/>
          <w:color w:val="auto"/>
        </w:rPr>
      </w:pPr>
    </w:p>
    <w:p>
      <w:pPr>
        <w:sectPr>
          <w:pgSz w:w="11900" w:h="16838" w:orient="portrait"/>
          <w:cols w:equalWidth="0" w:num="2">
            <w:col w:w="2300" w:space="520"/>
            <w:col w:w="6880"/>
          </w:cols>
          <w:pgMar w:left="1080" w:top="895" w:right="11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353695</wp:posOffset>
            </wp:positionV>
            <wp:extent cx="629221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00"/>
          </w:cols>
          <w:pgMar w:left="1080" w:top="895" w:right="1119" w:bottom="1440" w:gutter="0" w:footer="0" w:header="0"/>
          <w:type w:val="continuous"/>
        </w:sectPr>
      </w:pPr>
    </w:p>
    <w:bookmarkStart w:id="123" w:name="page124"/>
    <w:bookmarkEnd w:id="123"/>
    <w:tbl>
      <w:tblPr>
        <w:tblLayout w:type="fixed"/>
        <w:tblInd w:w="0" w:type="dxa"/>
        <w:tblCellMar>
          <w:top w:w="0" w:type="dxa"/>
          <w:left w:w="0" w:type="dxa"/>
          <w:bottom w:w="0" w:type="dxa"/>
          <w:right w:w="0" w:type="dxa"/>
        </w:tblCellMar>
      </w:tblPr>
      <w:tr>
        <w:trPr>
          <w:trHeight w:val="253"/>
        </w:trPr>
        <w:tc>
          <w:tcPr>
            <w:tcW w:w="212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Applicable Law</w:t>
            </w:r>
          </w:p>
        </w:tc>
        <w:tc>
          <w:tcPr>
            <w:tcW w:w="7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This Agreement will be interpreted and enforced under the laws of the State of</w:t>
            </w:r>
          </w:p>
        </w:tc>
      </w:tr>
      <w:tr>
        <w:trPr>
          <w:trHeight w:val="282"/>
        </w:trPr>
        <w:tc>
          <w:tcPr>
            <w:tcW w:w="2120" w:type="dxa"/>
            <w:vAlign w:val="bottom"/>
          </w:tcPr>
          <w:p>
            <w:pPr>
              <w:spacing w:after="0"/>
              <w:rPr>
                <w:sz w:val="24"/>
                <w:szCs w:val="24"/>
                <w:color w:val="auto"/>
              </w:rPr>
            </w:pPr>
          </w:p>
        </w:tc>
        <w:tc>
          <w:tcPr>
            <w:tcW w:w="7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Delaware (without regard to its choice of law provisions).</w:t>
            </w:r>
          </w:p>
        </w:tc>
      </w:tr>
      <w:tr>
        <w:trPr>
          <w:trHeight w:val="416"/>
        </w:trPr>
        <w:tc>
          <w:tcPr>
            <w:tcW w:w="212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The Plan and Other</w:t>
            </w:r>
          </w:p>
        </w:tc>
        <w:tc>
          <w:tcPr>
            <w:tcW w:w="7800" w:type="dxa"/>
            <w:vAlign w:val="bottom"/>
          </w:tcPr>
          <w:p>
            <w:pPr>
              <w:ind w:left="800"/>
              <w:spacing w:after="0"/>
              <w:rPr>
                <w:sz w:val="20"/>
                <w:szCs w:val="20"/>
                <w:color w:val="auto"/>
              </w:rPr>
            </w:pPr>
            <w:r>
              <w:rPr>
                <w:rFonts w:ascii="Times New Roman" w:cs="Times New Roman" w:eastAsia="Times New Roman" w:hAnsi="Times New Roman"/>
                <w:sz w:val="22"/>
                <w:szCs w:val="22"/>
                <w:color w:val="auto"/>
                <w:w w:val="99"/>
              </w:rPr>
              <w:t>The text of the Incyte Corporation Amended and Restated 2010 Stock Incentive</w:t>
            </w:r>
          </w:p>
        </w:tc>
      </w:tr>
      <w:tr>
        <w:trPr>
          <w:trHeight w:val="247"/>
        </w:trPr>
        <w:tc>
          <w:tcPr>
            <w:tcW w:w="2120" w:type="dxa"/>
            <w:vAlign w:val="bottom"/>
          </w:tcPr>
          <w:p>
            <w:pPr>
              <w:ind w:left="100"/>
              <w:spacing w:after="0" w:line="247" w:lineRule="exact"/>
              <w:rPr>
                <w:sz w:val="20"/>
                <w:szCs w:val="20"/>
                <w:color w:val="auto"/>
              </w:rPr>
            </w:pPr>
            <w:r>
              <w:rPr>
                <w:rFonts w:ascii="Times New Roman" w:cs="Times New Roman" w:eastAsia="Times New Roman" w:hAnsi="Times New Roman"/>
                <w:sz w:val="22"/>
                <w:szCs w:val="22"/>
                <w:b w:val="1"/>
                <w:bCs w:val="1"/>
                <w:color w:val="auto"/>
              </w:rPr>
              <w:t>Agreements</w:t>
            </w:r>
          </w:p>
        </w:tc>
        <w:tc>
          <w:tcPr>
            <w:tcW w:w="7800" w:type="dxa"/>
            <w:vAlign w:val="bottom"/>
          </w:tcPr>
          <w:p>
            <w:pPr>
              <w:ind w:left="800"/>
              <w:spacing w:after="0" w:line="247" w:lineRule="exact"/>
              <w:rPr>
                <w:sz w:val="20"/>
                <w:szCs w:val="20"/>
                <w:color w:val="auto"/>
              </w:rPr>
            </w:pPr>
            <w:r>
              <w:rPr>
                <w:rFonts w:ascii="Times New Roman" w:cs="Times New Roman" w:eastAsia="Times New Roman" w:hAnsi="Times New Roman"/>
                <w:sz w:val="22"/>
                <w:szCs w:val="22"/>
                <w:color w:val="auto"/>
              </w:rPr>
              <w:t>Plan (the “Plan”) is incorporated in this Agreement by reference. All</w:t>
            </w:r>
          </w:p>
        </w:tc>
      </w:tr>
      <w:tr>
        <w:trPr>
          <w:trHeight w:val="243"/>
        </w:trPr>
        <w:tc>
          <w:tcPr>
            <w:tcW w:w="2120" w:type="dxa"/>
            <w:vAlign w:val="bottom"/>
          </w:tcPr>
          <w:p>
            <w:pPr>
              <w:spacing w:after="0"/>
              <w:rPr>
                <w:sz w:val="21"/>
                <w:szCs w:val="21"/>
                <w:color w:val="auto"/>
              </w:rPr>
            </w:pPr>
          </w:p>
        </w:tc>
        <w:tc>
          <w:tcPr>
            <w:tcW w:w="78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capitalized terms not defined in this Agreement are subject to definition under</w:t>
            </w:r>
          </w:p>
        </w:tc>
      </w:tr>
      <w:tr>
        <w:trPr>
          <w:trHeight w:val="243"/>
        </w:trPr>
        <w:tc>
          <w:tcPr>
            <w:tcW w:w="2120" w:type="dxa"/>
            <w:vAlign w:val="bottom"/>
          </w:tcPr>
          <w:p>
            <w:pPr>
              <w:spacing w:after="0"/>
              <w:rPr>
                <w:sz w:val="21"/>
                <w:szCs w:val="21"/>
                <w:color w:val="auto"/>
              </w:rPr>
            </w:pPr>
          </w:p>
        </w:tc>
        <w:tc>
          <w:tcPr>
            <w:tcW w:w="78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the Plan. If there is any discrepancy between the terms and conditions of this</w:t>
            </w:r>
          </w:p>
        </w:tc>
      </w:tr>
      <w:tr>
        <w:trPr>
          <w:trHeight w:val="243"/>
        </w:trPr>
        <w:tc>
          <w:tcPr>
            <w:tcW w:w="2120" w:type="dxa"/>
            <w:vAlign w:val="bottom"/>
          </w:tcPr>
          <w:p>
            <w:pPr>
              <w:spacing w:after="0"/>
              <w:rPr>
                <w:sz w:val="21"/>
                <w:szCs w:val="21"/>
                <w:color w:val="auto"/>
              </w:rPr>
            </w:pPr>
          </w:p>
        </w:tc>
        <w:tc>
          <w:tcPr>
            <w:tcW w:w="78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Agreement and the terms and conditions of the Plan, the terms and conditions</w:t>
            </w:r>
          </w:p>
        </w:tc>
      </w:tr>
      <w:tr>
        <w:trPr>
          <w:trHeight w:val="282"/>
        </w:trPr>
        <w:tc>
          <w:tcPr>
            <w:tcW w:w="2120" w:type="dxa"/>
            <w:vAlign w:val="bottom"/>
          </w:tcPr>
          <w:p>
            <w:pPr>
              <w:spacing w:after="0"/>
              <w:rPr>
                <w:sz w:val="24"/>
                <w:szCs w:val="24"/>
                <w:color w:val="auto"/>
              </w:rPr>
            </w:pPr>
          </w:p>
        </w:tc>
        <w:tc>
          <w:tcPr>
            <w:tcW w:w="7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of the Plan shall control.</w:t>
            </w:r>
          </w:p>
        </w:tc>
      </w:tr>
      <w:tr>
        <w:trPr>
          <w:trHeight w:val="420"/>
        </w:trPr>
        <w:tc>
          <w:tcPr>
            <w:tcW w:w="2120" w:type="dxa"/>
            <w:vAlign w:val="bottom"/>
          </w:tcPr>
          <w:p>
            <w:pPr>
              <w:spacing w:after="0"/>
              <w:rPr>
                <w:sz w:val="24"/>
                <w:szCs w:val="24"/>
                <w:color w:val="auto"/>
              </w:rPr>
            </w:pPr>
          </w:p>
        </w:tc>
        <w:tc>
          <w:tcPr>
            <w:tcW w:w="7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This Agreement and any Exhibit hereto, the award notice and the Plan</w:t>
            </w:r>
          </w:p>
        </w:tc>
      </w:tr>
      <w:tr>
        <w:trPr>
          <w:trHeight w:val="243"/>
        </w:trPr>
        <w:tc>
          <w:tcPr>
            <w:tcW w:w="2120" w:type="dxa"/>
            <w:vAlign w:val="bottom"/>
          </w:tcPr>
          <w:p>
            <w:pPr>
              <w:spacing w:after="0"/>
              <w:rPr>
                <w:sz w:val="21"/>
                <w:szCs w:val="21"/>
                <w:color w:val="auto"/>
              </w:rPr>
            </w:pPr>
          </w:p>
        </w:tc>
        <w:tc>
          <w:tcPr>
            <w:tcW w:w="78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constitute the entire understanding between you and Incyte regarding this</w:t>
            </w:r>
          </w:p>
        </w:tc>
      </w:tr>
      <w:tr>
        <w:trPr>
          <w:trHeight w:val="243"/>
        </w:trPr>
        <w:tc>
          <w:tcPr>
            <w:tcW w:w="2120" w:type="dxa"/>
            <w:vAlign w:val="bottom"/>
          </w:tcPr>
          <w:p>
            <w:pPr>
              <w:spacing w:after="0"/>
              <w:rPr>
                <w:sz w:val="21"/>
                <w:szCs w:val="21"/>
                <w:color w:val="auto"/>
              </w:rPr>
            </w:pPr>
          </w:p>
        </w:tc>
        <w:tc>
          <w:tcPr>
            <w:tcW w:w="78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award. Any prior agreements, commitments or negotiations concerning this</w:t>
            </w:r>
          </w:p>
        </w:tc>
      </w:tr>
      <w:tr>
        <w:trPr>
          <w:trHeight w:val="243"/>
        </w:trPr>
        <w:tc>
          <w:tcPr>
            <w:tcW w:w="2120" w:type="dxa"/>
            <w:vAlign w:val="bottom"/>
          </w:tcPr>
          <w:p>
            <w:pPr>
              <w:spacing w:after="0"/>
              <w:rPr>
                <w:sz w:val="21"/>
                <w:szCs w:val="21"/>
                <w:color w:val="auto"/>
              </w:rPr>
            </w:pPr>
          </w:p>
        </w:tc>
        <w:tc>
          <w:tcPr>
            <w:tcW w:w="78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award are superseded. This Agreement may be amended by the Committee</w:t>
            </w:r>
          </w:p>
        </w:tc>
      </w:tr>
      <w:tr>
        <w:trPr>
          <w:trHeight w:val="243"/>
        </w:trPr>
        <w:tc>
          <w:tcPr>
            <w:tcW w:w="2120" w:type="dxa"/>
            <w:vAlign w:val="bottom"/>
          </w:tcPr>
          <w:p>
            <w:pPr>
              <w:spacing w:after="0"/>
              <w:rPr>
                <w:sz w:val="21"/>
                <w:szCs w:val="21"/>
                <w:color w:val="auto"/>
              </w:rPr>
            </w:pPr>
          </w:p>
        </w:tc>
        <w:tc>
          <w:tcPr>
            <w:tcW w:w="78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without your consent; however, any amendment that would materially impair</w:t>
            </w:r>
          </w:p>
        </w:tc>
      </w:tr>
      <w:tr>
        <w:trPr>
          <w:trHeight w:val="243"/>
        </w:trPr>
        <w:tc>
          <w:tcPr>
            <w:tcW w:w="2120" w:type="dxa"/>
            <w:vAlign w:val="bottom"/>
          </w:tcPr>
          <w:p>
            <w:pPr>
              <w:spacing w:after="0"/>
              <w:rPr>
                <w:sz w:val="21"/>
                <w:szCs w:val="21"/>
                <w:color w:val="auto"/>
              </w:rPr>
            </w:pPr>
          </w:p>
        </w:tc>
        <w:tc>
          <w:tcPr>
            <w:tcW w:w="78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your rights or obligations under the Agreement may be made only by another</w:t>
            </w:r>
          </w:p>
        </w:tc>
      </w:tr>
      <w:tr>
        <w:trPr>
          <w:trHeight w:val="243"/>
        </w:trPr>
        <w:tc>
          <w:tcPr>
            <w:tcW w:w="2120" w:type="dxa"/>
            <w:vAlign w:val="bottom"/>
          </w:tcPr>
          <w:p>
            <w:pPr>
              <w:spacing w:after="0"/>
              <w:rPr>
                <w:sz w:val="21"/>
                <w:szCs w:val="21"/>
                <w:color w:val="auto"/>
              </w:rPr>
            </w:pPr>
          </w:p>
        </w:tc>
        <w:tc>
          <w:tcPr>
            <w:tcW w:w="78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written agreement, signed by you and Incyte, unless the Compensation</w:t>
            </w:r>
          </w:p>
        </w:tc>
      </w:tr>
      <w:tr>
        <w:trPr>
          <w:trHeight w:val="243"/>
        </w:trPr>
        <w:tc>
          <w:tcPr>
            <w:tcW w:w="2120" w:type="dxa"/>
            <w:vAlign w:val="bottom"/>
          </w:tcPr>
          <w:p>
            <w:pPr>
              <w:spacing w:after="0"/>
              <w:rPr>
                <w:sz w:val="21"/>
                <w:szCs w:val="21"/>
                <w:color w:val="auto"/>
              </w:rPr>
            </w:pPr>
          </w:p>
        </w:tc>
        <w:tc>
          <w:tcPr>
            <w:tcW w:w="78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Committee of Incyte’s Board of Directors has determined that the amendment</w:t>
            </w:r>
          </w:p>
        </w:tc>
      </w:tr>
      <w:tr>
        <w:trPr>
          <w:trHeight w:val="243"/>
        </w:trPr>
        <w:tc>
          <w:tcPr>
            <w:tcW w:w="2120" w:type="dxa"/>
            <w:vAlign w:val="bottom"/>
          </w:tcPr>
          <w:p>
            <w:pPr>
              <w:spacing w:after="0"/>
              <w:rPr>
                <w:sz w:val="21"/>
                <w:szCs w:val="21"/>
                <w:color w:val="auto"/>
              </w:rPr>
            </w:pPr>
          </w:p>
        </w:tc>
        <w:tc>
          <w:tcPr>
            <w:tcW w:w="78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is necessary in order to comply with the terms of the Plan (including an</w:t>
            </w:r>
          </w:p>
        </w:tc>
      </w:tr>
      <w:tr>
        <w:trPr>
          <w:trHeight w:val="243"/>
        </w:trPr>
        <w:tc>
          <w:tcPr>
            <w:tcW w:w="2120" w:type="dxa"/>
            <w:vAlign w:val="bottom"/>
          </w:tcPr>
          <w:p>
            <w:pPr>
              <w:spacing w:after="0"/>
              <w:rPr>
                <w:sz w:val="21"/>
                <w:szCs w:val="21"/>
                <w:color w:val="auto"/>
              </w:rPr>
            </w:pPr>
          </w:p>
        </w:tc>
        <w:tc>
          <w:tcPr>
            <w:tcW w:w="78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amendment to provide for settlement in cash if settlement in shares would be</w:t>
            </w:r>
          </w:p>
        </w:tc>
      </w:tr>
      <w:tr>
        <w:trPr>
          <w:trHeight w:val="282"/>
        </w:trPr>
        <w:tc>
          <w:tcPr>
            <w:tcW w:w="2120" w:type="dxa"/>
            <w:vAlign w:val="bottom"/>
          </w:tcPr>
          <w:p>
            <w:pPr>
              <w:spacing w:after="0"/>
              <w:rPr>
                <w:sz w:val="24"/>
                <w:szCs w:val="24"/>
                <w:color w:val="auto"/>
              </w:rPr>
            </w:pPr>
          </w:p>
        </w:tc>
        <w:tc>
          <w:tcPr>
            <w:tcW w:w="7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precluded by the share limitations of Section 5 of the Plan).</w:t>
            </w:r>
          </w:p>
        </w:tc>
      </w:tr>
      <w:tr>
        <w:trPr>
          <w:trHeight w:val="657"/>
        </w:trPr>
        <w:tc>
          <w:tcPr>
            <w:tcW w:w="2120" w:type="dxa"/>
            <w:vAlign w:val="bottom"/>
          </w:tcPr>
          <w:p>
            <w:pPr>
              <w:spacing w:after="0"/>
              <w:rPr>
                <w:sz w:val="24"/>
                <w:szCs w:val="24"/>
                <w:color w:val="auto"/>
              </w:rPr>
            </w:pPr>
          </w:p>
        </w:tc>
        <w:tc>
          <w:tcPr>
            <w:tcW w:w="7800" w:type="dxa"/>
            <w:vAlign w:val="bottom"/>
          </w:tcPr>
          <w:p>
            <w:pPr>
              <w:jc w:val="center"/>
              <w:ind w:right="2012"/>
              <w:spacing w:after="0"/>
              <w:rPr>
                <w:sz w:val="20"/>
                <w:szCs w:val="20"/>
                <w:color w:val="auto"/>
              </w:rPr>
            </w:pPr>
            <w:r>
              <w:rPr>
                <w:rFonts w:ascii="Times New Roman" w:cs="Times New Roman" w:eastAsia="Times New Roman" w:hAnsi="Times New Roman"/>
                <w:sz w:val="22"/>
                <w:szCs w:val="22"/>
                <w:b w:val="1"/>
                <w:bCs w:val="1"/>
                <w:i w:val="1"/>
                <w:iCs w:val="1"/>
                <w:color w:val="auto"/>
                <w:w w:val="98"/>
              </w:rPr>
              <w:t>By accepting the award notice, you agree to all</w:t>
            </w:r>
          </w:p>
        </w:tc>
      </w:tr>
      <w:tr>
        <w:trPr>
          <w:trHeight w:val="288"/>
        </w:trPr>
        <w:tc>
          <w:tcPr>
            <w:tcW w:w="2120" w:type="dxa"/>
            <w:vAlign w:val="bottom"/>
          </w:tcPr>
          <w:p>
            <w:pPr>
              <w:spacing w:after="0"/>
              <w:rPr>
                <w:sz w:val="24"/>
                <w:szCs w:val="24"/>
                <w:color w:val="auto"/>
              </w:rPr>
            </w:pPr>
          </w:p>
        </w:tc>
        <w:tc>
          <w:tcPr>
            <w:tcW w:w="7800" w:type="dxa"/>
            <w:vAlign w:val="bottom"/>
          </w:tcPr>
          <w:p>
            <w:pPr>
              <w:jc w:val="center"/>
              <w:ind w:right="2012"/>
              <w:spacing w:after="0"/>
              <w:rPr>
                <w:sz w:val="20"/>
                <w:szCs w:val="20"/>
                <w:color w:val="auto"/>
              </w:rPr>
            </w:pPr>
            <w:r>
              <w:rPr>
                <w:rFonts w:ascii="Times New Roman" w:cs="Times New Roman" w:eastAsia="Times New Roman" w:hAnsi="Times New Roman"/>
                <w:sz w:val="22"/>
                <w:szCs w:val="22"/>
                <w:b w:val="1"/>
                <w:bCs w:val="1"/>
                <w:i w:val="1"/>
                <w:iCs w:val="1"/>
                <w:color w:val="auto"/>
                <w:w w:val="97"/>
              </w:rPr>
              <w:t>of the terms and conditions described above and in the Plan.</w:t>
            </w:r>
          </w:p>
        </w:tc>
      </w:tr>
      <w:tr>
        <w:trPr>
          <w:trHeight w:val="675"/>
        </w:trPr>
        <w:tc>
          <w:tcPr>
            <w:tcW w:w="2120" w:type="dxa"/>
            <w:vAlign w:val="bottom"/>
          </w:tcPr>
          <w:p>
            <w:pPr>
              <w:spacing w:after="0"/>
              <w:rPr>
                <w:sz w:val="24"/>
                <w:szCs w:val="24"/>
                <w:color w:val="auto"/>
              </w:rPr>
            </w:pPr>
          </w:p>
        </w:tc>
        <w:tc>
          <w:tcPr>
            <w:tcW w:w="7800" w:type="dxa"/>
            <w:vAlign w:val="bottom"/>
          </w:tcPr>
          <w:p>
            <w:pPr>
              <w:jc w:val="center"/>
              <w:ind w:right="1992"/>
              <w:spacing w:after="0"/>
              <w:rPr>
                <w:sz w:val="20"/>
                <w:szCs w:val="20"/>
                <w:color w:val="auto"/>
              </w:rPr>
            </w:pPr>
            <w:r>
              <w:rPr>
                <w:rFonts w:ascii="Times New Roman" w:cs="Times New Roman" w:eastAsia="Times New Roman" w:hAnsi="Times New Roman"/>
                <w:sz w:val="22"/>
                <w:szCs w:val="22"/>
                <w:color w:val="auto"/>
              </w:rPr>
              <w:t>-6-</w:t>
            </w:r>
          </w:p>
        </w:tc>
      </w:tr>
      <w:tr>
        <w:trPr>
          <w:trHeight w:val="549"/>
        </w:trPr>
        <w:tc>
          <w:tcPr>
            <w:tcW w:w="2120" w:type="dxa"/>
            <w:vAlign w:val="bottom"/>
            <w:tcBorders>
              <w:bottom w:val="single" w:sz="8" w:color="auto"/>
            </w:tcBorders>
          </w:tcPr>
          <w:p>
            <w:pPr>
              <w:spacing w:after="0"/>
              <w:rPr>
                <w:sz w:val="24"/>
                <w:szCs w:val="24"/>
                <w:color w:val="auto"/>
              </w:rPr>
            </w:pPr>
          </w:p>
        </w:tc>
        <w:tc>
          <w:tcPr>
            <w:tcW w:w="78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85" w:right="999" w:bottom="1440" w:gutter="0" w:footer="0" w:header="0"/>
        </w:sectPr>
      </w:pPr>
    </w:p>
    <w:bookmarkStart w:id="124" w:name="page125"/>
    <w:bookmarkEnd w:id="12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Hervé Hoppenot, certify that:</w:t>
      </w:r>
    </w:p>
    <w:p>
      <w:pPr>
        <w:spacing w:after="0" w:line="198" w:lineRule="exact"/>
        <w:rPr>
          <w:sz w:val="20"/>
          <w:szCs w:val="20"/>
          <w:color w:val="auto"/>
        </w:rPr>
      </w:pPr>
    </w:p>
    <w:p>
      <w:pPr>
        <w:ind w:left="560" w:hanging="510"/>
        <w:spacing w:after="0"/>
        <w:tabs>
          <w:tab w:leader="none" w:pos="5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Incyte Corporation;</w:t>
      </w:r>
    </w:p>
    <w:p>
      <w:pPr>
        <w:spacing w:after="0" w:line="198" w:lineRule="exact"/>
        <w:rPr>
          <w:rFonts w:ascii="Times New Roman" w:cs="Times New Roman" w:eastAsia="Times New Roman" w:hAnsi="Times New Roman"/>
          <w:sz w:val="18"/>
          <w:szCs w:val="18"/>
          <w:color w:val="auto"/>
        </w:rPr>
      </w:pPr>
    </w:p>
    <w:p>
      <w:pPr>
        <w:ind w:left="560" w:right="439" w:hanging="510"/>
        <w:spacing w:after="0" w:line="250" w:lineRule="auto"/>
        <w:tabs>
          <w:tab w:leader="none" w:pos="5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Times New Roman" w:cs="Times New Roman" w:eastAsia="Times New Roman" w:hAnsi="Times New Roman"/>
          <w:sz w:val="18"/>
          <w:szCs w:val="18"/>
          <w:color w:val="auto"/>
        </w:rPr>
      </w:pPr>
    </w:p>
    <w:p>
      <w:pPr>
        <w:ind w:left="560" w:right="319" w:hanging="510"/>
        <w:spacing w:after="0" w:line="250" w:lineRule="auto"/>
        <w:tabs>
          <w:tab w:leader="none" w:pos="5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ind w:left="560" w:right="159" w:hanging="510"/>
        <w:spacing w:after="0" w:line="250" w:lineRule="auto"/>
        <w:tabs>
          <w:tab w:leader="none" w:pos="5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rFonts w:ascii="Times New Roman" w:cs="Times New Roman" w:eastAsia="Times New Roman" w:hAnsi="Times New Roman"/>
          <w:sz w:val="18"/>
          <w:szCs w:val="18"/>
          <w:color w:val="auto"/>
        </w:rPr>
      </w:pPr>
    </w:p>
    <w:p>
      <w:pPr>
        <w:ind w:left="1080" w:right="159" w:hanging="517"/>
        <w:spacing w:after="0" w:line="245" w:lineRule="auto"/>
        <w:tabs>
          <w:tab w:leader="none" w:pos="10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Times New Roman" w:cs="Times New Roman" w:eastAsia="Times New Roman" w:hAnsi="Times New Roman"/>
          <w:sz w:val="18"/>
          <w:szCs w:val="18"/>
          <w:color w:val="auto"/>
        </w:rPr>
      </w:pPr>
    </w:p>
    <w:p>
      <w:pPr>
        <w:ind w:left="1080" w:right="259" w:hanging="517"/>
        <w:spacing w:after="0" w:line="245" w:lineRule="auto"/>
        <w:tabs>
          <w:tab w:leader="none" w:pos="10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Times New Roman" w:cs="Times New Roman" w:eastAsia="Times New Roman" w:hAnsi="Times New Roman"/>
          <w:sz w:val="18"/>
          <w:szCs w:val="18"/>
          <w:color w:val="auto"/>
        </w:rPr>
      </w:pPr>
    </w:p>
    <w:p>
      <w:pPr>
        <w:jc w:val="both"/>
        <w:ind w:left="1080" w:right="139" w:hanging="517"/>
        <w:spacing w:after="0" w:line="250" w:lineRule="auto"/>
        <w:tabs>
          <w:tab w:leader="none" w:pos="10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ind w:left="1080" w:right="119" w:hanging="517"/>
        <w:spacing w:after="0" w:line="245" w:lineRule="auto"/>
        <w:tabs>
          <w:tab w:leader="none" w:pos="10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Times New Roman" w:cs="Times New Roman" w:eastAsia="Times New Roman" w:hAnsi="Times New Roman"/>
          <w:sz w:val="18"/>
          <w:szCs w:val="18"/>
          <w:color w:val="auto"/>
        </w:rPr>
      </w:pPr>
    </w:p>
    <w:p>
      <w:pPr>
        <w:jc w:val="both"/>
        <w:ind w:left="560" w:right="479" w:hanging="510"/>
        <w:spacing w:after="0" w:line="250" w:lineRule="auto"/>
        <w:tabs>
          <w:tab w:leader="none" w:pos="5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left="1080" w:right="239" w:hanging="517"/>
        <w:spacing w:after="0" w:line="250" w:lineRule="auto"/>
        <w:tabs>
          <w:tab w:leader="none" w:pos="10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left="1080" w:right="359" w:hanging="517"/>
        <w:spacing w:after="0" w:line="266" w:lineRule="auto"/>
        <w:tabs>
          <w:tab w:leader="none" w:pos="10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November 5, 2020</w:t>
      </w:r>
    </w:p>
    <w:p>
      <w:pPr>
        <w:spacing w:after="0" w:line="21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HERVÉ HOPPENOT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8890</wp:posOffset>
            </wp:positionV>
            <wp:extent cx="28200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19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Hervé Hoppenot</w:t>
      </w:r>
    </w:p>
    <w:p>
      <w:pPr>
        <w:spacing w:after="0" w:line="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870585</wp:posOffset>
            </wp:positionV>
            <wp:extent cx="565785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25" w:name="page126"/>
    <w:bookmarkEnd w:id="12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Christiana Stamoulis, certify that:</w:t>
      </w:r>
    </w:p>
    <w:p>
      <w:pPr>
        <w:spacing w:after="0" w:line="198" w:lineRule="exact"/>
        <w:rPr>
          <w:sz w:val="20"/>
          <w:szCs w:val="20"/>
          <w:color w:val="auto"/>
        </w:rPr>
      </w:pPr>
    </w:p>
    <w:p>
      <w:pPr>
        <w:ind w:left="560" w:hanging="510"/>
        <w:spacing w:after="0"/>
        <w:tabs>
          <w:tab w:leader="none" w:pos="5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Incyte Corporation;</w:t>
      </w:r>
    </w:p>
    <w:p>
      <w:pPr>
        <w:spacing w:after="0" w:line="198" w:lineRule="exact"/>
        <w:rPr>
          <w:rFonts w:ascii="Times New Roman" w:cs="Times New Roman" w:eastAsia="Times New Roman" w:hAnsi="Times New Roman"/>
          <w:sz w:val="18"/>
          <w:szCs w:val="18"/>
          <w:color w:val="auto"/>
        </w:rPr>
      </w:pPr>
    </w:p>
    <w:p>
      <w:pPr>
        <w:ind w:left="560" w:right="439" w:hanging="510"/>
        <w:spacing w:after="0" w:line="250" w:lineRule="auto"/>
        <w:tabs>
          <w:tab w:leader="none" w:pos="5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Times New Roman" w:cs="Times New Roman" w:eastAsia="Times New Roman" w:hAnsi="Times New Roman"/>
          <w:sz w:val="18"/>
          <w:szCs w:val="18"/>
          <w:color w:val="auto"/>
        </w:rPr>
      </w:pPr>
    </w:p>
    <w:p>
      <w:pPr>
        <w:ind w:left="560" w:right="319" w:hanging="510"/>
        <w:spacing w:after="0" w:line="250" w:lineRule="auto"/>
        <w:tabs>
          <w:tab w:leader="none" w:pos="5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ind w:left="560" w:right="159" w:hanging="510"/>
        <w:spacing w:after="0" w:line="250" w:lineRule="auto"/>
        <w:tabs>
          <w:tab w:leader="none" w:pos="5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rFonts w:ascii="Times New Roman" w:cs="Times New Roman" w:eastAsia="Times New Roman" w:hAnsi="Times New Roman"/>
          <w:sz w:val="18"/>
          <w:szCs w:val="18"/>
          <w:color w:val="auto"/>
        </w:rPr>
      </w:pPr>
    </w:p>
    <w:p>
      <w:pPr>
        <w:ind w:left="1080" w:right="159" w:hanging="517"/>
        <w:spacing w:after="0" w:line="245" w:lineRule="auto"/>
        <w:tabs>
          <w:tab w:leader="none" w:pos="10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Times New Roman" w:cs="Times New Roman" w:eastAsia="Times New Roman" w:hAnsi="Times New Roman"/>
          <w:sz w:val="18"/>
          <w:szCs w:val="18"/>
          <w:color w:val="auto"/>
        </w:rPr>
      </w:pPr>
    </w:p>
    <w:p>
      <w:pPr>
        <w:ind w:left="1080" w:right="259" w:hanging="517"/>
        <w:spacing w:after="0" w:line="245" w:lineRule="auto"/>
        <w:tabs>
          <w:tab w:leader="none" w:pos="10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Times New Roman" w:cs="Times New Roman" w:eastAsia="Times New Roman" w:hAnsi="Times New Roman"/>
          <w:sz w:val="18"/>
          <w:szCs w:val="18"/>
          <w:color w:val="auto"/>
        </w:rPr>
      </w:pPr>
    </w:p>
    <w:p>
      <w:pPr>
        <w:jc w:val="both"/>
        <w:ind w:left="1080" w:right="139" w:hanging="517"/>
        <w:spacing w:after="0" w:line="250" w:lineRule="auto"/>
        <w:tabs>
          <w:tab w:leader="none" w:pos="10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ind w:left="1080" w:right="119" w:hanging="517"/>
        <w:spacing w:after="0" w:line="245" w:lineRule="auto"/>
        <w:tabs>
          <w:tab w:leader="none" w:pos="10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Times New Roman" w:cs="Times New Roman" w:eastAsia="Times New Roman" w:hAnsi="Times New Roman"/>
          <w:sz w:val="18"/>
          <w:szCs w:val="18"/>
          <w:color w:val="auto"/>
        </w:rPr>
      </w:pPr>
    </w:p>
    <w:p>
      <w:pPr>
        <w:jc w:val="both"/>
        <w:ind w:left="560" w:right="479" w:hanging="510"/>
        <w:spacing w:after="0" w:line="250" w:lineRule="auto"/>
        <w:tabs>
          <w:tab w:leader="none" w:pos="5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left="1080" w:right="239" w:hanging="517"/>
        <w:spacing w:after="0" w:line="250" w:lineRule="auto"/>
        <w:tabs>
          <w:tab w:leader="none" w:pos="10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left="1080" w:right="359" w:hanging="517"/>
        <w:spacing w:after="0" w:line="266" w:lineRule="auto"/>
        <w:tabs>
          <w:tab w:leader="none" w:pos="10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November 5, 2020</w:t>
      </w:r>
    </w:p>
    <w:p>
      <w:pPr>
        <w:spacing w:after="0" w:line="21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CHRISTIANA STAMOULIS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8890</wp:posOffset>
            </wp:positionV>
            <wp:extent cx="28200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9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Christiana Stamoulis</w:t>
      </w:r>
    </w:p>
    <w:p>
      <w:pPr>
        <w:spacing w:after="0" w:line="1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870585</wp:posOffset>
            </wp:positionV>
            <wp:extent cx="565785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20" w:right="1440" w:bottom="1440" w:gutter="0" w:footer="0" w:header="0"/>
        </w:sectPr>
      </w:pPr>
    </w:p>
    <w:bookmarkStart w:id="126" w:name="page127"/>
    <w:bookmarkEnd w:id="12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 PURSUANT TO</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78" w:lineRule="exact"/>
        <w:rPr>
          <w:sz w:val="20"/>
          <w:szCs w:val="20"/>
          <w:color w:val="auto"/>
        </w:rPr>
      </w:pPr>
    </w:p>
    <w:p>
      <w:pPr>
        <w:ind w:left="40" w:right="439" w:firstLine="648"/>
        <w:spacing w:after="0" w:line="245" w:lineRule="auto"/>
        <w:rPr>
          <w:sz w:val="20"/>
          <w:szCs w:val="20"/>
          <w:color w:val="auto"/>
        </w:rPr>
      </w:pPr>
      <w:r>
        <w:rPr>
          <w:rFonts w:ascii="Times New Roman" w:cs="Times New Roman" w:eastAsia="Times New Roman" w:hAnsi="Times New Roman"/>
          <w:sz w:val="18"/>
          <w:szCs w:val="18"/>
          <w:color w:val="auto"/>
        </w:rPr>
        <w:t>With reference to the Quarterly Report of Incyte Corporation (the “Company”) on Form 10-Q for the quarter ended September 30, 2020, as filed with the Securities and Exchange Commission on the date hereof (the “Report”), I, Hervé Hoppenot, Chief Executive Officer of the Company, certify, for the purposes of 18 U.S.C. § 1350, as adopted pursuant to § 906 of the Sarbanes-Oxley Act of 2002, that, to my knowledge:</w:t>
      </w:r>
    </w:p>
    <w:p>
      <w:pPr>
        <w:spacing w:after="0" w:line="167" w:lineRule="exact"/>
        <w:rPr>
          <w:sz w:val="20"/>
          <w:szCs w:val="20"/>
          <w:color w:val="auto"/>
        </w:rPr>
      </w:pPr>
    </w:p>
    <w:p>
      <w:pPr>
        <w:ind w:left="380" w:hanging="336"/>
        <w:spacing w:after="0"/>
        <w:tabs>
          <w:tab w:leader="none" w:pos="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360" w:right="279" w:hanging="316"/>
        <w:spacing w:after="0" w:line="266" w:lineRule="auto"/>
        <w:tabs>
          <w:tab w:leader="none" w:pos="38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HERVÉ HOPPENOT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8890</wp:posOffset>
            </wp:positionV>
            <wp:extent cx="28289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9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Hervé Hoppenot</w:t>
      </w:r>
    </w:p>
    <w:p>
      <w:pPr>
        <w:spacing w:after="0" w:line="1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Chief Executive Officer</w:t>
      </w:r>
    </w:p>
    <w:p>
      <w:pPr>
        <w:ind w:left="4500"/>
        <w:spacing w:after="0"/>
        <w:rPr>
          <w:sz w:val="20"/>
          <w:szCs w:val="20"/>
          <w:color w:val="auto"/>
        </w:rPr>
      </w:pPr>
      <w:r>
        <w:rPr>
          <w:rFonts w:ascii="Times New Roman" w:cs="Times New Roman" w:eastAsia="Times New Roman" w:hAnsi="Times New Roman"/>
          <w:sz w:val="18"/>
          <w:szCs w:val="18"/>
          <w:color w:val="auto"/>
        </w:rPr>
        <w:t>November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870585</wp:posOffset>
            </wp:positionV>
            <wp:extent cx="565785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20" w:right="1440" w:bottom="1440" w:gutter="0" w:footer="0" w:header="0"/>
        </w:sectPr>
      </w:pPr>
    </w:p>
    <w:bookmarkStart w:id="127" w:name="page128"/>
    <w:bookmarkEnd w:id="12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 PURSUANT TO</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78" w:lineRule="exact"/>
        <w:rPr>
          <w:sz w:val="20"/>
          <w:szCs w:val="20"/>
          <w:color w:val="auto"/>
        </w:rPr>
      </w:pPr>
    </w:p>
    <w:p>
      <w:pPr>
        <w:jc w:val="both"/>
        <w:ind w:left="40" w:right="379" w:firstLine="648"/>
        <w:spacing w:after="0" w:line="245" w:lineRule="auto"/>
        <w:rPr>
          <w:sz w:val="20"/>
          <w:szCs w:val="20"/>
          <w:color w:val="auto"/>
        </w:rPr>
      </w:pPr>
      <w:r>
        <w:rPr>
          <w:rFonts w:ascii="Times New Roman" w:cs="Times New Roman" w:eastAsia="Times New Roman" w:hAnsi="Times New Roman"/>
          <w:sz w:val="18"/>
          <w:szCs w:val="18"/>
          <w:color w:val="auto"/>
        </w:rPr>
        <w:t>With reference to the Quarterly Report of Incyte Corporation (the “Company”) on Form 10-Q for the quarter ended September 30, 2020, as filed with the Securities and Exchange Commission on the date hereof (the “Report”), I, Christiana Stamoulis, Chief Financial Officer of the Company, certify, for the purposes of 18 U.S.C. § 1350, as adopted pursuant to § 906 of the Sarbanes-Oxley Act of 2002, that, to my knowledge:</w:t>
      </w:r>
    </w:p>
    <w:p>
      <w:pPr>
        <w:spacing w:after="0" w:line="167" w:lineRule="exact"/>
        <w:rPr>
          <w:sz w:val="20"/>
          <w:szCs w:val="20"/>
          <w:color w:val="auto"/>
        </w:rPr>
      </w:pPr>
    </w:p>
    <w:p>
      <w:pPr>
        <w:ind w:left="380" w:hanging="336"/>
        <w:spacing w:after="0"/>
        <w:tabs>
          <w:tab w:leader="none" w:pos="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360" w:right="279" w:hanging="316"/>
        <w:spacing w:after="0" w:line="266" w:lineRule="auto"/>
        <w:tabs>
          <w:tab w:leader="none" w:pos="38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CHRISTIANA STAMOULIS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8890</wp:posOffset>
            </wp:positionV>
            <wp:extent cx="28289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9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Christiana Stamoulis</w:t>
      </w:r>
    </w:p>
    <w:p>
      <w:pPr>
        <w:spacing w:after="0" w:line="1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Chief Financial Officer</w:t>
      </w:r>
    </w:p>
    <w:p>
      <w:pPr>
        <w:ind w:left="4500"/>
        <w:spacing w:after="0"/>
        <w:rPr>
          <w:sz w:val="20"/>
          <w:szCs w:val="20"/>
          <w:color w:val="auto"/>
        </w:rPr>
      </w:pPr>
      <w:r>
        <w:rPr>
          <w:rFonts w:ascii="Times New Roman" w:cs="Times New Roman" w:eastAsia="Times New Roman" w:hAnsi="Times New Roman"/>
          <w:sz w:val="18"/>
          <w:szCs w:val="18"/>
          <w:color w:val="auto"/>
        </w:rPr>
        <w:t>November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870585</wp:posOffset>
            </wp:positionV>
            <wp:extent cx="565785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3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1."/>
      <w:numFmt w:val="decimal"/>
      <w:start w:val="1"/>
    </w:lvl>
  </w:abstractNum>
  <w:abstractNum w:abstractNumId="4">
    <w:nsid w:val="7C3DBD3D"/>
    <w:multiLevelType w:val="hybridMultilevel"/>
    <w:lvl w:ilvl="0">
      <w:lvlJc w:val="left"/>
      <w:lvlText w:val="%1."/>
      <w:numFmt w:val="decimal"/>
      <w:start w:val="2"/>
    </w:lvl>
  </w:abstractNum>
  <w:abstractNum w:abstractNumId="5">
    <w:nsid w:val="737B8DDC"/>
    <w:multiLevelType w:val="hybridMultilevel"/>
    <w:lvl w:ilvl="0">
      <w:lvlJc w:val="left"/>
      <w:lvlText w:val="%1."/>
      <w:numFmt w:val="decimal"/>
      <w:start w:val="3"/>
    </w:lvl>
  </w:abstractNum>
  <w:abstractNum w:abstractNumId="6">
    <w:nsid w:val="6CEAF087"/>
    <w:multiLevelType w:val="hybridMultilevel"/>
    <w:lvl w:ilvl="0">
      <w:lvlJc w:val="left"/>
      <w:lvlText w:val="%1."/>
      <w:numFmt w:val="decimal"/>
      <w:start w:val="4"/>
    </w:lvl>
  </w:abstractNum>
  <w:abstractNum w:abstractNumId="7">
    <w:nsid w:val="22221A70"/>
    <w:multiLevelType w:val="hybridMultilevel"/>
    <w:lvl w:ilvl="0">
      <w:lvlJc w:val="left"/>
      <w:lvlText w:val="%1."/>
      <w:numFmt w:val="decimal"/>
      <w:start w:val="5"/>
    </w:lvl>
  </w:abstractNum>
  <w:abstractNum w:abstractNumId="8">
    <w:nsid w:val="4516DDE9"/>
    <w:multiLevelType w:val="hybridMultilevel"/>
    <w:lvl w:ilvl="0">
      <w:lvlJc w:val="left"/>
      <w:lvlText w:val="%1."/>
      <w:numFmt w:val="decimal"/>
      <w:start w:val="8"/>
    </w:lvl>
  </w:abstractNum>
  <w:abstractNum w:abstractNumId="9">
    <w:nsid w:val="3006C83E"/>
    <w:multiLevelType w:val="hybridMultilevel"/>
    <w:lvl w:ilvl="0">
      <w:lvlJc w:val="left"/>
      <w:lvlText w:val="%1."/>
      <w:numFmt w:val="decimal"/>
      <w:start w:val="9"/>
    </w:lvl>
  </w:abstractNum>
  <w:abstractNum w:abstractNumId="10">
    <w:nsid w:val="614FD4A1"/>
    <w:multiLevelType w:val="hybridMultilevel"/>
    <w:lvl w:ilvl="0">
      <w:lvlJc w:val="left"/>
      <w:lvlText w:val="%1."/>
      <w:numFmt w:val="decimal"/>
      <w:start w:val="10"/>
    </w:lvl>
  </w:abstractNum>
  <w:abstractNum w:abstractNumId="11">
    <w:nsid w:val="419AC241"/>
    <w:multiLevelType w:val="hybridMultilevel"/>
    <w:lvl w:ilvl="0">
      <w:lvlJc w:val="left"/>
      <w:lvlText w:val="%1."/>
      <w:numFmt w:val="decimal"/>
      <w:start w:val="11"/>
    </w:lvl>
  </w:abstractNum>
  <w:abstractNum w:abstractNumId="12">
    <w:nsid w:val="5577F8E1"/>
    <w:multiLevelType w:val="hybridMultilevel"/>
    <w:lvl w:ilvl="0">
      <w:lvlJc w:val="left"/>
      <w:lvlText w:val="%1."/>
      <w:numFmt w:val="decimal"/>
      <w:start w:val="12"/>
    </w:lvl>
  </w:abstractNum>
  <w:abstractNum w:abstractNumId="13">
    <w:nsid w:val="440BADFC"/>
    <w:multiLevelType w:val="hybridMultilevel"/>
    <w:lvl w:ilvl="0">
      <w:lvlJc w:val="left"/>
      <w:lvlText w:val="(%1)"/>
      <w:numFmt w:val="lowerRoman"/>
      <w:start w:val="2"/>
    </w:lvl>
  </w:abstractNum>
  <w:abstractNum w:abstractNumId="14">
    <w:nsid w:val="5072367"/>
    <w:multiLevelType w:val="hybridMultilevel"/>
    <w:lvl w:ilvl="0">
      <w:lvlJc w:val="left"/>
      <w:lvlText w:val="%1."/>
      <w:numFmt w:val="decimal"/>
      <w:start w:val="13"/>
    </w:lvl>
  </w:abstractNum>
  <w:abstractNum w:abstractNumId="15">
    <w:nsid w:val="3804823E"/>
    <w:multiLevelType w:val="hybridMultilevel"/>
    <w:lvl w:ilvl="0">
      <w:lvlJc w:val="left"/>
      <w:lvlText w:val="%1."/>
      <w:numFmt w:val="decimal"/>
      <w:start w:val="14"/>
    </w:lvl>
  </w:abstractNum>
  <w:abstractNum w:abstractNumId="16">
    <w:nsid w:val="77465F01"/>
    <w:multiLevelType w:val="hybridMultilevel"/>
    <w:lvl w:ilvl="0">
      <w:lvlJc w:val="left"/>
      <w:lvlText w:val="%1."/>
      <w:numFmt w:val="decimal"/>
      <w:start w:val="15"/>
    </w:lvl>
  </w:abstractNum>
  <w:abstractNum w:abstractNumId="17">
    <w:nsid w:val="7724C67E"/>
    <w:multiLevelType w:val="hybridMultilevel"/>
    <w:lvl w:ilvl="0">
      <w:lvlJc w:val="left"/>
      <w:lvlText w:val="%1."/>
      <w:numFmt w:val="decimal"/>
      <w:start w:val="16"/>
    </w:lvl>
  </w:abstractNum>
  <w:abstractNum w:abstractNumId="18">
    <w:nsid w:val="5C482A97"/>
    <w:multiLevelType w:val="hybridMultilevel"/>
    <w:lvl w:ilvl="0">
      <w:lvlJc w:val="left"/>
      <w:lvlText w:val="%1."/>
      <w:numFmt w:val="decimal"/>
      <w:start w:val="17"/>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1."/>
      <w:numFmt w:val="decimal"/>
      <w:start w:val="1"/>
    </w:lvl>
  </w:abstractNum>
  <w:abstractNum w:abstractNumId="25">
    <w:nsid w:val="3855585C"/>
    <w:multiLevelType w:val="hybridMultilevel"/>
    <w:lvl w:ilvl="0">
      <w:lvlJc w:val="left"/>
      <w:lvlText w:val="%1."/>
      <w:numFmt w:val="decimal"/>
      <w:start w:val="1"/>
    </w:lvl>
  </w:abstractNum>
  <w:abstractNum w:abstractNumId="26">
    <w:nsid w:val="70A64E2A"/>
    <w:multiLevelType w:val="hybridMultilevel"/>
    <w:lvl w:ilvl="0">
      <w:lvlJc w:val="left"/>
      <w:lvlText w:val="%1."/>
      <w:numFmt w:val="decimal"/>
      <w:start w:val="1"/>
    </w:lvl>
  </w:abstractNum>
  <w:abstractNum w:abstractNumId="27">
    <w:nsid w:val="6A2342EC"/>
    <w:multiLevelType w:val="hybridMultilevel"/>
    <w:lvl w:ilvl="0">
      <w:lvlJc w:val="left"/>
      <w:lvlText w:val="%1."/>
      <w:numFmt w:val="decimal"/>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1"/>
      <w:numFmt w:val="decimal"/>
      <w:start w:val="101"/>
    </w:lvl>
  </w:abstractNum>
  <w:abstractNum w:abstractNumId="44">
    <w:nsid w:val="1BA026FA"/>
    <w:multiLevelType w:val="hybridMultilevel"/>
    <w:lvl w:ilvl="0">
      <w:lvlJc w:val="left"/>
      <w:lvlText w:val="*"/>
      <w:numFmt w:val="bullet"/>
      <w:start w:val="1"/>
    </w:lvl>
    <w:lvl w:ilvl="1">
      <w:lvlJc w:val="left"/>
      <w:lvlText w:val="%2"/>
      <w:numFmt w:val="decimal"/>
      <w:start w:val="104"/>
    </w:lvl>
  </w:abstractNum>
  <w:abstractNum w:abstractNumId="45">
    <w:nsid w:val="79A1DEAA"/>
    <w:multiLevelType w:val="hybridMultilevel"/>
    <w:lvl w:ilvl="0">
      <w:lvlJc w:val="left"/>
      <w:lvlText w:val="**"/>
      <w:numFmt w:val="bullet"/>
      <w:start w:val="1"/>
    </w:lvl>
    <w:lvl w:ilvl="1">
      <w:lvlJc w:val="left"/>
      <w:lvlText w:val="%2"/>
      <w:numFmt w:val="decimal"/>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1)"/>
      <w:numFmt w:val="lowerRoman"/>
      <w:start w:val="1"/>
    </w:lvl>
  </w:abstractNum>
  <w:abstractNum w:abstractNumId="50">
    <w:nsid w:val="374A3FE6"/>
    <w:multiLevelType w:val="hybridMultilevel"/>
    <w:lvl w:ilvl="0">
      <w:lvlJc w:val="left"/>
      <w:lvlText w:val="(%1)"/>
      <w:numFmt w:val="lowerRoman"/>
      <w:start w:val="1"/>
    </w:lvl>
  </w:abstractNum>
  <w:abstractNum w:abstractNumId="51">
    <w:nsid w:val="4F4EF005"/>
    <w:multiLevelType w:val="hybridMultilevel"/>
    <w:lvl w:ilvl="0">
      <w:lvlJc w:val="left"/>
      <w:lvlText w:val="(%1)"/>
      <w:numFmt w:val="lowerRoman"/>
      <w:start w:val="2"/>
    </w:lvl>
  </w:abstractNum>
  <w:abstractNum w:abstractNumId="52">
    <w:nsid w:val="23F9C13C"/>
    <w:multiLevelType w:val="hybridMultilevel"/>
    <w:lvl w:ilvl="0">
      <w:lvlJc w:val="left"/>
      <w:lvlText w:val="(%1)"/>
      <w:numFmt w:val="lowerRoman"/>
      <w:start w:val="1"/>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2020-11-05T16:23:10Z</dcterms:created>
  <dcterms:modified xsi:type="dcterms:W3CDTF">2020-11-05T16:23:10Z</dcterms:modified>
</cp:coreProperties>
</file>