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578056.xml.htm"/>
      <w:bookmarkStart w:id="1" w:name="kswkform4_17845780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Meury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1801 AUGUSTINE CUT-OFF</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INCYTE CORP</w:t>
              </w:r>
            </w:hyperlink>
            <w:r>
              <w:rPr/>
              <w:t xml:space="preserve"> [ </w:t>
            </w:r>
            <w:r>
              <w:rPr>
                <w:rFonts w:ascii="Times;serif" w:hAnsi="Times;serif"/>
                <w:color w:val="0000FF"/>
                <w:sz w:val="24"/>
                <w:shd w:fill="FFFFFF" w:val="clear"/>
              </w:rPr>
              <w:t>INCY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975"/>
        <w:gridCol w:w="457"/>
        <w:gridCol w:w="619"/>
        <w:gridCol w:w="1199"/>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26,807</w:t>
            </w:r>
            <w:r>
              <w:rPr>
                <w:rFonts w:ascii="Times;serif" w:hAnsi="Times;serif"/>
                <w:color w:val="008000"/>
                <w:position w:val="7"/>
                <w:sz w:val="16"/>
                <w:sz w:val="20"/>
                <w:shd w:fill="FFFFFF" w:val="clear"/>
              </w:rPr>
              <w:t>(1)</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183,129</w:t>
            </w:r>
            <w:r>
              <w:rPr>
                <w:rFonts w:ascii="Times;serif" w:hAnsi="Times;serif"/>
                <w:color w:val="008000"/>
                <w:position w:val="7"/>
                <w:sz w:val="16"/>
                <w:sz w:val="20"/>
                <w:shd w:fill="FFFFFF" w:val="clear"/>
              </w:rPr>
              <w:t>(2)</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80,421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80,421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80,421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116.65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77,148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77,148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77,148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award of restricted stock units ("RSUs") that will vest 25% annually over four years. The RSUs may be settled only for shares of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Including the July 16, 2026 grant, this includes an aggregate of 178,883 shares of common stock issuable pursuant to previously reported restricted stock units and earned performance stock units that have not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performance share represents the right to receive up to 200% of one share of common stock. Such shares may be earned based upon the issuer's relative total shareholder return ("TSR") over a three-year performance period beginning on January 1, 2026 as compared to the TSR of companies in a fixed peer group, as set forth in the Performance Share Award Agreement. The earned shares will vest on the third anniversary of the grant date subject to the Reporting Person's continued service with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July 16, 2026 options become exercisable in 37 installments, with the first 25% vesting after one year and the remainder vesting monthly over three years. Remarks: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Feeney,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6778" TargetMode="External"/><Relationship Id="rId5" Type="http://schemas.openxmlformats.org/officeDocument/2006/relationships/hyperlink" Target="http://www.sec.gov/cgi-bin/browse-edgar?action=getcompany&amp;CIK=00008791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772</Words>
  <Characters>4152</Characters>
  <CharactersWithSpaces>4829</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