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427355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97" w:lineRule="exact"/>
        <w:rPr>
          <w:sz w:val="24"/>
          <w:szCs w:val="24"/>
          <w:color w:val="auto"/>
        </w:rPr>
      </w:pPr>
    </w:p>
    <w:p>
      <w:pPr>
        <w:ind w:left="440" w:hanging="332"/>
        <w:spacing w:after="0"/>
        <w:tabs>
          <w:tab w:leader="none" w:pos="440" w:val="left"/>
        </w:tabs>
        <w:numPr>
          <w:ilvl w:val="0"/>
          <w:numId w:val="1"/>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0" w:lineRule="exact"/>
        <w:rPr>
          <w:sz w:val="24"/>
          <w:szCs w:val="24"/>
          <w:color w:val="auto"/>
        </w:rPr>
      </w:pPr>
    </w:p>
    <w:p>
      <w:pPr>
        <w:ind w:left="440" w:hanging="315"/>
        <w:spacing w:after="0"/>
        <w:tabs>
          <w:tab w:leader="none" w:pos="440" w:val="left"/>
        </w:tabs>
        <w:numPr>
          <w:ilvl w:val="0"/>
          <w:numId w:val="2"/>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7" w:right="339" w:bottom="1440" w:gutter="0" w:footer="0" w:header="0"/>
        </w:sectPr>
      </w:pPr>
    </w:p>
    <w:p>
      <w:pPr>
        <w:spacing w:after="0" w:line="23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1" w:lineRule="exact"/>
        <w:rPr>
          <w:sz w:val="24"/>
          <w:szCs w:val="24"/>
          <w:color w:val="auto"/>
        </w:rPr>
      </w:pPr>
    </w:p>
    <w:p>
      <w:pPr>
        <w:sectPr>
          <w:pgSz w:w="11900" w:h="16838" w:orient="portrait"/>
          <w:cols w:equalWidth="0" w:num="2">
            <w:col w:w="5980" w:space="600"/>
            <w:col w:w="4660"/>
          </w:cols>
          <w:pgMar w:left="320" w:top="22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001-12400</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373"/>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30"/>
                <w:szCs w:val="30"/>
                <w:b w:val="1"/>
                <w:bCs w:val="1"/>
                <w:color w:val="auto"/>
                <w:w w:val="99"/>
              </w:rPr>
              <w:t>INCYTE CORPORATION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jc w:val="right"/>
              <w:ind w:right="2343"/>
              <w:spacing w:after="0"/>
              <w:rPr>
                <w:sz w:val="20"/>
                <w:szCs w:val="20"/>
                <w:color w:val="auto"/>
              </w:rPr>
            </w:pPr>
            <w:r>
              <w:rPr>
                <w:rFonts w:ascii="Times New Roman" w:cs="Times New Roman" w:eastAsia="Times New Roman" w:hAnsi="Times New Roman"/>
                <w:sz w:val="16"/>
                <w:szCs w:val="16"/>
                <w:b w:val="1"/>
                <w:bCs w:val="1"/>
                <w:color w:val="auto"/>
              </w:rPr>
              <w:t>94-3136539</w:t>
            </w:r>
          </w:p>
        </w:tc>
        <w:tc>
          <w:tcPr>
            <w:tcW w:w="0" w:type="dxa"/>
            <w:vAlign w:val="bottom"/>
          </w:tcPr>
          <w:p>
            <w:pPr>
              <w:spacing w:after="0"/>
              <w:rPr>
                <w:sz w:val="1"/>
                <w:szCs w:val="1"/>
                <w:color w:val="auto"/>
              </w:rPr>
            </w:pPr>
          </w:p>
        </w:tc>
      </w:tr>
      <w:tr>
        <w:trPr>
          <w:trHeight w:val="243"/>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0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9"/>
              </w:rPr>
              <w:t>Identification No.)</w:t>
            </w:r>
          </w:p>
        </w:tc>
        <w:tc>
          <w:tcPr>
            <w:tcW w:w="0" w:type="dxa"/>
            <w:vAlign w:val="bottom"/>
          </w:tcPr>
          <w:p>
            <w:pPr>
              <w:spacing w:after="0"/>
              <w:rPr>
                <w:sz w:val="1"/>
                <w:szCs w:val="1"/>
                <w:color w:val="auto"/>
              </w:rPr>
            </w:pPr>
          </w:p>
        </w:tc>
      </w:tr>
      <w:tr>
        <w:trPr>
          <w:trHeight w:val="32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9"/>
              </w:rPr>
              <w:t>1801 Augustine Cut-Off</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vMerge w:val="restart"/>
          </w:tcPr>
          <w:p>
            <w:pPr>
              <w:jc w:val="right"/>
              <w:ind w:right="2523"/>
              <w:spacing w:after="0"/>
              <w:rPr>
                <w:sz w:val="20"/>
                <w:szCs w:val="20"/>
                <w:color w:val="auto"/>
              </w:rPr>
            </w:pPr>
            <w:r>
              <w:rPr>
                <w:rFonts w:ascii="Times New Roman" w:cs="Times New Roman" w:eastAsia="Times New Roman" w:hAnsi="Times New Roman"/>
                <w:sz w:val="16"/>
                <w:szCs w:val="16"/>
                <w:b w:val="1"/>
                <w:bCs w:val="1"/>
                <w:color w:val="auto"/>
              </w:rPr>
              <w:t>19803</w:t>
            </w:r>
          </w:p>
        </w:tc>
        <w:tc>
          <w:tcPr>
            <w:tcW w:w="0" w:type="dxa"/>
            <w:vAlign w:val="bottom"/>
          </w:tcPr>
          <w:p>
            <w:pPr>
              <w:spacing w:after="0"/>
              <w:rPr>
                <w:sz w:val="1"/>
                <w:szCs w:val="1"/>
                <w:color w:val="auto"/>
              </w:rPr>
            </w:pPr>
          </w:p>
        </w:tc>
      </w:tr>
      <w:tr>
        <w:trPr>
          <w:trHeight w:val="21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8"/>
              </w:rPr>
              <w:t>Wilmington, DE 19803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40" w:type="dxa"/>
            <w:vAlign w:val="bottom"/>
            <w:gridSpan w:val="6"/>
          </w:tcPr>
          <w:p>
            <w:pPr>
              <w:jc w:val="center"/>
              <w:ind w:right="20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481"/>
        </w:trPr>
        <w:tc>
          <w:tcPr>
            <w:tcW w:w="3780" w:type="dxa"/>
            <w:vAlign w:val="bottom"/>
          </w:tcPr>
          <w:p>
            <w:pPr>
              <w:spacing w:after="0"/>
              <w:rPr>
                <w:sz w:val="24"/>
                <w:szCs w:val="24"/>
                <w:color w:val="auto"/>
              </w:rPr>
            </w:pPr>
          </w:p>
        </w:tc>
        <w:tc>
          <w:tcPr>
            <w:tcW w:w="3140" w:type="dxa"/>
            <w:vAlign w:val="bottom"/>
            <w:gridSpan w:val="3"/>
          </w:tcPr>
          <w:p>
            <w:pPr>
              <w:jc w:val="center"/>
              <w:ind w:left="446"/>
              <w:spacing w:after="0"/>
              <w:rPr>
                <w:sz w:val="20"/>
                <w:szCs w:val="20"/>
                <w:color w:val="auto"/>
              </w:rPr>
            </w:pPr>
            <w:r>
              <w:rPr>
                <w:rFonts w:ascii="Times New Roman" w:cs="Times New Roman" w:eastAsia="Times New Roman" w:hAnsi="Times New Roman"/>
                <w:sz w:val="16"/>
                <w:szCs w:val="16"/>
                <w:b w:val="1"/>
                <w:bCs w:val="1"/>
                <w:color w:val="auto"/>
                <w:w w:val="99"/>
              </w:rPr>
              <w:t>(302) 498-6700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7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INCY</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64" w:lineRule="exact"/>
        <w:rPr>
          <w:sz w:val="24"/>
          <w:szCs w:val="24"/>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125" w:lineRule="exact"/>
        <w:rPr>
          <w:sz w:val="24"/>
          <w:szCs w:val="24"/>
          <w:color w:val="auto"/>
        </w:rPr>
      </w:pPr>
    </w:p>
    <w:p>
      <w:pPr>
        <w:jc w:val="both"/>
        <w:ind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type w:val="continuous"/>
        </w:sectPr>
      </w:pPr>
    </w:p>
    <w:p>
      <w:pPr>
        <w:spacing w:after="0" w:line="13" w:lineRule="exact"/>
        <w:rPr>
          <w:sz w:val="24"/>
          <w:szCs w:val="24"/>
          <w:color w:val="auto"/>
        </w:rPr>
      </w:pPr>
    </w:p>
    <w:p>
      <w:pPr>
        <w:ind w:left="254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560" w:space="720"/>
            <w:col w:w="3960"/>
          </w:cols>
          <w:pgMar w:left="320" w:top="227" w:right="3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220" w:space="720"/>
            <w:col w:w="4300"/>
          </w:cols>
          <w:pgMar w:left="320" w:top="227" w:right="339" w:bottom="1440" w:gutter="0" w:footer="0" w:header="0"/>
          <w:type w:val="continuous"/>
        </w:sectPr>
      </w:pPr>
    </w:p>
    <w:p>
      <w:pPr>
        <w:ind w:left="694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p>
      <w:pPr>
        <w:ind w:right="460" w:firstLine="318"/>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6" w:lineRule="exact"/>
        <w:rPr>
          <w:sz w:val="24"/>
          <w:szCs w:val="24"/>
          <w:color w:val="auto"/>
        </w:rPr>
      </w:pPr>
    </w:p>
    <w:p>
      <w:pPr>
        <w:ind w:left="320" w:right="2800"/>
        <w:spacing w:after="0" w:line="454"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The number of outstanding shares of the registrant’s Common Stock, $.001 par value, was 195,276,145 as of July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591185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-59690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-34925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40" w:type="dxa"/>
            <w:vAlign w:val="bottom"/>
            <w:gridSpan w:val="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7"/>
              </w:rPr>
              <w:t>INCYTE CORPORATION</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81"/>
              </w:rPr>
              <w:t>Item 1.</w:t>
            </w:r>
          </w:p>
        </w:tc>
        <w:tc>
          <w:tcPr>
            <w:tcW w:w="660" w:type="dxa"/>
            <w:vAlign w:val="bottom"/>
            <w:tcBorders>
              <w:top w:val="single" w:sz="8" w:color="0000FF"/>
            </w:tcBorders>
            <w:gridSpan w:val="2"/>
          </w:tcPr>
          <w:p>
            <w:pPr>
              <w:spacing w:after="0"/>
              <w:rPr>
                <w:sz w:val="24"/>
                <w:szCs w:val="24"/>
                <w:color w:val="auto"/>
              </w:rPr>
            </w:pPr>
          </w:p>
        </w:tc>
        <w:tc>
          <w:tcPr>
            <w:tcW w:w="1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24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452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Stockholders’ Equity</w:t>
            </w:r>
          </w:p>
        </w:tc>
        <w:tc>
          <w:tcPr>
            <w:tcW w:w="180" w:type="dxa"/>
            <w:vAlign w:val="bottom"/>
            <w:tcBorders>
              <w:top w:val="single" w:sz="8" w:color="0000FF"/>
            </w:tcBorders>
          </w:tcPr>
          <w:p>
            <w:pPr>
              <w:spacing w:after="0"/>
              <w:rPr>
                <w:sz w:val="24"/>
                <w:szCs w:val="24"/>
                <w:color w:val="auto"/>
              </w:rPr>
            </w:pPr>
          </w:p>
        </w:tc>
        <w:tc>
          <w:tcPr>
            <w:tcW w:w="362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1"/>
              </w:rPr>
              <w:t>Item 2.</w:t>
            </w:r>
          </w:p>
        </w:tc>
        <w:tc>
          <w:tcPr>
            <w:tcW w:w="66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04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1"/>
              </w:rPr>
              <w:t>Item 3.</w:t>
            </w:r>
          </w:p>
        </w:tc>
        <w:tc>
          <w:tcPr>
            <w:tcW w:w="66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4.</w:t>
            </w:r>
          </w:p>
        </w:tc>
        <w:tc>
          <w:tcPr>
            <w:tcW w:w="66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38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2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PART II: OTHER INFORMATION</w:t>
            </w:r>
          </w:p>
        </w:tc>
        <w:tc>
          <w:tcPr>
            <w:tcW w:w="6500" w:type="dxa"/>
            <w:vAlign w:val="bottom"/>
            <w:gridSpan w:val="12"/>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w:t>
            </w:r>
            <w:r>
              <w:rPr>
                <w:rFonts w:ascii="Times New Roman" w:cs="Times New Roman" w:eastAsia="Times New Roman" w:hAnsi="Times New Roman"/>
                <w:sz w:val="18"/>
                <w:szCs w:val="18"/>
                <w:b w:val="1"/>
                <w:bCs w:val="1"/>
                <w:color w:val="000000"/>
              </w:rPr>
              <w:t>.</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6.</w:t>
            </w:r>
          </w:p>
        </w:tc>
        <w:tc>
          <w:tcPr>
            <w:tcW w:w="66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90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5600" w:type="dxa"/>
            <w:vAlign w:val="bottom"/>
            <w:gridSpan w:val="15"/>
          </w:tcPr>
          <w:p>
            <w:pPr>
              <w:jc w:val="center"/>
              <w:ind w:left="1752"/>
              <w:spacing w:after="0"/>
              <w:rPr>
                <w:sz w:val="20"/>
                <w:szCs w:val="20"/>
                <w:color w:val="auto"/>
              </w:rPr>
            </w:pPr>
            <w:r>
              <w:rPr>
                <w:rFonts w:ascii="Times New Roman" w:cs="Times New Roman" w:eastAsia="Times New Roman" w:hAnsi="Times New Roman"/>
                <w:sz w:val="18"/>
                <w:szCs w:val="18"/>
                <w:color w:val="auto"/>
                <w:w w:val="88"/>
              </w:rPr>
              <w:t>2</w:t>
            </w: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par value)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1,954,969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1,687,829</w:t>
            </w:r>
          </w:p>
        </w:tc>
        <w:tc>
          <w:tcPr>
            <w:tcW w:w="0" w:type="dxa"/>
            <w:vAlign w:val="bottom"/>
          </w:tcPr>
          <w:p>
            <w:pPr>
              <w:spacing w:after="0"/>
              <w:rPr>
                <w:sz w:val="1"/>
                <w:szCs w:val="1"/>
                <w:color w:val="auto"/>
              </w:rPr>
            </w:pPr>
          </w:p>
        </w:tc>
      </w:tr>
      <w:tr>
        <w:trPr>
          <w:trHeight w:val="198"/>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Marketable securities—available-for-sale (amortized cost $465,456 and $469,917 as of June 30, 2025 and December 31,</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2024, respectively; allowance for credit losses $0 as of June 30, 2025 and December 31, 2024)</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470,263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842,892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853,154</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168,912</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3,643,701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3,239,030</w:t>
            </w: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equity investments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348,327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763,411</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113,803</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762,071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5,821,354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5,444,322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197,465</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188,677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1,212,048</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39,238</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1,278,619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1,641,847</w:t>
            </w: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153,762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33,542</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167,543</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1,650,451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1,996,694</w:t>
            </w:r>
          </w:p>
        </w:tc>
        <w:tc>
          <w:tcPr>
            <w:tcW w:w="0" w:type="dxa"/>
            <w:vAlign w:val="bottom"/>
          </w:tcPr>
          <w:p>
            <w:pPr>
              <w:spacing w:after="0"/>
              <w:rPr>
                <w:sz w:val="1"/>
                <w:szCs w:val="1"/>
                <w:color w:val="auto"/>
              </w:rPr>
            </w:pPr>
          </w:p>
        </w:tc>
      </w:tr>
      <w:tr>
        <w:trPr>
          <w:trHeight w:val="88"/>
        </w:trPr>
        <w:tc>
          <w:tcPr>
            <w:tcW w:w="8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none issued or outstanding</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8180" w:type="dxa"/>
            <w:vAlign w:val="bottom"/>
            <w:shd w:val="clear" w:color="auto" w:fill="CCEEFF"/>
          </w:tcPr>
          <w:p>
            <w:pPr>
              <w:ind w:left="260"/>
              <w:spacing w:after="0" w:line="161" w:lineRule="exact"/>
              <w:rPr>
                <w:sz w:val="20"/>
                <w:szCs w:val="20"/>
                <w:color w:val="auto"/>
              </w:rPr>
            </w:pPr>
            <w:r>
              <w:rPr>
                <w:rFonts w:ascii="Times New Roman" w:cs="Times New Roman" w:eastAsia="Times New Roman" w:hAnsi="Times New Roman"/>
                <w:sz w:val="16"/>
                <w:szCs w:val="16"/>
                <w:color w:val="auto"/>
              </w:rPr>
              <w:t>Common stock, $0.001 par value; 400,000,000 shares authorized; 194,123,265 and 193,434,305 shares issued and</w:t>
            </w:r>
          </w:p>
        </w:tc>
        <w:tc>
          <w:tcPr>
            <w:tcW w:w="2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outstanding as of June 30, 2025 and December 31, 2024, respectively</w:t>
            </w:r>
          </w:p>
        </w:tc>
        <w:tc>
          <w:tcPr>
            <w:tcW w:w="2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4,666,949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4,533,437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(509,679)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(1,072,881)</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4,170,903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3,447,628</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5,821,354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5,444,322</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left="4720" w:right="640" w:hanging="4714"/>
        <w:spacing w:after="0" w:line="335" w:lineRule="auto"/>
        <w:tabs>
          <w:tab w:leader="none" w:pos="3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 at December 31, 2024 has been derived from the audited consolidated financial statements at that date. 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4"/>
                <w:szCs w:val="14"/>
                <w:color w:val="auto"/>
              </w:rPr>
            </w:pPr>
          </w:p>
        </w:tc>
      </w:t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5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5"/>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revenues, net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1,059,414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906,566</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1,981,688</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1,636,489</w:t>
            </w: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263,159</w:t>
            </w:r>
          </w:p>
        </w:tc>
      </w:tr>
      <w:tr>
        <w:trPr>
          <w:trHeight w:val="225"/>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8"/>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1,215,529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1,043,759</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2,268,427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1,924,648</w:t>
            </w:r>
          </w:p>
        </w:tc>
      </w:tr>
      <w:tr>
        <w:trPr>
          <w:trHeight w:val="245"/>
        </w:trPr>
        <w:tc>
          <w:tcPr>
            <w:tcW w:w="5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2"/>
        </w:trPr>
        <w:tc>
          <w:tcPr>
            <w:tcW w:w="540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Cost of product revenues (including definite-lived intangible</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8"/>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137,590</w:t>
            </w: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dispute settlement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1,567,640</w:t>
            </w: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606,238</w:t>
            </w:r>
          </w:p>
        </w:tc>
      </w:tr>
      <w:tr>
        <w:trPr>
          <w:trHeight w:val="172"/>
        </w:trPr>
        <w:tc>
          <w:tcPr>
            <w:tcW w:w="540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Loss on change in fair value of acquisition-related contingent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9"/>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19"/>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685,215</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1,521,889</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1,532,945</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2,310,880</w:t>
            </w:r>
          </w:p>
        </w:tc>
      </w:tr>
      <w:tr>
        <w:trPr>
          <w:trHeight w:val="245"/>
        </w:trPr>
        <w:tc>
          <w:tcPr>
            <w:tcW w:w="5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(386,232)</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88,246</w:t>
            </w: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equity investments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139,188</w:t>
            </w: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w:t>
            </w:r>
          </w:p>
        </w:tc>
      </w:tr>
      <w:tr>
        <w:trPr>
          <w:trHeight w:val="218"/>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(153,618)</w:t>
            </w: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121,435</w:t>
            </w:r>
          </w:p>
        </w:tc>
      </w:tr>
      <w:tr>
        <w:trPr>
          <w:trHeight w:val="243"/>
        </w:trPr>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563,202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65"/>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193,995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221,329</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5"/>
              </w:rPr>
              <w:t>198,744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221,329</w:t>
            </w: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1"/>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45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(275,053)</w:t>
            </w:r>
          </w:p>
        </w:tc>
      </w:tr>
      <w:tr>
        <w:trPr>
          <w:trHeight w:val="265"/>
        </w:trPr>
        <w:tc>
          <w:tcPr>
            <w:tcW w:w="4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w:t>
            </w:r>
          </w:p>
        </w:tc>
      </w:tr>
      <w:tr>
        <w:trPr>
          <w:trHeight w:val="225"/>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5"/>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pension gain, net of tax</w:t>
            </w: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18"/>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w:t>
            </w:r>
          </w:p>
        </w:tc>
      </w:tr>
      <w:tr>
        <w:trPr>
          <w:trHeight w:val="265"/>
        </w:trPr>
        <w:tc>
          <w:tcPr>
            <w:tcW w:w="454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424,676</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589,762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(293,579)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85"/>
        </w:trPr>
        <w:tc>
          <w:tcPr>
            <w:tcW w:w="4540" w:type="dxa"/>
            <w:vAlign w:val="bottom"/>
          </w:tcPr>
          <w:p>
            <w:pPr>
              <w:spacing w:after="0"/>
              <w:rPr>
                <w:sz w:val="24"/>
                <w:szCs w:val="24"/>
                <w:color w:val="auto"/>
              </w:rPr>
            </w:pPr>
          </w:p>
        </w:tc>
        <w:tc>
          <w:tcPr>
            <w:tcW w:w="2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See accompanying notes.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95"/>
        </w:trPr>
        <w:tc>
          <w:tcPr>
            <w:tcW w:w="4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2"/>
        </w:trPr>
        <w:tc>
          <w:tcPr>
            <w:tcW w:w="45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44" w:lineRule="exact"/>
        <w:rPr>
          <w:sz w:val="20"/>
          <w:szCs w:val="20"/>
          <w:color w:val="auto"/>
        </w:rPr>
      </w:pPr>
    </w:p>
    <w:tbl>
      <w:tblPr>
        <w:tblLayout w:type="fixed"/>
        <w:tblInd w:w="4480" w:type="dxa"/>
        <w:tblCellMar>
          <w:top w:w="0" w:type="dxa"/>
          <w:left w:w="0" w:type="dxa"/>
          <w:bottom w:w="0" w:type="dxa"/>
          <w:right w:w="0" w:type="dxa"/>
        </w:tblCellMar>
      </w:tblPr>
      <w:tr>
        <w:trPr>
          <w:trHeight w:val="172"/>
        </w:trPr>
        <w:tc>
          <w:tcPr>
            <w:tcW w:w="900" w:type="dxa"/>
            <w:vAlign w:val="bottom"/>
            <w:vMerge w:val="restart"/>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8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580" w:type="dxa"/>
            <w:vAlign w:val="bottom"/>
          </w:tcPr>
          <w:p>
            <w:pPr>
              <w:spacing w:after="0"/>
              <w:rPr>
                <w:sz w:val="14"/>
                <w:szCs w:val="14"/>
                <w:color w:val="auto"/>
              </w:rPr>
            </w:pPr>
          </w:p>
        </w:tc>
        <w:tc>
          <w:tcPr>
            <w:tcW w:w="104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9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500" w:type="dxa"/>
            <w:vAlign w:val="bottom"/>
          </w:tcPr>
          <w:p>
            <w:pPr>
              <w:jc w:val="center"/>
              <w:ind w:left="9"/>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580" w:type="dxa"/>
            <w:vAlign w:val="bottom"/>
          </w:tcPr>
          <w:p>
            <w:pPr>
              <w:spacing w:after="0"/>
              <w:rPr>
                <w:sz w:val="13"/>
                <w:szCs w:val="13"/>
                <w:color w:val="auto"/>
              </w:rPr>
            </w:pPr>
          </w:p>
        </w:tc>
        <w:tc>
          <w:tcPr>
            <w:tcW w:w="1040" w:type="dxa"/>
            <w:vAlign w:val="bottom"/>
          </w:tcPr>
          <w:p>
            <w:pPr>
              <w:jc w:val="center"/>
              <w:ind w:left="129"/>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9"/>
        </w:trPr>
        <w:tc>
          <w:tcPr>
            <w:tcW w:w="90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5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04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January 1, 2025</w:t>
            </w:r>
          </w:p>
        </w:tc>
        <w:tc>
          <w:tcPr>
            <w:tcW w:w="5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363,987 shares of Common Stock upon exercise of</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1,208 shares of Common Stock for services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2025</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64,400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and settlement of employee restricted stock units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and performance shares, net of shares withheld for taxes, and</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261,762 shares of Common Stock under the ESPP</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1,220 shares of Common Stock for services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2025</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-2220595</wp:posOffset>
            </wp:positionV>
            <wp:extent cx="7134860" cy="27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-1808480</wp:posOffset>
            </wp:positionV>
            <wp:extent cx="713486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-857250</wp:posOffset>
            </wp:positionV>
            <wp:extent cx="7134860" cy="277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713486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134860" cy="16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-1539240</wp:posOffset>
            </wp:positionV>
            <wp:extent cx="7134860" cy="160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4,533,437</w:t>
            </w:r>
          </w:p>
        </w:tc>
        <w:tc>
          <w:tcPr>
            <w:tcW w:w="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(13,121)</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(1,072,881)</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3,447,628</w:t>
            </w:r>
          </w:p>
        </w:tc>
      </w:tr>
      <w:tr>
        <w:trPr>
          <w:trHeight w:val="62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(6,215)</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r>
      <w:tr>
        <w:trPr>
          <w:trHeight w:val="437"/>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60,982</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158,203</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4,588,286</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(914,678)</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3,667,563</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83"/>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13,972</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13,973</w:t>
            </w:r>
          </w:p>
        </w:tc>
      </w:tr>
      <w:tr>
        <w:trPr>
          <w:trHeight w:val="437"/>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64,609</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64,609</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19,677</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404,999</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4,666,949</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(509,679)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4,170,903</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-7620</wp:posOffset>
            </wp:positionV>
            <wp:extent cx="8585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-1370965</wp:posOffset>
            </wp:positionV>
            <wp:extent cx="8585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540"/>
            <w:col w:w="50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16" w:lineRule="exact"/>
        <w:rPr>
          <w:sz w:val="20"/>
          <w:szCs w:val="20"/>
          <w:color w:val="auto"/>
        </w:rPr>
      </w:pPr>
    </w:p>
    <w:tbl>
      <w:tblPr>
        <w:tblLayout w:type="fixed"/>
        <w:tblInd w:w="448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900" w:type="dxa"/>
            <w:vAlign w:val="bottom"/>
            <w:vMerge w:val="restart"/>
          </w:tcPr>
          <w:p>
            <w:pPr>
              <w:jc w:val="center"/>
              <w:ind w:right="289"/>
              <w:spacing w:after="0" w:line="144"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480" w:type="dxa"/>
            <w:vAlign w:val="bottom"/>
            <w:vMerge w:val="restart"/>
          </w:tcPr>
          <w:p>
            <w:pPr>
              <w:jc w:val="center"/>
              <w:ind w:left="89"/>
              <w:spacing w:after="0" w:line="14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80" w:type="dxa"/>
            <w:vAlign w:val="bottom"/>
            <w:vMerge w:val="restart"/>
          </w:tcPr>
          <w:p>
            <w:pPr>
              <w:jc w:val="center"/>
              <w:ind w:left="29"/>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20" w:type="dxa"/>
            <w:vAlign w:val="bottom"/>
            <w:vMerge w:val="continue"/>
          </w:tcPr>
          <w:p>
            <w:pPr>
              <w:spacing w:after="0"/>
              <w:rPr>
                <w:sz w:val="10"/>
                <w:szCs w:val="10"/>
                <w:color w:val="auto"/>
              </w:rPr>
            </w:pPr>
          </w:p>
        </w:tc>
        <w:tc>
          <w:tcPr>
            <w:tcW w:w="1020" w:type="dxa"/>
            <w:vAlign w:val="bottom"/>
            <w:vMerge w:val="restart"/>
          </w:tcPr>
          <w:p>
            <w:pPr>
              <w:jc w:val="center"/>
              <w:ind w:left="109"/>
              <w:spacing w:after="0" w:line="14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90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16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0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620" w:type="dxa"/>
            <w:vAlign w:val="bottom"/>
            <w:vMerge w:val="continue"/>
          </w:tcPr>
          <w:p>
            <w:pPr>
              <w:spacing w:after="0"/>
              <w:rPr>
                <w:sz w:val="16"/>
                <w:szCs w:val="16"/>
                <w:color w:val="auto"/>
              </w:rPr>
            </w:pPr>
          </w:p>
        </w:tc>
        <w:tc>
          <w:tcPr>
            <w:tcW w:w="10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14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5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245,228 shares of Common Stock upon exercise of</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1,359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2024</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Issuance of 71,769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stock options and settlement of employee restricted stock units</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and performance shares, net of shares withheld for taxes and</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291,735 shares of Common Stock under the ESPP</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1,345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2024</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-2186940</wp:posOffset>
            </wp:positionV>
            <wp:extent cx="7134860" cy="235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-1816735</wp:posOffset>
            </wp:positionV>
            <wp:extent cx="7134860"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-949960</wp:posOffset>
            </wp:positionV>
            <wp:extent cx="7134860" cy="235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-579755</wp:posOffset>
            </wp:positionV>
            <wp:extent cx="713486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-310515</wp:posOffset>
            </wp:positionV>
            <wp:extent cx="713486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-1547495</wp:posOffset>
            </wp:positionV>
            <wp:extent cx="7134860" cy="160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5,016,122</w:t>
            </w:r>
          </w:p>
        </w:tc>
        <w:tc>
          <w:tcPr>
            <w:tcW w:w="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160,385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5,189,837</w:t>
            </w:r>
          </w:p>
        </w:tc>
      </w:tr>
      <w:tr>
        <w:trPr>
          <w:trHeight w:val="529"/>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(5,697)</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59,781</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59,781</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(19,278)</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5,070,286</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329,933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5,394,271</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5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13,792</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13,792</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56,637</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56,637</w:t>
            </w:r>
          </w:p>
        </w:tc>
      </w:tr>
      <w:tr>
        <w:trPr>
          <w:trHeight w:val="21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(758,061)</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(1,265,778)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(2,023,872)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(444,601)</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4,382,734</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(1,380,446)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2,997,059</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-33020</wp:posOffset>
            </wp:positionV>
            <wp:extent cx="8585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-7620</wp:posOffset>
            </wp:positionV>
            <wp:extent cx="8585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-175895</wp:posOffset>
            </wp:positionV>
            <wp:extent cx="8585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-1379220</wp:posOffset>
            </wp:positionV>
            <wp:extent cx="8585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5620" w:space="540"/>
            <w:col w:w="508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563,202</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(275,053)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116,418</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(gain) on equity investments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(139,188)</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change in fair value of acquisition-related contingent consideration</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0" w:type="dxa"/>
            <w:vAlign w:val="bottom"/>
          </w:tcPr>
          <w:p>
            <w:pPr>
              <w:spacing w:after="0"/>
              <w:rPr>
                <w:sz w:val="1"/>
                <w:szCs w:val="1"/>
                <w:color w:val="auto"/>
              </w:rPr>
            </w:pPr>
          </w:p>
        </w:tc>
      </w:tr>
      <w:tr>
        <w:trPr>
          <w:trHeight w:val="210"/>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(39,748)</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Inventory</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(84,976)</w:t>
            </w:r>
          </w:p>
        </w:tc>
        <w:tc>
          <w:tcPr>
            <w:tcW w:w="0" w:type="dxa"/>
            <w:vAlign w:val="bottom"/>
          </w:tcPr>
          <w:p>
            <w:pPr>
              <w:spacing w:after="0"/>
              <w:rPr>
                <w:sz w:val="1"/>
                <w:szCs w:val="1"/>
                <w:color w:val="auto"/>
              </w:rPr>
            </w:pPr>
          </w:p>
        </w:tc>
      </w:tr>
      <w:tr>
        <w:trPr>
          <w:trHeight w:val="210"/>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27,428</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(356,752)</w:t>
            </w: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equity investments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227,257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(63,692)</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intangible assets</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(204,091)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182,634</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140,708</w:t>
            </w:r>
          </w:p>
        </w:tc>
        <w:tc>
          <w:tcPr>
            <w:tcW w:w="0" w:type="dxa"/>
            <w:vAlign w:val="bottom"/>
          </w:tcPr>
          <w:p>
            <w:pPr>
              <w:spacing w:after="0"/>
              <w:rPr>
                <w:sz w:val="1"/>
                <w:szCs w:val="1"/>
                <w:color w:val="auto"/>
              </w:rPr>
            </w:pP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(2,004,687)</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Excise tax paid on repurchase of common stock</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stock plans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14,960</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and performance share vesting</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finance lease liabilities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(11,216)</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(2,009,590)</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(2,226,297)</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1,689,451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3,215,221</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1,956,813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988,924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229,674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contract dispute settlement</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294,881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purchase of intangible asset</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excise tax on repurchase of common stock</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MONJUVI® (tafasitamab-cxix) and ZYNYZ® (retifanlimab-dlwr), as well as NIKTIMVO™ (axatilimab-csfr), which is co-commercialized. Our operations are treated as one operating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June 30, 2025, the condensed consolidated statements of operations, comprehensive income (loss), and stockholders’ equity for the three and six months ended June 30, 2025 and 2024, and the condensed consolidated statements of cash flows for the six months ended June 30, 2025 and 2024,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2024 has been derived from our audited consolidated financial statements.</w:t>
      </w:r>
    </w:p>
    <w:p>
      <w:pPr>
        <w:spacing w:after="0" w:line="187"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 (the “SEC”).</w:t>
      </w:r>
    </w:p>
    <w:p>
      <w:pPr>
        <w:spacing w:after="0" w:line="15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2024.</w:t>
      </w:r>
    </w:p>
    <w:p>
      <w:pPr>
        <w:spacing w:after="0" w:line="176"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 Corporation and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All inter-company accounts, transactions, and profits have been eliminated in consolidation.</w:t>
      </w:r>
    </w:p>
    <w:p>
      <w:pPr>
        <w:spacing w:after="0" w:line="16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and are applicable for disclosures in our Annual Report on Form 10-K beginning with the year ending December 31, 2025. We are currently evaluating the impact that ASU No. 2023-09 will have on our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 xml:space="preserve">Revenues are recognized under guidance within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following table presents our disaggregated revenue for the periods presented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1"/>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763,788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1,277,812</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164,499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207,419</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57,205</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37,945</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54,990</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NIKTIMVO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1,059,414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1,636,489</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188,912</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62,291</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product royalty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263,159</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44"/>
        </w:trPr>
        <w:tc>
          <w:tcPr>
            <w:tcW w:w="5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1,924,648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For further information on the MINJUVI/MONJUVI revenues, refer to Note 6, and for further information on our revenue-generating contracts, refer to Note 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3"/>
                <w:szCs w:val="13"/>
                <w:color w:val="auto"/>
              </w:rPr>
            </w:pPr>
          </w:p>
        </w:tc>
        <w:tc>
          <w:tcPr>
            <w:tcW w:w="122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465,456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466,769</w:t>
            </w:r>
          </w:p>
        </w:tc>
        <w:tc>
          <w:tcPr>
            <w:tcW w:w="0" w:type="dxa"/>
            <w:vAlign w:val="bottom"/>
          </w:tcPr>
          <w:p>
            <w:pPr>
              <w:spacing w:after="0"/>
              <w:rPr>
                <w:sz w:val="1"/>
                <w:szCs w:val="1"/>
                <w:color w:val="auto"/>
              </w:rPr>
            </w:pPr>
          </w:p>
        </w:tc>
      </w:tr>
      <w:tr>
        <w:trPr>
          <w:trHeight w:val="265"/>
        </w:trPr>
        <w:tc>
          <w:tcPr>
            <w:tcW w:w="5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469,917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summarizes the contractual maturities of our available-for-sale debt securities as of June 30, 2025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360" w:type="dxa"/>
            <w:vAlign w:val="bottom"/>
          </w:tcPr>
          <w:p>
            <w:pPr>
              <w:spacing w:after="0"/>
              <w:rPr>
                <w:sz w:val="16"/>
                <w:szCs w:val="16"/>
                <w:color w:val="auto"/>
              </w:rPr>
            </w:pPr>
          </w:p>
        </w:tc>
        <w:tc>
          <w:tcPr>
            <w:tcW w:w="12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1-5 Years</w:t>
            </w:r>
          </w:p>
        </w:tc>
      </w:tr>
      <w:tr>
        <w:trPr>
          <w:trHeight w:val="24"/>
        </w:trPr>
        <w:tc>
          <w:tcPr>
            <w:tcW w:w="42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debt securities (government)</w:t>
            </w:r>
          </w:p>
        </w:tc>
        <w:tc>
          <w:tcPr>
            <w:tcW w:w="27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466,769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221,410</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245,359</w:t>
            </w:r>
          </w:p>
        </w:tc>
      </w:tr>
      <w:tr>
        <w:trPr>
          <w:trHeight w:val="902"/>
        </w:trPr>
        <w:tc>
          <w:tcPr>
            <w:tcW w:w="4260" w:type="dxa"/>
            <w:vAlign w:val="bottom"/>
          </w:tcPr>
          <w:p>
            <w:pPr>
              <w:spacing w:after="0"/>
              <w:rPr>
                <w:sz w:val="24"/>
                <w:szCs w:val="24"/>
                <w:color w:val="auto"/>
              </w:rPr>
            </w:pPr>
          </w:p>
        </w:tc>
        <w:tc>
          <w:tcPr>
            <w:tcW w:w="270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98"/>
        </w:trPr>
        <w:tc>
          <w:tcPr>
            <w:tcW w:w="426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Debt security assets were assessed for risk of expected credit losses. As of June 30, 2025 and December 31, 2024, the available-for-sale debt securities were held in U.S.-government backed securities and in Treasury bonds and were assessed on an individual security basis to have a de minimis risk of credit loss.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2—Valuations based on observable inputs and quoted prices in active markets for similar assets and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marketable securities consist of investments in U.S. government debt securities that are classified as available-for-sale.</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At June 30, 2025 and December 31, 2024, our Level 2 U.S. government debt securities were valued using readily available pricing sources which utilize market observable inputs, including the current interest rate and other characteristics for similar types of investments. Our long term equity investments classified as Level 1 were valued using their respective closing stock prices on The Nasdaq Stock Market. We did not experience any transfers of financial instruments between the fair value hierarchy levels during the three and six months ended June 30, 2025.</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4"/>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3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3"/>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1,954,969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1,954,969</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466,769</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13,313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w:t>
            </w:r>
          </w:p>
        </w:tc>
      </w:tr>
      <w:tr>
        <w:trPr>
          <w:trHeight w:val="21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1,968,282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466,769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2,435,051</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99"/>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4"/>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5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3"/>
                <w:szCs w:val="13"/>
                <w:color w:val="auto"/>
              </w:rPr>
            </w:pPr>
          </w:p>
        </w:tc>
        <w:tc>
          <w:tcPr>
            <w:tcW w:w="1340" w:type="dxa"/>
            <w:vAlign w:val="bottom"/>
          </w:tcPr>
          <w:p>
            <w:pPr>
              <w:jc w:val="center"/>
              <w:ind w:right="58"/>
              <w:spacing w:after="0" w:line="159" w:lineRule="exact"/>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9"/>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7"/>
                <w:szCs w:val="17"/>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5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1,687,829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1,687,829</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470,263</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18,814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r>
      <w:tr>
        <w:trPr>
          <w:trHeight w:val="21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1,706,643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2,176,906</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2"/>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4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98"/>
        </w:trPr>
        <w:tc>
          <w:tcPr>
            <w:tcW w:w="5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as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67"/>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207,000</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99"/>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26"/>
        </w:trPr>
        <w:tc>
          <w:tcPr>
            <w:tcW w:w="50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43"/>
              <w:spacing w:after="0" w:line="126"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57"/>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3"/>
                <w:szCs w:val="13"/>
                <w:color w:val="auto"/>
              </w:rPr>
            </w:pPr>
          </w:p>
        </w:tc>
        <w:tc>
          <w:tcPr>
            <w:tcW w:w="134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193,000</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98"/>
        </w:trPr>
        <w:tc>
          <w:tcPr>
            <w:tcW w:w="66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following is a roll 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34,333</w:t>
            </w: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June 30, 2025 and December 31, 2024 included a discount rate of 10% and updated projections of future net revenues of ICLUSIG in the European Union and other countries for the approved third line treatment. The change in fair value of the contingent consideration during the three and six months ended June 30, 2025 was due primarily to fluctuations in foreign currency exchange rates impacting future revenue projections of ICLUSIG and the passage of time.</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generally make payments to Takeda Pharmaceutical Company Limited quarterly based on the royalties earned in the previous quarter. As of June 30, 2025 and December 31, 2024, contingent consideration earned but not yet paid was $10.8 million and $10.0 million, respectively, and was included in accrued and other current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Concentration of Credit Risk and Current Expected Credit Losses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Pharma AG (formerly known as Novartis Pharmaceutical International Ltd.) (“Novartis”). In December 2009, we entered into a license, development and commercialization agreement with Eli Lilly and Company (“Lilly”). The above collaboration partners comprised, in aggregate, 18% and 19% of the accounts receivable balance as of June 30, 2025 and December 31, 2024, respectively. For further information relating to these collaboration and license agreements, refer to Note 8.</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and in October 2021, we began commercialization and distribution of OPZELURA. Our product revenues are concentrated in a number of customers for these products. The concentration of credit risk related to our JAKAFI and OPZELURA product revenues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Percentage of Total Net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 of Total Net</w:t>
            </w:r>
          </w:p>
        </w:tc>
      </w:tr>
      <w:tr>
        <w:trPr>
          <w:trHeight w:val="172"/>
        </w:trPr>
        <w:tc>
          <w:tcPr>
            <w:tcW w:w="476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Product Revenues for the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Revenues for the</w:t>
            </w:r>
          </w:p>
        </w:tc>
      </w:tr>
      <w:tr>
        <w:trPr>
          <w:trHeight w:val="186"/>
        </w:trPr>
        <w:tc>
          <w:tcPr>
            <w:tcW w:w="4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3"/>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4"/>
        </w:trPr>
        <w:tc>
          <w:tcPr>
            <w:tcW w:w="4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4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92"/>
        </w:trPr>
        <w:tc>
          <w:tcPr>
            <w:tcW w:w="4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9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5"/>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5"/>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D and E comprised, in the aggregate, 50% and 47% of the accounts receivable balance as of June 30, 2025 and December 31, 2024, respectively. The concentration of credit risk relating to our other product revenues or accounts receivable is not significant.</w:t>
      </w:r>
    </w:p>
    <w:p>
      <w:pPr>
        <w:spacing w:after="0" w:line="178"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We assessed our collaborative and customer receivable assets as of June 30, 2025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June 30, 2025 and December 31, 2024, we had no allowance for doubtful accounts.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Acquisitions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February 5, 2024, pursuant to a purchase agreement with MorphoSys AG and MorphoSys US Inc., a wholly-owned subsidiary of MorphoSys AG (together with MorphoSys AG, “MorphoSys”), we acquired exclusive global rights to tafasitamab, a humanized Fc-modified CD19-targeting immunotherapy marketed in the United States as MONJUVI (tafasitamab-cxix) and outside of the United States as MINJUVI (tafasitamab). We previously had the rights to tafasitamab outside of the United States under a January 2020 collaboration and license agreement with MorphoSys, which has now been terminated; therefore, this new agreement gave us all of the remaining global rights to tafasitamab. Under the terms of the purchase agreement, we made a payment of $25.0 million to MorphoSys and gained global development and commercialization rights for tafasitamab along with MONJUVI inventory. We recognize revenue and costs for all U.S. commercialization and clinical development and MorphoSys is no longer be eligible to receive future milestone, profit split and royalty payments under the now-terminated collaboration and license agreement.</w:t>
      </w:r>
    </w:p>
    <w:p>
      <w:pPr>
        <w:spacing w:after="0" w:line="19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evaluated the set of activities and assets acquired under the purchase agreement and concluded that it did not meet the definition of a business because the acquired set did not include a substantive process. Therefore, the transaction was accounted for as an asset acquisition under U.S. GAAP and the total purchase price, inclusive of direct transaction costs, was allocated to the acquired MONJUVI inventory, in accordance with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7"/>
          <w:szCs w:val="17"/>
          <w:color w:val="auto"/>
        </w:rPr>
        <w:t>Under the purchase agreement, we also became the successor to MorphoSys under its collaboration and license agreement with Xencor, Inc. (“Xencor”), pursuant to which Xencor granted MorphoSys an exclusive, worldwide license, including the right to sublicense under certain conditions, for tafasitamab. During the first quarter of 2025, we paid Xencor a development milestone of $12.5 million for the U.S. Food and Drug Administration's acceptance of the Biologics License Application filing for the use of tafasitamab for follicular lymphoma. In June 2025, we recorded a $25.0 million regulatory milestone owed to Xencor for the FDA approval of MONJUVI for the treatment of follicular lymphoma. As of June 30, 2025, this milestone was accrued in accounts payable and capitalized as an intangible asset in other intangible assets, net on the condensed consolidated balance sheet as of June 30, 2025. The intangible asset will be amortized through cost of product revenues over the estimated useful life of 8 years. Xencor is entitled to receive up to an additional $149.0 million in future contingent development and regulatory milestones and up to $50.0 million in sales milestones. Furthermore, Xencor is eligible to receive tiered royalties on global net sales of tafasitamab in the single-digit to sub-teen double-digit percentage range. Our royalty obligations continue on a country-by-country basis until the later to occur of the expiration of the last valid claim in the licensed patent covering tafasitamab in such country, or 11 years after the first sale thereof following marketing authorization in such country. The term of the Xencor collaboration agreement will continue until all of our royalty payment obligations have expired, unless terminated earlier. The Xencor collaboration agreement may be terminated by either party upon written notice to the other party immediately in the event of the other party’s insolvency or upon 120 days’ written notice for the other party’s uncured material breach (or upon 30 days’ written notice in the case of a breach of a payment obligation). Moreover, we may terminate the Xencor collaboration agreement without cause upon 90 days’ advance written notice to Xencor. In the event that (i) we terminate this agreement for convenience or</w:t>
      </w:r>
    </w:p>
    <w:p>
      <w:pPr>
        <w:spacing w:after="0" w:line="11" w:lineRule="exact"/>
        <w:rPr>
          <w:sz w:val="20"/>
          <w:szCs w:val="20"/>
          <w:color w:val="auto"/>
        </w:rPr>
      </w:pPr>
    </w:p>
    <w:p>
      <w:pPr>
        <w:ind w:firstLine="6"/>
        <w:spacing w:after="0" w:line="251"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Xencor terminates due to our material breach, our challenge of Xencor’s licensed patents or our insolvency, worldwide rights to develop, manufacture and commercialize licensed products, including tafasitamab, revert back to Xencor.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Escient Pharmaceuticals,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Escient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On May 30, 2024 we acquired all of the outstanding shares of common stock of Escient, a clinical-stage drug development company advancing novel small molecule therapeutics for systemic immune and neuro-immune disorders, for $782.5 million cash consideration, which included Escient's net cash remaining at the close of the transaction, subject to adjustments set forth in the merger agreement with Escient.</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Escient’s lead molecule, INCB000262 (formerly EP262), is a first-in-class oral Mas-related G protein-coupled receptor X2 (MRGPRX2) antagonist that has the potential to treat a broad range of inflammatory disorders. We accounted for the Escient transaction as an asset acquisition under U.S. GAAP because INCB000262 represents substantially all of the fair value of the gross assets acquired.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to the $782.5 million closing cash consideration per the terms of the merger agreement, we incurred $2.5 million of direct transaction costs that were included in the total consideration to be allocated to the acquired net assets. Of the $785.0 million total consideration, we recognized related compensation expense of $31.5 million associated with the accelerated vesting for certain Escient stock awards in connection with the acquisition on our condensed consolidated statements of operations for the quarter ended June 30, 2024.</w:t>
      </w:r>
    </w:p>
    <w:p>
      <w:pPr>
        <w:spacing w:after="0" w:line="180"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allocation of the remaining U.S. GAAP consideration, net of compensation expense, across the net assets acquired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48,302</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assets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679,388</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44,811</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9"/>
        </w:trPr>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U.S. GAAP Consideration (net of compensation expense)</w:t>
            </w: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753,511</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In-process research and development (“IPR&amp;D”) assets are related to acquired clinical-stage product candidates: lead candidate, INCB000262, and secondary candidate, INCB000547 (formerly EP547). The fair value of IPR&amp;D assets was based on the present value of future discounted cash flows, which was based on significant estimates. These estimates included the amount of future product revenues, costs required to conduct clinical trials, future milestones and royalties payable under acquired license agreements, costs to receive regulatory approval and potentially commercialize product candidates, as well as estimates for probability of success and the discount rate. The concluded allocated fair values for INCB000262 and INCB000547 was $644.8 million and $34.6 million, respectively. As both acquired IPR&amp;D assets do not have an alternative future use at the acquisition date, we recognized the full amount of $679.4 million as research and development expenses on our condensed consolidated statements of operations during three and six months ended June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API and Work-in-process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331,178</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48,431</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407,199</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active pharmaceutical ingredients (“API”), work in process, and finished goods, inclusive of freight and inventoriable overhead. At June 30, 2025, $83.4 million of inventory was classified as current on the condensed consolidated balance sheet as we expect this inventory to be consumed for commercial use within the next twelve months. At June 30, 2025, $368.1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We capitalize inventory after regulatory approval as the related costs are expected to be recoverable through the commercialization of the product. Costs incurred prior to regulatory approval are recorded as research and development expense in our condensed consolidated statements of operations. At June 30, 2025, inventory with approximately $47.4 million of product costs incurred prior to regulatory approval had not yet been sold. We expect to sell the pre-commercialization inventory over the next 3 to 43 months and, as a result, cost of product revenues will reflect a lower average per unit cost of materials.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License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Under this agreement,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Initially, we were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June 30, 2025, we have recognized and received, in the aggregate, $157.0 million for the achievement of development milestones, $345.0 million for the achievement of regulatory milestones, and $200.0 million for the achievement of sales milestones.</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obligated to pay to Novartis tiered royalties in the low single-digits on future JAKAFI net sales within the United States. On May 11, 2025, we and Novartis entered into a settlement agreement (the “Settlement Agreement”) with respect to litigation initiated by Novartis relating to the duration of royalty payments owed by us to Novartis under the Collaboration and License Agreement. As of March 31, 2025, we had approximately $537.1 million of accrued royalties relating to the dispute with Novartis included in accrued and other current liabilities on our condensed consolidated balance sheet. Under the Settlement Agreement, we paid Novartis $280.0 million as the settlement of disputed royalties on net sales of JAKAFI in the United States through December 31, 2024, and agreed to reduce by 50% the royalty rate payable by us on future net sales of JAKAFI in the United States beginning January 1, 2025 for a period defined in the Settlement Agreement. The reduced royalty paid for the quarter ended March 31, 2025, was approximately $14.9 million. The difference of $242.2 million between the total accrued royalties and the total amount paid by us to Novartis as disclosed above was recorded in Contract dispute settlement on our condensed consolidated statement of operations for three and six months ended June 30, 2025.</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During the three and six months ended June 30, 2025, such royalties on net sales within the United States totaled $18.7 million and $48.5 million, respectively, and were reflected in cost of product revenues on the condensed consolidated statements of operations. During the three and six months ended June 30, 2024, such royalties on net sales within the United States totaled $34.6 million and $57.6 million, respectively, and were reflected in cost of product revenues on the condensed consolidated statements of operations. At June 30, 2025 and December 31, 2024, approximately $18.7 million and $507.4 million, respectively, of accrued royalties were included in accrued and other current liabilities on the condensed consolidated balance sheets.</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TABRECTA net sales that range from 12% to 14%. Product royalty revenue related to Novartis net sales of JAKAVI outside of the United States for the three and six months ended June 30, 2025, was $109.7 million and $201.9 million, respectively. Product royalty revenue related to Novartis net sales of JAKAVI outside of the United States for the three and six months ended June 30, 2024, was $99.3 million and $188.9 million, respectively. Product royalty revenue related to Novartis net sales of TABRECTA worldwide for the three and six months ended June 30, 2025, was $6.6 million and $13.0 million, respectively. Product royalty revenue related to Novartis net sales of TABRECTA worldwide for the three and six months ended June 30, 2024, was $5.3 million and $10.5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June 30, 2025, we have recognized and received, in aggregate, $149.0 million for the achievement of development milestones, $335.0 million for the achievement of regulatory milestones and $50.0 million for the achievement of sales milestones. We are also eligible to receive tiered, double-digit royalties on future global sales with rates ranging up to the mid-twenties if a product is successfully commercialized.</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Product royalty revenue related to Lilly net sales of OLUMIANT outside of the United States for the three and six months ended June 30, 2025 was $33.5 million and $64.3 million, respectively. Product royalty revenue related to Lilly net sales of OLUMIANT outside of the United States for the three and six months ended June 30, 2024 was $31.7 million and $62.3 million,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agreed to collaborate on the discovery of novel immuno-therapeutics using Agenus’ antibody discovery platforms. In February 2025, we provided Agenus with notice that we are terminating the parties’ agreement based upon a strategic review. Under the terms of the agreement, the termination will become effective in February 2026, unless Agenus agrees to accelerate the notice period.</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2024, we sold our shares of Agenus Inc. common stock, and as of December 31, 2024, we had no remaining investment in Agenus Inc. common stock. For the three and six months ended June 30, 2024, we recorded an unrealized gain of $3.1 million and $0.1 million, respectively, based on the change in fair value of Agenus Inc.’s common stock during the respective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2024, we sold our investment of Merus’ common shares, and as of December 31, 2024, we had no remaining investment in Merus’ common shares. For the three and six months ended June 30, 2024, we recorded realized and unrealized gains of $40.0 million and $110.2 million, respectively, based on the sale of shares and change in fair value of remaining Merus’ common shares during the respective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Since the inception of the agreement, inclusive of amendments to the agreement, through June 30, 2025, we have paid MacroGenics developmental and regulatory milestones totaling $215.0 million. After these amendments and subsequent payments, MacroGenics will be eligible to receive up to an additional $210.0 million in future contingent development and regulatory milestones, and up to $330.0 million in sales milestones as well as tiered royalties ranging from 15% to 24% of global net sales. In June 2025, MacroGenics sold certain of its rights to such future tiered royalties on and after June 30, 2025 to Sagard Healthcare Partners (Delaware) II 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MorphoSys</w:t>
      </w:r>
    </w:p>
    <w:p>
      <w:pPr>
        <w:spacing w:after="0" w:line="22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As described in Note 6, on February 5, 2024, we entered into a purchase agreement with MorphoSys that became effective as of that date, as a result of which we now hold exclusive global rights for tafasitamab, a humanized Fc-modified CD19-targeting immunotherapy marketed in the United States as MONJUVI (tafasitamab-cxix) and outside of the United States as MINJUVI (tafasitamab). Prior to the acquisition, pursuant to a now-terminated collaboration and license agreement, we and MorphoSys agreed to co-develop tafasitamab and to share development costs associated with global and U.S.-specific clinical trials, with Incyte responsible for 55% of such costs and MorphoSys responsible for 45% of such costs. Each company was responsible for funding any independent development activities, and we were responsible for funding development activities specific to territories outside of the United States.</w:t>
      </w:r>
    </w:p>
    <w:p>
      <w:pPr>
        <w:spacing w:after="0" w:line="16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2024, we sold our investment of MorphoSys AG’s ordinary shares, and as of December 31, 2024, we had no remaining investment in MorphoSys AG’s ordinary shares. For the three and six months ended June 30, 2024, we recorded realized and unrealized gains of $0.8 million and $30.7 million, respectively, based on the sale of shares and change in fair value of MorphoSys AG's ordinary shares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50% share of the United States loss or profit for the commercialization of tafasitamab for the period from January 1, 2024 to the asset acquisition on February 5, 2024, was a profit of $1.0 million, and is recorded as (Profit) and loss sharing under collaboration agreements on the condensed consolidated statement of operations. As described in Note 6, subsequent to the asset acquisition, we recognize revenue and costs for all commercialization and clinical development of tafasitamab in the United States. Research and development expenses for the period from January 1, 2024 to the asset acquisition on February 5, 2024, includes $10.7 million, related to our 55% share of the co-development costs for tafasitamab.</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Pharmaceuticals, Inc. (“Syndax”), covering the worldwide development and commercialization of SNDX-6352 (“axatilimab”). Under the terms of our agreement, we received exclusive commercialization rights to axatilimab outside of the United States and share commercialization rights in the United States with Syndax. We are responsible for leading the commercialization strategy and booking all revenue from sales of axatilimab globally. Incyte and Syndax share equally the profits and losses from the co-commercialization efforts in the United States. Sales of axatilimab outside the United States are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spacing w:after="0" w:line="19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August 2024, we made a $12.5 million regulatory milestone payment to Syndax for the FDA approval of NIKTIMVO for the treatment of GVHD. This milestone payment was capitalized as an intangible asset and included in other intangible assets, net on the condensed consolidated balance sheet as of June 30, 2025, and is being amortized through cost of product revenues over the estimated useful life of 10 years.</w:t>
      </w:r>
    </w:p>
    <w:p>
      <w:pPr>
        <w:spacing w:after="0" w:line="17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Inclusive of an upfront, non-refundable payment, since the inception of the agreement through June 30, 2025, we have made payments of $129.5 million to Syndax, which were previously recorded in research and development expense or in other intangible assets, as discussed above. Syndax is eligible to receive up to $207.5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Syndax’s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of June 30, 2025, we held an investment of approximately 1.4 million shares of Syndax common stock. The fair market value of our long term investment in Syndax as of June 30, 2025 and December 31, 2024 was $13.3 million and $18.8 million, respectively. For the three and six months ended June 30, 2025, we recorded an unrealized loss of $4.2 million and $5.5 million, respectively, based on the change in fair value of Syndax’s common stock during the respective periods. For the three and six months ended June 30, 2024, we recorded an unrealized loss of $4.6 million and $1.5 million, respectively, based on the change in fair value of Syndax’s common stock during the respective periods.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Research and development expenses for the three and six months ended June 30, 2025, includes $5.3 million and $10.0 million, respectively, related to our 55% share of the co-development costs for axatilimab. Research and development expenses for the three and six months ended June 30, 2024, includes $4.7 million and $11.8 million, respectively, related to our 55% share of the co-development costs for axatilimab. At both June 30, 2025 and December 31, 2024, $2.2 million was included in accrued and other liabilities on the condensed consolidated balance sheet for amounts due to Syndax under the agreement.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Medical Systems Holdings Limited</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March 2024, we entered into a Collaboration and License Agreement with China Medical System Skinhealth, a wholly-owned dermatology medical aesthetic company and subsidiary of China Medical System Holdings Limited (“CMSHL”), for the development and commercialization of povorcitinib, a selective oral JAK1 inhibitor, in certain indications in certain Asian territories. In March 2024, we recognized an upfront payment under this agreement of $25.0 million upon our transfer of the functional intellectual property related to povorcitinib to CMSHL which was recorded in milestone and contract revenues on the condensed consolidated statement of operations during the first quarter of 2024. We are eligible to receive additional potential development and commercial milestones, as well as royalties on net sales of the licensed product in CMSHL’s territory. CMSHL received an exclusive license to develop and commercialize and a non-exclusive license to manufacture povorcitinib in autoimmune and inflammatory dermatologic diseases, including non-segmental vitiligo, hidradenitis suppurativa, prurigo nodularis, asthma and chronic spontaneous urticaria, for patients in mainland China, Hong Kong, Macau, Taiwan and certain countries in Southeast Asia.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net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229,797</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156,859</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597,342</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46,062</w:t>
            </w:r>
          </w:p>
        </w:tc>
      </w:tr>
      <w:tr>
        <w:trPr>
          <w:trHeight w:val="219"/>
        </w:trPr>
        <w:tc>
          <w:tcPr>
            <w:tcW w:w="8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1,091,395</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(346,371)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(327,984)</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763,411</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2024, we purchased additional property in Wilmington, Delaware, including land, office buildings and parking garages for a purchase price of $48.7 million. During the year ended December 31, 2024, we capitalized $4.9 million of land and $19.5 million of building and parking garage. As of June 30, 2025 we have $39.9 million of construction in progress relating to the downtown Wilmington properties.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and Other Current Liabilities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519,881</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related costs</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132,446</w:t>
            </w:r>
          </w:p>
        </w:tc>
      </w:tr>
      <w:tr>
        <w:trPr>
          <w:trHeight w:val="25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438,053</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33,439</w:t>
            </w:r>
          </w:p>
        </w:tc>
      </w:tr>
      <w:tr>
        <w:trPr>
          <w:trHeight w:val="2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r>
      <w:tr>
        <w:trPr>
          <w:trHeight w:val="24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r>
      <w:tr>
        <w:trPr>
          <w:trHeight w:val="2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58,865</w:t>
            </w:r>
          </w:p>
        </w:tc>
      </w:tr>
      <w:tr>
        <w:trPr>
          <w:trHeight w:val="251"/>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857,094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1,212,048</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further information on the change in accrued royalties refer to Note 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04"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2010 Stock Incentive Plan. </w:t>
      </w:r>
      <w:r>
        <w:rPr>
          <w:rFonts w:ascii="Times New Roman" w:cs="Times New Roman" w:eastAsia="Times New Roman" w:hAnsi="Times New Roman"/>
          <w:sz w:val="18"/>
          <w:szCs w:val="18"/>
          <w:color w:val="auto"/>
        </w:rPr>
        <w:t>Under our Amended and Restated 2010 Stock Incentive Plan, as amended (the “2010 Stock Plan”), we may issue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to employees, non-employee directors, consultants, and scientific advisors. Awards under the 2010 Stock Plan include stock options, restricted stock units (“RSUs”) and performance shares (“PSUs”).</w:t>
      </w:r>
    </w:p>
    <w:p>
      <w:pPr>
        <w:spacing w:after="0" w:line="17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June 2025, our stockholders approved an increase in the number of shares of common stock reserved for issuance under the 2010 Stock Plan from 66,453,475 to 74,953,475.</w:t>
      </w:r>
    </w:p>
    <w:p>
      <w:pPr>
        <w:spacing w:after="0" w:line="16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Inducement Stock Incentive Plan. </w:t>
      </w:r>
      <w:r>
        <w:rPr>
          <w:rFonts w:ascii="Times New Roman" w:cs="Times New Roman" w:eastAsia="Times New Roman" w:hAnsi="Times New Roman"/>
          <w:sz w:val="18"/>
          <w:szCs w:val="18"/>
          <w:color w:val="auto"/>
        </w:rPr>
        <w:t>Our Board of Directors has adopted the Incyte Corporation 2024 Inducement Stock Incentive Plan,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(the “2024 Inducement Plan”). In reliance on Nasdaq Marketplace Rule 5635(c)(4), stockholder approval was not obtained. A total of 2,000,000 shares of common stock are reserved for issuance pursuant to the 2024 Inducement Plan.</w:t>
      </w:r>
    </w:p>
    <w:p>
      <w:pPr>
        <w:spacing w:after="0" w:line="17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Share Repurchase and Modified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Dutch Auction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Tender Offer. </w:t>
      </w:r>
      <w:r>
        <w:rPr>
          <w:rFonts w:ascii="Times New Roman" w:cs="Times New Roman" w:eastAsia="Times New Roman" w:hAnsi="Times New Roman"/>
          <w:sz w:val="18"/>
          <w:szCs w:val="18"/>
          <w:color w:val="auto"/>
        </w:rPr>
        <w:t>On May 13, 2024 we announced that our Board of Directors approved a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authorization of $2.0 billion. Subsequently, we commenced a modified “Dutch Auction” tender offer to repurchase shares of our common stock for an aggregate purchase price of up to $1.672 billion (the “tender offer”). We offered to purchase up to $1.672 billion in value of our common stock at a price not greater than $60.00 per share nor less than $52.00 per share, net to the seller in cash, less any applicable withholding taxes and without interest, upon the terms and subject to the conditions set forth in the tender offer documents that were distributed to stockholders. A modified “Dutch Auction” tender offer allows stockholders to indicate how much stock they wish to tender and at what price within the range described above. Based on the number of shares tendered and the prices specified by the tendering stockholders, we determined the lowest price per share that enabled us to purchase $1.672 billion of common stock at such price. On June 13, 2024 we completed the tender offer and repurchased 27,866,666 shares at a price of $60.00 per share for an aggregate price of approximately $1.672 billion, excluding fees and related expenses, pursuant to the tender offer.</w:t>
      </w:r>
    </w:p>
    <w:p>
      <w:pPr>
        <w:spacing w:after="0" w:line="18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on May 12, 2024, we entered into a separate stock purchase agreement with Julian C. Baker (a member of our Board of Directors), Felix J. Baker, and entities affiliated with Julian C. and Felix J. Baker, including funds advised by Baker Bros. Advisors LP (collectively, the “Baker Entities”), to repurchase up to $328.0 million of our common stock. This would enable the Baker Entities to maintain their ownership level as of May 9, 2024 of approximately 16.4% of Incyte’s outstanding common stock. The Baker Entities purchase was to be at the same price per share as is determined and paid in the tender offer. On June 26, 2024, we repurchased 5,459,183 shares at a price of $60.00 per share for an aggregate price of approximately $328.0 million pursuant to the terms of the stock purchase agreement with the Baker Entities.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account for share repurchases as retirements, whereby it reduces common stock and additional paid-in capital by the amount of the original issuance, with any excess purchase price recorded as a reduction to retained earnings (accumulated deficit). Any transaction costs, including the excise tax, directly associated with the share repurchases are included as part of the purchase price. Under this method, the issued and outstanding shares of common stock are reduced by the number of shares of common stock repurchased, and no treasury stock is recognized on the condensed consolidated financial statements.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 total of 33,325,849 common shares were repurchased during June 2024 at a price of $60.00 per share for an aggregate purchase price of approximately $2.0 billion. We incurred $24.4 million in fees and expenses associated with the share repurchase, which included $19.1 million for excise taxes on share repurchases in accordance with the Inflation Reduction Act of 2022. We paid the excise tax in April 2025. These costs are recognized within (accumulated deficit) retained earnings on the condensed consolidated balance sheet as of June 30, 2025 as costs to repurchase our common stock. The purchased shares were cancelled and ceased to be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Compensation</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recorded $64.6 million and $125.6 million of stock compensation expense on our condensed consolidated statements of operations for the three and six months ended June 30, 2025, respectively. We recorded $56.6 million and $116.4 million of stock compensation expense on our condensed consolidated statements of operations for the three and six months ended June 30, 2024, respectively. Stock compensation expense included within our condensed consolidated statements of operations included research and development expense of $37.7 million, $74.4 million, $34.5 million and $71.3 million for the three and six months ended June 30, 2025 and 2024, respectively. Stock compensation expense included within our condensed consolidated statements of operations also included selling, general and administrative expense of $26.1 million, $49.5 million, $21.7 million and $44.1 million for the three and six months ended June 30, 2025 and 2024, respectively. Stock compensation expense included within our condensed consolidated statements of operations also included cost of product revenues of $0.8 million, $1.7 million, $0.4 million and $1.0 million respectively, for the three and six months ended June 30, 2025 and 2024.</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Additionally, as described in Note 6, as part of the Escient acquisition, during the three and six months ended June 30, 2024, we recognized related compensation expense of $31.5 million associated with the accelerated vesting for certain Escient stock awards in connection with the acquisition on our condensed consolidated statements of operations.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Employee Stock Options</w:t>
      </w:r>
    </w:p>
    <w:p>
      <w:pPr>
        <w:spacing w:after="0" w:line="29" w:lineRule="exact"/>
        <w:rPr>
          <w:sz w:val="20"/>
          <w:szCs w:val="20"/>
          <w:color w:val="auto"/>
        </w:rPr>
      </w:pPr>
    </w:p>
    <w:tbl>
      <w:tblPr>
        <w:tblLayout w:type="fixed"/>
        <w:tblInd w:w="2440" w:type="dxa"/>
        <w:tblCellMar>
          <w:top w:w="0" w:type="dxa"/>
          <w:left w:w="0" w:type="dxa"/>
          <w:bottom w:w="0" w:type="dxa"/>
          <w:right w:w="0" w:type="dxa"/>
        </w:tblCellMar>
      </w:tblPr>
      <w:tr>
        <w:trPr>
          <w:trHeight w:val="206"/>
        </w:trPr>
        <w:tc>
          <w:tcPr>
            <w:tcW w:w="2460" w:type="dxa"/>
            <w:vAlign w:val="bottom"/>
            <w:tcBorders>
              <w:top w:val="single" w:sz="8" w:color="auto"/>
              <w:bottom w:val="single" w:sz="8" w:color="auto"/>
            </w:tcBorders>
            <w:gridSpan w:val="2"/>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80" w:type="dxa"/>
            <w:vAlign w:val="bottom"/>
            <w:tcBorders>
              <w:top w:val="single" w:sz="8" w:color="auto"/>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2"/>
        </w:trPr>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6"/>
        </w:trPr>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Borders>
              <w:top w:val="single" w:sz="8" w:color="auto"/>
              <w:bottom w:val="single" w:sz="8" w:color="auto"/>
            </w:tcBorders>
            <w:gridSpan w:val="2"/>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00" w:type="dxa"/>
            <w:vAlign w:val="bottom"/>
            <w:tcBorders>
              <w:top w:val="single" w:sz="8" w:color="auto"/>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2"/>
        </w:trPr>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6"/>
        </w:trPr>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 w:lineRule="exact"/>
        <w:rPr>
          <w:sz w:val="20"/>
          <w:szCs w:val="20"/>
          <w:color w:val="auto"/>
        </w:rPr>
      </w:pPr>
    </w:p>
    <w:p>
      <w:pPr>
        <w:sectPr>
          <w:pgSz w:w="11900" w:h="16838" w:orient="portrait"/>
          <w:cols w:equalWidth="0" w:num="2">
            <w:col w:w="6780" w:space="100"/>
            <w:col w:w="4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rates</w:t>
            </w:r>
          </w:p>
        </w:tc>
        <w:tc>
          <w:tcPr>
            <w:tcW w:w="2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5.41 %</w:t>
            </w:r>
          </w:p>
        </w:tc>
      </w:tr>
      <w:tr>
        <w:trPr>
          <w:trHeight w:val="225"/>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172"/>
        </w:trPr>
        <w:tc>
          <w:tcPr>
            <w:tcW w:w="24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Weighted-average fair value (in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4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10.54</w:t>
            </w:r>
          </w:p>
        </w:tc>
      </w:tr>
    </w:tbl>
    <w:p>
      <w:pPr>
        <w:spacing w:after="0" w:line="2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activity under our 2010 Stock Plan and 2024 Inducement Plan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33"/>
        </w:trPr>
        <w:tc>
          <w:tcPr>
            <w:tcW w:w="8180" w:type="dxa"/>
            <w:vAlign w:val="bottom"/>
          </w:tcPr>
          <w:p>
            <w:pPr>
              <w:spacing w:after="0"/>
              <w:rPr>
                <w:sz w:val="11"/>
                <w:szCs w:val="11"/>
                <w:color w:val="auto"/>
              </w:rPr>
            </w:pPr>
          </w:p>
        </w:tc>
        <w:tc>
          <w:tcPr>
            <w:tcW w:w="148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17"/>
              <w:spacing w:after="0" w:line="13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(403,571)</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13,047,607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Our annual stock option grants generally have a 10-year term and vest over four years, with 25% vesting after one year and the remainder vesting in 36 equal monthly installments, subject to customary retirement provisions that may accelerate the requisite service period for expense recognition purposes.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RSU and PSU award activity under the 2010 Stock Plan and 2024 Inducement Plan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Outstanding Awards</w:t>
            </w:r>
          </w:p>
        </w:tc>
      </w:tr>
      <w:tr>
        <w:trPr>
          <w:trHeight w:val="192"/>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Grant Date Value</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PSUs earned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(169,673)</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8,542,467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 subject to customary retirement provisions that may accelerate the requisite service period for expense recognition purposes.</w:t>
      </w:r>
    </w:p>
    <w:p>
      <w:pPr>
        <w:spacing w:after="0" w:line="18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and six months ended June 30, 2025 we recorded $6.9 million and $10.0 million, respectively, of stock compensation expense for PSUs on our condensed consolidated statements of operations. For the three and six months ended June 30, 2024 we recorded $3.5 million and $6.9 million, respectively, of stock compensation expense for PSUs on our condensed consolidated statements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following table summarizes our shares available for grant under the 2010 Stock Plan and 2024 Inducement Plan. Previously, each RSU and PSU grant reduced the available share pool by 2 shares. In June 2025, our stockholders approved an amendment to the 2010 Stock Plan to remove the fungible ratio, and all awards granted under the 2010 Stock Plan after June 10, 2025, the date of our latest annual meeting, will reduce the share reserve on a one-for-one basis. If awards granted under the 2010 Stock Plan on or prior to June 10, 2025 expire, become unexercisable or are forfeited or repurchased after that date, the shares that were subject to those awards will become available for future grant only on a one-for-one basis, even if the original award was a full value award that reduced the share reserve on a two-for-one basis. The 2024 Inducement Plan was amended in June 2025 to remove the provision that stated that any shares issued in connection with awards other than options and stock appreciation rights will be counted against the authorized share limitation as 2.0 shares for every one share so issued and, as a result, all awards granted under the 2024 Inducement Plan will reduce the share reserve thereunder on a one for one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86"/>
        </w:trPr>
        <w:tc>
          <w:tcPr>
            <w:tcW w:w="9760" w:type="dxa"/>
            <w:vAlign w:val="bottom"/>
          </w:tcPr>
          <w:p>
            <w:pPr>
              <w:spacing w:after="0"/>
              <w:rPr>
                <w:sz w:val="16"/>
                <w:szCs w:val="16"/>
                <w:color w:val="auto"/>
              </w:rPr>
            </w:pPr>
          </w:p>
        </w:tc>
        <w:tc>
          <w:tcPr>
            <w:tcW w:w="14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4"/>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4,013,611</w:t>
            </w:r>
          </w:p>
        </w:tc>
      </w:t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authorization - 2010 Stock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8,500,000</w:t>
            </w:r>
          </w:p>
        </w:tc>
      </w:tr>
      <w:tr>
        <w:trPr>
          <w:trHeight w:val="25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RSUs and PSUs granted and issuance of shares for services rendered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(1,767,811)</w:t>
            </w:r>
          </w:p>
        </w:tc>
      </w:t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RSUs and PSUs 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733,814</w:t>
            </w:r>
          </w:p>
        </w:tc>
      </w:tr>
      <w:tr>
        <w:trPr>
          <w:trHeight w:val="25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Fungible ratio change adjustments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282,731</w:t>
            </w:r>
          </w:p>
        </w:tc>
      </w:tr>
      <w:tr>
        <w:trPr>
          <w:trHeight w:val="251"/>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11,762,345</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June 30, 2025, was $20.4 million, which is expected to be recognized over the weighted average period of approximately 1.1 years. Total compensation cost of RSUs granted but not yet vested, as of June 30, 2025, was $171.8 million, which is expected to be recognized over the weighted average period of approximately 1.2 years. Total compensation cost of PSUs granted but not yet vested, as of June 30, 2025, was $12.1 million, which is expected to be recognized over the weighted average period of 1.1 years, should the underlying performance conditions be deemed probable of achievement.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19" w:lineRule="exact"/>
        <w:rPr>
          <w:sz w:val="20"/>
          <w:szCs w:val="20"/>
          <w:color w:val="auto"/>
        </w:rPr>
      </w:pPr>
    </w:p>
    <w:p>
      <w:pPr>
        <w:ind w:right="660" w:firstLine="636"/>
        <w:spacing w:after="0" w:line="274" w:lineRule="auto"/>
        <w:rPr>
          <w:sz w:val="20"/>
          <w:szCs w:val="20"/>
          <w:color w:val="auto"/>
        </w:rPr>
      </w:pPr>
      <w:r>
        <w:rPr>
          <w:rFonts w:ascii="Times New Roman" w:cs="Times New Roman" w:eastAsia="Times New Roman" w:hAnsi="Times New Roman"/>
          <w:sz w:val="18"/>
          <w:szCs w:val="18"/>
          <w:color w:val="auto"/>
        </w:rPr>
        <w:t>For the three and six months ended June 30, 2025 and 2024, we recorded the following provisions for income taxes and effective tax rates as compared to our income (loss) before provision for income taxes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tcPr>
          <w:p>
            <w:pPr>
              <w:spacing w:after="0"/>
              <w:rPr>
                <w:sz w:val="13"/>
                <w:szCs w:val="13"/>
                <w:color w:val="auto"/>
              </w:rPr>
            </w:pPr>
          </w:p>
        </w:tc>
      </w:tr>
      <w:tr>
        <w:trPr>
          <w:trHeight w:val="192"/>
        </w:trPr>
        <w:tc>
          <w:tcPr>
            <w:tcW w:w="4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2"/>
        </w:trPr>
        <w:tc>
          <w:tcPr>
            <w:tcW w:w="4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558,012</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(389,777)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792,202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(153,618)</w:t>
            </w:r>
          </w:p>
        </w:tc>
      </w:tr>
      <w:tr>
        <w:trPr>
          <w:trHeight w:val="24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153,013</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121,435</w:t>
            </w:r>
          </w:p>
        </w:tc>
      </w:tr>
      <w:tr>
        <w:trPr>
          <w:trHeight w:val="271"/>
        </w:trPr>
        <w:tc>
          <w:tcPr>
            <w:tcW w:w="4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r>
    </w:tbl>
    <w:p>
      <w:pPr>
        <w:spacing w:after="0" w:line="2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effective tax rate for the three and six months ended June 30, 2025 was higher than the U.S. statutory rate primarily due to an increase in our valuation allowance against certain U.S. federal and state deferred tax assets. This was partially offset by tax rate benefits associated with research and development and orphan drug tax credit generations and the foreign derived intangible income deduction. Our effective tax rate for the three and six months ended June 30, 2024 was higher than the U.S. statutory rate primarily due to a non-deductible charge of $710.9 million associated with the Escient acquisition.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2025 was favorable as compared to the three and six months ended June 30, 2024 primarily due to an the non-deductible charge associated with the Escient acquisition in the prior year period.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accrue interest and penalties related to unrecognized tax benefits as a component of the provision for income taxes.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In the U.S., the statute of limitations remains open beginning with tax year 2021. We are currently under U.S. federal audit for tax year 2021.</w:t>
      </w:r>
    </w:p>
    <w:p>
      <w:pPr>
        <w:spacing w:after="0" w:line="16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Pillar 2 guidelines, which were supported by over 130 countries worldwide, are designed to impose a 15% global minimum tax on adjusted financial results. We have evaluated the impact of Pillar 2 on our business, and determined there are no material impacts on our effective tax rate at this time. As countries we operate in enact legislation implementing Pillar 2, we will assess the impact on our financial statements in the period of enactment.</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On July 4, 2025, the U.S. enacted legislation formally titled “An Act to Provide for Reconciliation Pursuant to Title II of H. Con. Res. 14” and commonly referred to as the One Big Beautiful Bill Act (“OBBBA”). The OBBBA modified key provisions of the Tax Cuts and Jobs Act of 2017, including but not limited to, the expensing of domestic research costs, the deduction for Foreign-Derived Intangible Income, and the Global Intangible Low-Taxed Income regime. The OBBBA introduces multiple elections and features various effective dates, with some provisions effective in 2025 and others in subsequent years.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Under ASC 740, entities are required to recognize the impact of new income tax legislation in the period of enactment. We are currently evaluating the OBBBA’s various provisions and elections, including their potential impact on our effective tax rate and the realizability of deferred tax assets, and intend to reflect these effects in our financial statements for the period ending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Share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income (loss) per share was calculated as follows for the periods indicated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1"/>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1"/>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 (loss)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404,999</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563,202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(275,053)</w:t>
            </w:r>
          </w:p>
        </w:tc>
      </w:tr>
      <w:tr>
        <w:trPr>
          <w:trHeight w:val="265"/>
        </w:trPr>
        <w:tc>
          <w:tcPr>
            <w:tcW w:w="5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5"/>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193,995</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221,329</w:t>
            </w:r>
          </w:p>
        </w:tc>
      </w:tr>
      <w:tr>
        <w:trPr>
          <w:trHeight w:val="265"/>
        </w:trPr>
        <w:tc>
          <w:tcPr>
            <w:tcW w:w="50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44"/>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5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(loss)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(275,053)</w:t>
            </w:r>
          </w:p>
        </w:tc>
      </w:tr>
      <w:tr>
        <w:trPr>
          <w:trHeight w:val="265"/>
        </w:trPr>
        <w:tc>
          <w:tcPr>
            <w:tcW w:w="5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193,995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221,329</w:t>
            </w:r>
          </w:p>
        </w:tc>
      </w:tr>
      <w:tr>
        <w:trPr>
          <w:trHeight w:val="225"/>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0"/>
        </w:trPr>
        <w:tc>
          <w:tcPr>
            <w:tcW w:w="5040" w:type="dxa"/>
            <w:vAlign w:val="bottom"/>
            <w:tcBorders>
              <w:top w:val="single" w:sz="8" w:color="CCEEFF"/>
            </w:tcBorders>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Weighted average shares used to compute diluted net income (loss)</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57"/>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 share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198,744</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221,329</w:t>
            </w:r>
          </w:p>
        </w:tc>
      </w:tr>
      <w:tr>
        <w:trPr>
          <w:trHeight w:val="265"/>
        </w:trPr>
        <w:tc>
          <w:tcPr>
            <w:tcW w:w="50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44"/>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62"/>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2"/>
        </w:trPr>
        <w:tc>
          <w:tcPr>
            <w:tcW w:w="5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All stock options and stock awards were excluded from the diluted share calculation for the three and six months ended June 30, 2024 because their effect would have been anti-dilutive, as we were in a net loss position. The potential common shares that were excluded from the diluted net income (loss) per share computation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180" w:type="dxa"/>
            <w:vAlign w:val="bottom"/>
            <w:gridSpan w:val="3"/>
          </w:tcPr>
          <w:p>
            <w:pPr>
              <w:jc w:val="center"/>
              <w:ind w:left="7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3"/>
          </w:tcPr>
          <w:p>
            <w:pPr>
              <w:jc w:val="center"/>
              <w:ind w:left="100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13"/>
                <w:szCs w:val="13"/>
                <w:color w:val="auto"/>
              </w:rPr>
            </w:pPr>
          </w:p>
        </w:tc>
      </w:tr>
      <w:tr>
        <w:trPr>
          <w:trHeight w:val="191"/>
        </w:trPr>
        <w:tc>
          <w:tcPr>
            <w:tcW w:w="458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left="102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r>
      <w:tr>
        <w:trPr>
          <w:trHeight w:val="191"/>
        </w:trPr>
        <w:tc>
          <w:tcPr>
            <w:tcW w:w="45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12,368,632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16,067,125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11,955,851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16,148,294</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Employee Benefit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six months ended June 30, 2025 was $5.7 million and $11.5 million, respectively. Defined contribution expense for the three and six months ended June 30, 2024 was $5.2 million and $10.6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2"/>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Other, net on the condensed consolidated statements of operations. We expect to contribute a total of $10.1 million to the pension plans in 2025 inclusive of the amounts contributed to the plan during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August 2021, we entered into a revolving credit and guaranty agreement, which was subsequently amended in May 2023 and June 2024 (as amended, the “Credit Agreement”), among Incyte Corporation, as borrower, our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The June 2024 amendment to the Credit Agreement extended the maturity date of the revolving credit facility from August 2024 to June 2027.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our consolidated leverage ratio in effect immediately prior to giving effect to such increase.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Loans under the Credit Agreement will bear interest, at our option, at a per annum rate equal to either (a) a base rate (but not less than 1.00%) plus an applicable rate per annum varying from 0.125% to 0.875% depending on our consolidated leverage ratio or (b) a rate based on the secured overnight financing rate (“SOFR”) plus a credit spread adjustment of 0.10% (but not less than 0.00%), plus an applicable rate per annum varying from 1.125% to 1.875% depending on our consolidated leverage ratio. Commitment fees payable on the undrawn commitment range from 0.15% per annum to 0.225% per annum, based on our consolidated leverage ratio. We may, at our option, prepay any borrowings under the Credit Agreement, in whole or in part, at any time and from time to time without premium or penalty, subject to customary exceptions. As of June 30, 2025 and December 31, 2024, we had no outstanding borrowings and were in compliance with all covenants under this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lawsuits, proceedings, and other disputes, including commercial, intellectual property, regulatory, employment, and other matters. The outcome of these disputes, regardless of the merits, is inherently uncertain and it is possible that an unfavorable resolution of these matters could adversely affect us, our results of operations, financial condition or cash flows. We record a reserve for these matters when it is both probable that a liability has been incurred and the amount of the loss can be reasonably estimated.</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entered into the collaboration agreements described in Note 8,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As described in Note 8, we entered into a Settlement Agreement with Novartis during May of 2025, with respect to litigation initiated by Novartis relating to the duration of royalty payments owed by us to Novartis under the Collaboration and License Agreement dated November 24, 2009, as amended, between us and Novartis.</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June 30, 2025, we have accrued approximately $165.2 million within accrued and other current liabilities on the condensed consolidated balance sheet, relating to the incremental rebates that would be owed were OPZELURA considered a line extension of JAKAFI. The impact on OPZELURA gross to net deductions for the quarter ending June 30, 2025 is approximately 6.6%. If OPZELURA is not treated as a line extension of JAKAFI, this would result in a reversal of our accrual and a lower future gross to net deduction for OPZELURA.</w:t>
      </w:r>
    </w:p>
    <w:p>
      <w:pPr>
        <w:spacing w:after="0" w:line="19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addition, we have various patent disputes and litigation initiated by us related to potential generic or other competition for our products, as described under Part II, Item 1A. “Risk Factors—Risks Relating to Commercialization of Our Products— Competition for our products could harm our business and result in a decrease in our revenue”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operate in one operating segment, and therefore one reportable segment, focused on the global discovery, development and commercialization of proprietary therapeutics. We manage business activities on a consolidated basis through the development and commercialization of oncology and dermatology products, which are sold to U.S. and international customers. Our determination that we operate as a single operating segment is consistent with the financial information regularly reviewed by the chief operating decision maker for purposes of evaluating performance, allocating resources, setting incentive compensation targets, and planning and forecasting for future periods. Our chief operating decision maker is the Chief Executive Officer.</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accounting policies for our single operating segment are the same as those described in the summary of significant accounting policies in our Annual Report on Form 10-K for the year ended December 31, 2024. Our single operating segment generates revenues from the development and commercialization of oncology and dermatology pharmaceutical products, which are developed by our research and development department, as well as from product royalties, milestone and contract revenues from the out-licensing of our intellectual property to third parties.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For our segment, the chief operating decision maker uses net income or loss, that also is reported on the condensed consolidated statements of operations as consolidated net income, to allocate resources (including employees, property, and financial resources), predominantly during the annual budget and forecasting process. The chief operating decision maker also uses consolidated net income or loss, along with non-financial inputs and qualitative information, to evaluate our performance, establish compensation, monitor budget versus actual results, and decide the level of investment in our various operating activities and other capital allocation activities. The measure of segment assets is reported on the condensed consolidated balance sheet as total consolidated assets.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income for our segment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1"/>
        </w:trPr>
        <w:tc>
          <w:tcPr>
            <w:tcW w:w="5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revenues, net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1,059,414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1,636,489</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263,159</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1,215,529</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2,268,427</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1,924,648</w:t>
            </w:r>
          </w:p>
        </w:tc>
      </w:tr>
      <w:tr>
        <w:trPr>
          <w:trHeight w:val="245"/>
        </w:trPr>
        <w:tc>
          <w:tcPr>
            <w:tcW w:w="5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2"/>
        </w:trPr>
        <w:tc>
          <w:tcPr>
            <w:tcW w:w="5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Cost of product revenues (including definite-lived intangible</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78,766</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137,590</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dispute settlement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Research and development - internal</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456,731</w:t>
            </w:r>
          </w:p>
        </w:tc>
      </w:tr>
      <w:tr>
        <w:trPr>
          <w:trHeight w:val="225"/>
        </w:trPr>
        <w:tc>
          <w:tcPr>
            <w:tcW w:w="50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Research and development - external</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430,108</w:t>
            </w: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680,801</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256,311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446,015</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160,223</w:t>
            </w:r>
          </w:p>
        </w:tc>
      </w:tr>
      <w:tr>
        <w:trPr>
          <w:trHeight w:val="172"/>
        </w:trPr>
        <w:tc>
          <w:tcPr>
            <w:tcW w:w="5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Loss on change in fair value of acquisition-related contingent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5"/>
        </w:trPr>
        <w:tc>
          <w:tcPr>
            <w:tcW w:w="502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172,280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(111,179)</w:t>
            </w: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404,999</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563,202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160" w:hanging="154"/>
        <w:spacing w:after="0"/>
        <w:tabs>
          <w:tab w:leader="none" w:pos="1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 internal is comprised of internally generated costs such as salaries, travel, regulatory costs, lab costs, contracting, etc.</w:t>
      </w:r>
    </w:p>
    <w:p>
      <w:pPr>
        <w:ind w:left="160" w:hanging="154"/>
        <w:spacing w:after="0" w:line="215" w:lineRule="auto"/>
        <w:tabs>
          <w:tab w:leader="none" w:pos="15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 external is comprised of specific program spend with external vendors (i.e. contract manufacturing organization, contract research organization and lab vendors for clinical, technical operations and toxicology services).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215" w:lineRule="auto"/>
        <w:tabs>
          <w:tab w:leader="none" w:pos="15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research and development is comprised of all other costs including certain one-time costs resulting from the acquisition of IPR&amp;D assets and one-time development milestone expenses.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215" w:lineRule="auto"/>
        <w:tabs>
          <w:tab w:leader="none" w:pos="15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is comprised of interest income, interest expense, realized and unrealized (gain) loss on equity investments, other, net, and provision for income taxes.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 by Geographic Location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revenues by geographic region consisted of the following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76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1,817,193</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105,117</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1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1,215,529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2,268,427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1,924,648</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 Net by Geographic Location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6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9"/>
              </w:rPr>
              <w:t>Property and equipment, net by geographic location was as follows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474,095</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277,623</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0" w:type="dxa"/>
            <w:vAlign w:val="bottom"/>
          </w:tcPr>
          <w:p>
            <w:pPr>
              <w:spacing w:after="0"/>
              <w:rPr>
                <w:sz w:val="1"/>
                <w:szCs w:val="1"/>
                <w:color w:val="auto"/>
              </w:rPr>
            </w:pPr>
          </w:p>
        </w:tc>
      </w:tr>
      <w:tr>
        <w:trPr>
          <w:trHeight w:val="21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763,411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w:t>
      </w:r>
    </w:p>
    <w:p>
      <w:pPr>
        <w:spacing w:after="0" w:line="246" w:lineRule="exact"/>
        <w:rPr>
          <w:sz w:val="20"/>
          <w:szCs w:val="20"/>
          <w:color w:val="auto"/>
        </w:rPr>
      </w:pPr>
    </w:p>
    <w:p>
      <w:pPr>
        <w:ind w:right="60" w:firstLine="636"/>
        <w:spacing w:after="0" w:line="255" w:lineRule="auto"/>
        <w:rPr>
          <w:sz w:val="20"/>
          <w:szCs w:val="20"/>
          <w:color w:val="auto"/>
        </w:rPr>
      </w:pPr>
      <w:r>
        <w:rPr>
          <w:rFonts w:ascii="Times New Roman" w:cs="Times New Roman" w:eastAsia="Times New Roman" w:hAnsi="Times New Roman"/>
          <w:sz w:val="18"/>
          <w:szCs w:val="18"/>
          <w:color w:val="auto"/>
        </w:rPr>
        <w:t>In July 2025, we entered into a settlement and license agreement with Sun Pharmaceuticals, Inc., resolving patent infringement litigation related to Leqselvi (deuruxolitinib). Under this agreement, we have granted Sun a limited, non-exclusive license in the U.S. with respect to oral deuruxolitinib for certain agreed-upon non-hematology-oncology indications in the U.S., including alopecia areata. In exchange for the limited license, Sun has agreed to pay us an upfront payment plus ongoing royalty payments.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and six months ended June 30, 2025 should be read in conjunction with the unaudited condensed consolidated financial statements and notes to those statements included elsewhere in this Quarterly Report on Form 10-Q and our audited consolidated financial statements as of and for the year ended December 31, 2024 included in our Annual Report on Form 10-K for the year ended December 31, 2024 previously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68" w:lineRule="exact"/>
        <w:rPr>
          <w:sz w:val="20"/>
          <w:szCs w:val="20"/>
          <w:color w:val="auto"/>
        </w:rPr>
      </w:pPr>
    </w:p>
    <w:p>
      <w:pPr>
        <w:jc w:val="both"/>
        <w:ind w:left="960" w:hanging="318"/>
        <w:spacing w:after="0" w:line="247"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PEMAZYRE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(pemigatinib), ICLUSIG</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(ponatinib), MONJUVI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(tafasitamab-cxix) / MINJUVI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(tafasitamab), OPZELURA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cream, ZYNYZ</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(retifanlimab-dlwr) and NIKTIMVO</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8"/>
          <w:szCs w:val="18"/>
          <w:i w:val="1"/>
          <w:iCs w:val="1"/>
          <w:color w:val="auto"/>
        </w:rPr>
        <w:t xml:space="preserve"> (axatilimab);</w:t>
      </w:r>
    </w:p>
    <w:p>
      <w:pPr>
        <w:spacing w:after="0" w:line="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plans to further develop our operations outside of the United States;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and anticipated benefits and disadvantages of entering into collaboration agreements;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for our manufacturing operations;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tax laws;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non-U.S. operations and collaboration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and other financial impacts associated with resolving matters in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17" w:lineRule="exact"/>
        <w:rPr>
          <w:sz w:val="20"/>
          <w:szCs w:val="20"/>
          <w:color w:val="auto"/>
        </w:rPr>
      </w:pPr>
    </w:p>
    <w:p>
      <w:pPr>
        <w:ind w:right="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60" w:lineRule="exact"/>
        <w:rPr>
          <w:sz w:val="20"/>
          <w:szCs w:val="20"/>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11" w:lineRule="exact"/>
        <w:rPr>
          <w:rFonts w:ascii="Times New Roman" w:cs="Times New Roman" w:eastAsia="Times New Roman" w:hAnsi="Times New Roman"/>
          <w:sz w:val="18"/>
          <w:szCs w:val="18"/>
          <w:color w:val="auto"/>
        </w:rPr>
      </w:pPr>
    </w:p>
    <w:p>
      <w:pPr>
        <w:ind w:left="960" w:right="20" w:hanging="318"/>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 including geopolitical risks;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out-licensed compounds or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drug products and the drug candidates licensed from us;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line="276"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governmental healthcare reform efforts, including efforts to control, set or cap pricing for our commercial drugs in the U.S.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delays or changes in plans or regulatory agency interactions or other issues relating to our large molecule production facility;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tariffs and trade conflicts and the effects of any economic slowdown;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111" w:lineRule="exact"/>
        <w:rPr>
          <w:rFonts w:ascii="Times New Roman" w:cs="Times New Roman" w:eastAsia="Times New Roman" w:hAnsi="Times New Roman"/>
          <w:sz w:val="18"/>
          <w:szCs w:val="18"/>
          <w:i w:val="1"/>
          <w:iCs w:val="1"/>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laws and regulations and our ability to analyze the effects of new accounting pronouncements and apply new accounting rules;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ability to sustain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public health pandemics such as the COVID-19 pandemic, natural disasters, or geopolitical events such as the Russian invasion of Ukraine and conflicts in the Middle East; and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3"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Incyte, JAKAFI, MINJUVI, MONJUVI, OPZELURA, PEMAZYRE and ZYNYZ are our registered trademarks and NIKTIMVO is our trademark. We also refer to trademarks of other corporations and organizations in this Quarterly Report on Form 10-Q.</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9" w:lineRule="exact"/>
        <w:rPr>
          <w:sz w:val="20"/>
          <w:szCs w:val="20"/>
          <w:color w:val="auto"/>
        </w:rPr>
      </w:pPr>
    </w:p>
    <w:p>
      <w:pPr>
        <w:jc w:val="both"/>
        <w:ind w:left="320" w:right="20" w:firstLine="636"/>
        <w:spacing w:after="0" w:line="259"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78" w:lineRule="exact"/>
        <w:rPr>
          <w:sz w:val="20"/>
          <w:szCs w:val="20"/>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JAKAFI/JAKAVI (ruxolitinib), and if we are not able to maintain revenues from JAKAFI/JAKAVI or those revenues decrease, our business may be materially harmed.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2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38"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laws and regulations, we could lose our approval to market our products or be subject to other governmental enforcement activity.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market our products in a manner that violates various laws and regulations, we may be subject to civil or criminal penalties.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products could harm our business and result in a decrease in our revenue.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between us and our collaborators or termination of our collaboration agreements could limit future development and commercialization of our drug candidates and harm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additional in-licensing agreements or if these arrangements are unsuccessful, we may be unable to increase our number of successfully marketed products and our revenues.</w:t>
      </w:r>
    </w:p>
    <w:p>
      <w:pPr>
        <w:spacing w:after="0" w:line="12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including those resulting from public health pandemics, natural disasters, and other geopolitical events, could adversely affect our business and results of operations.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one of our drug candidates receives regulatory approval, we may determine that commercialization would not be worth the investment.</w:t>
      </w:r>
    </w:p>
    <w:p>
      <w:pPr>
        <w:spacing w:after="0" w:line="202"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others to manufacture our drug products and drug candidates could result in drug supply constraints, delays in clinical trials, increased costs, and withdrawal or denial of regulatory approvals.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extensive legal and regulatory requirements affecting the health care industry, we could face increased costs, penalties and a loss of business.</w:t>
      </w:r>
    </w:p>
    <w:p>
      <w:pPr>
        <w:spacing w:after="0" w:line="136"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 distribution and sale by third parties of counterfeit or unfit versions of our or our collaborators’ products or stolen products could harm our business and reputation.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most of our drug discovery and development operations are conducted at our headquarters in Wilmington, Delaware, the loss of access to this facility would negatively impact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any of our key employees or are unable to attract and retain additional personnel, our business and ability to achieve our objectives could be harmed.</w:t>
      </w:r>
    </w:p>
    <w:p>
      <w:pPr>
        <w:spacing w:after="0" w:line="136"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ability to develop and commercialize products could suffer.</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could adversely affect our business.</w:t>
      </w:r>
    </w:p>
    <w:p>
      <w:pPr>
        <w:spacing w:after="0" w:line="190"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additional capital in the future when we require it, our efforts to broaden our product portfolio or commercialization efforts could be limited.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marketable securities and equity investments are subject to risks that could adversely affect our overall financial position, and tax law changes could adversely affect our results of operations and financial condition.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or litigation involving us and regarding intellectual property infringement claims could be costly and disrupt our drug discovery and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protect or enforce our proprietary information may result in loss of revenues or otherwise reduce our ability to compete.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term of our patents is decreased or if we need to refile some of our patent applications, the value of our patent portfolio and the revenues we derive from it may be decreased.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patent protection is particularly uncertain and costly, and our involvement in opposition proceedings may result in the expenditure of substantial sums and management resources.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social media and new technology could give rise to liability, breaches of data security, or reputational damage, which could harm our business and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focused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solid tumors and hematologic malignancies. The other therapeutic area is Inflammation and Autoimmunity (IAI), which includes our Dermatology commercial franchise. We are also eligible to receive milestones and royalties on molecules discovered by us and licensed to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 and Oncology</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hematology and oncology franchise comprises six approved products, which are JAKAFI (ruxolitinib), MONJUVI (tafasitamab-cxix)/MINJUVI (tafasitamab), PEMAZYRE (pemigatinib), ICLUSIG (ponatinib), ZYNYZ (retifanlimab-dlwr), and NIKTIMVO (axatilimab-csfr), as well as numerous clinical development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JAKAFI (ruxolitinib)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0" w:lineRule="exact"/>
        <w:rPr>
          <w:sz w:val="20"/>
          <w:szCs w:val="20"/>
          <w:color w:val="auto"/>
        </w:rPr>
      </w:pPr>
    </w:p>
    <w:p>
      <w:pPr>
        <w:ind w:right="120" w:firstLine="636"/>
        <w:spacing w:after="0" w:line="259"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September 2023, we were notified by the Centers for Medicare and Medicaid Services (CMS) that ruxolitinib phosphate qualified for the Small Biotech Exception.</w:t>
      </w:r>
    </w:p>
    <w:p>
      <w:pPr>
        <w:spacing w:after="0" w:line="16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MF is a rare, life-threatening condition. MF, considered the most serious of the myeloproliferative neoplasms, can occur either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MF, or as secondary MF that develops in some patients who previously had polycythemia vera or essential thrombocythemia.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FDA approval was based on results from two randomized Phase 3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spacing w:after="0" w:line="178"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9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 volume percentage of red blood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blood, which can lead to a thickening of the blood and an increased risk of blood clots, as well as an elevated white blood cell and platelet count.</w:t>
      </w:r>
    </w:p>
    <w:p>
      <w:pPr>
        <w:spacing w:after="0" w:line="162"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3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June 2016, we announced data from the Phase 3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Graft-versus-host disease. </w:t>
      </w:r>
      <w:r>
        <w:rPr>
          <w:rFonts w:ascii="Times New Roman" w:cs="Times New Roman" w:eastAsia="Times New Roman" w:hAnsi="Times New Roman"/>
          <w:sz w:val="17"/>
          <w:szCs w:val="17"/>
          <w:color w:val="auto"/>
        </w:rPr>
        <w:t>GVHD is a condition that can occur after an allogeneic HSCT (the transfer of genetically dissimilar stem cells or tissue).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GVHD, the donated bone marrow or peripheral blood stem cells view the recipient’s body as foreign and attack various tissues.</w:t>
      </w:r>
    </w:p>
    <w:p>
      <w:pPr>
        <w:spacing w:after="0" w:line="19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8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September 2021, the FDA approved JAKAFI for the treatment of chronic GVHD after failure of one or two lines of systemic therapy in adult and pediatric patients 12 years and older. This approval was based on data from REACH3, a Phase 3,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7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and its salt. These patents, including applicable extensions, currently expire in mid and late 2028. In December 2022, we were granted pediatric exclusivity, which adds six months to the expiration for all ruxolitinib patents listed in FDA’s Approved Drug Products with Therapeutic Equivalence Evaluations (Orange Book) as of the date of the grant of pediatric exclusivity.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MONJUVI (tafasitamab-cxix) / MINJUVI (tafasitamab)</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January 2020, we and MorphoSys AG entered into a collaboration and license agreement to further develop and commercialize MorphoSys’ proprietary anti-CD19 antibody tafasitamab (MOR208) globally. Tafasitamab is an Fc-engineered antibody against CD19 currently in clinical development for the treatment of B cell malignancies. Under the terms of the collaboration and license agreement, we received rights to co-commercialize tafasitamab in the United States with MorphoSys, and exclusive development and commercialization rights outside of the United States. As more fully described in Note 6 of Notes to the Condensed Consolidated Financial Statements, in February 2024, we entered into a purchase agreement with MorphoSys, and as a result, we now hold exclusive global rights for tafasitamab, and the collaboration and license agreement was terminated.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In July 2020, we and MorphoSys announced that the FDA had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2 L-MIND study, an open label, multicenter, single arm trial of MONJUVI in combination with lenalidomide as a treatment for adult patients with r/r DLBCL. Results from the study showed an objective response rate of 55% (39 out of 71 patients; primary endpoint) and a complete response rate of 37% (26 out of 71 patients). The median duration of response was 21.7 months. The most frequent serious adverse reactions were infections (26%), including pneumonia (7%) and febrile neutropenia (6%). Updated three-year data from L-MIND were presented at the American Society of Clinical Oncology (ASCO) 2021 and final five-year data were presented at the American Association for Cancer Research (AACR) 2023, which showed that the MONJUVI plus lenalidomide regimen followed by MONJUVI monotherapy provided prolonged, durable responses in adult patients with r/r DLBCL.</w:t>
      </w:r>
    </w:p>
    <w:p>
      <w:pPr>
        <w:spacing w:after="0" w:line="19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2020, we and MorphoSys announced that MONJUVI in combination with lenalidomide had been included in the latest NCCN Clinical Practice Guidelines in Oncology for B-cell Lymphomas.</w:t>
      </w:r>
    </w:p>
    <w:p>
      <w:pPr>
        <w:spacing w:after="0" w:line="163"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August 2021, we and MorphoSys announced that the European Commission had granted conditional marketing authorization for MINJUVI (tafasitamab) in combination with lenalidomide, followed by MINJUVI monotherapy, for the treatment of adult patients with relapsed or refractory DLBCL who are not eligible for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of 56.8% (primary endpoint), including a complete response rate of 39.5% and a partial response rate of 17.3%, as assessed by an independent review committee. The median duration of response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7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June 2025, MONJUVI (tafasitamab-cxix) was approved by the FDA for the treatment of adult patients with relapsed or refractory follicular lymphoma (FL) in combination with rituximab and lenalidomide. The FDA approval was based on data from the pivotal Phase 3 inMIND trial.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PEMAZYRE (pemigatinib)</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PEMAZYRE is the first internally discovered product to be internationally commercialized by us.</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2020, we announced that the FDA had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July 2021, the UK’s National Institute for Health and Care Excellence (NICE) recommended PEMAZYRE for patients with cholangiocarcinoma with a FGFR2 fusion or rearrangement that have progressed after at least one prior line of systemic therapy. NICE’s guidance enables all eligible patients in England and Wales to have access to PEMAZYRE through the National Health Service.</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2022, PEMAZYRE was approved by the National Medical Products Administration of the People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 Republic of China for the treatment of adults with locally advanced or metastatic cholangiocarcinoma with a FGFR2 fusion or rearrangement as confirmed by a validated diagnostic test that has progressed after at least one prior line of systemic therapy.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3 trial of pemigatinib for the first-line treatment of patients with cholangiocarcinoma and FGFR2 fusions or rearrangements, is ongoing.</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March 2023, PEMAZYRE was approved by the MHLW for the treatment of MLNs with FGFR1 fusion.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ICLUSIG (ponatinib)</w:t>
      </w:r>
    </w:p>
    <w:p>
      <w:pPr>
        <w:spacing w:after="0" w:line="221"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5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ZYNYZ (retifanlimab-dlwr)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retifanlimab (formerly INCMGA0012), a humanized monoclonal antibody targeting programmed death receptor-1 (PD-1). Under this collaboration, we obtained exclusive worldwide rights for the development and commercialization of retifanlimab in all indications. The molecule currently is being evaluated both as monotherapy and in combination therapy across various tumor types. Two Phase 3 trials evaluating retifanlimab in squamous cell anal cancer (SCAC) and non-small cell lung cancer (NSCLC) are ongoing.</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March 2023, we announced that the FDA had approved ZYNYZ (retifanlimab-dlwr) under accelerated approval, for the treatment of adults with metastatic or recurrent locally advanced Merkel cell carcinoma (MCC). This represents the first regulatory approval for our PD-1 inhibitor.</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April 2024, the European Commission approved ZYNYZ (retifanlimab) as monotherapy for the first-line treatment of adult patients with metastatic or recurrent locally advanced MCC not amenable to curative surgery or radiation therapy following a positive opinion from the Committee for Medicinal Products for Human Use (CHMP).</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September 2024, we announced positive results from the Phase 3 POD1UM-303/InterAACT2 trial of ZYNYZ (retifanlimab) in combination with platinum-based chemotherapy (carboplatin–paclitaxel) for the treatment of adults with inoperable locally recurrent or metastatic SCAC.</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May 2025, ZYNYZ (retifanlimab-dlwr) was approved by the FDA for the treatment of adult patients with advanced SCAC in combination with chemotherapy and as a single agent. The FDA approval was based on data from two trials: the Phase 3 POD1UM-303/InterAACT2 and the Phase 2 POD1UM-202 trial. We have submitted a Type II variation Marketing Authorization Application (MAA) to the European Medicines Agency (EMA) and a Japanese New Drug Application (J-NDA) for retifanlimab in advanced SCAC.</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NIKTIMVO (axatilimab-csfr)</w:t>
      </w:r>
    </w:p>
    <w:p>
      <w:pPr>
        <w:spacing w:after="0" w:line="221"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In September 2021, we and Syndax Pharmaceuticals, Inc. announced an exclusive worldwide collaboration and license agreement to develop and commercialize axatilimab, Syndax’s anti-CSF-1R monoclonal antibody. Together, we are developing axatilimab as a therapy for patients with chronic GVHD where CSF-1R-dependent monocytes and macrophages are believed to contribute to organ fibrosis. In December 2021, updated positive data were presented at ASH from the Phase 1/2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In May 2022, Syndax announced that axatilimab had been granted fast-track designation by the FDA for the treatment of patients with chronic GVHD after failure of two or more lines of systemic therapy.</w:t>
      </w:r>
    </w:p>
    <w:p>
      <w:pPr>
        <w:spacing w:after="0" w:line="17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2023, we and Syndax announced that AGAVE-201 had met its primary endpoint across all cohorts with an overall response rate (ORR) of 74% at the dose of 0.3 mg/kg administered every two weeks. The data highlight the durable response seen at the 0.3 mg/kg dose with 60% of patients who responded to axatilimab still responding at one year. In December 2023, a Biologics License Application (BLA) was submitted to the FDA for axatilimab for the treatment of patients with chronic GVHD after failure of two or more lines of systemic therapy and accepted for Priority Review in February 2024. We have initiated two combination trials with axatilimab in cGVHD in 2024, including a randomized Phase 2 combination trial with ruxolitinib and a randomized Phase 3 combination trial with steroids, both directed at treating patients with cGVHD in earlier lines of therapy.</w:t>
      </w:r>
    </w:p>
    <w:p>
      <w:pPr>
        <w:spacing w:after="0" w:line="18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August 2024, we and Syndax announced the FDA approval of NIKTIMVO (axatilimab-csfr) for the treatment of chronic GVHD after failure of at least two prior lines of systemic therapy in adult and pediatric patients. NIKTIMVO is the first approved anti-CSF-1R antibody targeting the drivers of inflammation and fibrosis seen in chronic GVHD. In September, we and Syndax announced the New England Journal of Medicine publication of data from the pivotal AGAVE-201 trial of NIKTIMVO in chronic GVHD and the addition of NIKTIMVO to the NCCN Clinical Practice Guidelines in Oncology for the treatment of chronic GVHD. In January 2025, the FDA approved two smaller vial sizes (9mg and 22mg) of NIKTIMVO to facilitate patient dosing and limit product waste. The U.S. commercial launch of NIKTIMVO commenced at the end of January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Hematology and Oncology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are evaluating combinations of ruxolitinib with other therapeutic modalities, as well as developing a once-a-day formulation of ruxolitinib for potential use as monotherapy and in combinations. Bioavailability and bioequivalence data were published for ruxolitinib’s once-daily (QD) extended release (XR) formulation at the European Hematology Association (EHA) Virtual Congress in June 2021. In March 2023, the FDA issued a complete response letter (CRL) for ruxolitinib extended-release (XR) tablets for once-daily (QD) use in the treatment of certain types of MF, PV and GVHD. In December 2023, we received FDA feedback and agreed on the requirements to address the CRL. In early 2025, we announced that a bioequivalence study of ruxolitinib XR was completed and met the bioequivalence criteria set by the FDA. These data are anticipated to be submitted to the FDA, in response to the CRL, by year-end 2025.</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Phase 2 trials combining ruxolitinib with investigational agents from our portfolio such as INCB57643 (BET) in patients with MF are ongoing with data presented demonstrating early signals of clinical activity in monotherapy and in combination with ruxolitinib.</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INCA033989 (mutCALR)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 July 2023, a Phase 1 study evaluating INCA033989 was initiated.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June 2025, data from the Phase 1 study evaluating INCA033989 in mutCALR positive patients with essential thrombocythemia were presented during a late-breaking session at the 2025 European Hematology Association (EHA) Congress in Milan, Italy. The data showed rapid and durable normalization of platelet counts across all dose levels and importantly, a reduction in peripheral blood mutCALR variant allele frequency (VAF) correlating with hematologic response. INCA033989 was well tolerated with a favorable safety profile with no dose limiting toxicities reported. Together, the data demonstrates the potential for INCA033989 to modify disease by directly inhibiting and eliminating oncogenic mutCALR cells, while sparing healthy cells and restoring normal blood cell production. The Phase 1 data in patients with MF as monotherapy and in combination with ruxolitinib are anticipated in the second half of 2025.</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INCB160058 (JAK2V617Fi)</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December 2023, new research detailing the development and mechanism of action of INCB160058, an Incyte-discovered, investigational novel potent and selective JAK2 pseudokinase domain binder with potential to be a disease modifying therapeutic was disclosed at the 65th ASH Annual Meeting. Pseudokinase binding offers a new mechanism of action for selective inhibition of JAK2V617F, with potential to eradicate mutant clones. In preclinical studies, INCB160058 inhibited cytokine independent activity of JAK2V617F while sparing WT JAK2. The JAK2V617F mutation is found in 55% of primary myelofibrosis, 95% of polycythemia vera and 60% of essential thrombocythemia patients. A Phase 1 study of INCB160058 was initiated in the first quarter of 2024.</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Tafasitamab is an anti-CD19 antibody and is being investigated as a therapeutic option in B cell malignancies in a number of ongoing and planned combination trials. An open-label Phase 2 combination trial (L-MIND) is investigating the safety and efficacy of tafasitamab in combination with lenalidomide in patients with relapsed or refractory diffuse large B-cell lymphoma (r/r DLBCL), and the ongoing Phase 3 B-MIND trial is assessing the combination of tafasitamab and bendamustine versus rituximab and bendamustine in r/r DLBCL. firstMIND is a Phase 1b safety trial of tafasitamab as a first-line therapy for patients with DLBCL, and frontMIND, a placebo-controlled Phase 3 trial evaluating tafasitamab in combination with lenalidomide added to rituximab plus chemotherapy (R-CHOP) as a first-line therapy for patients with DLBCL, is ongoing.</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January 2021, the FDA granted orphan drug designation to tafasitamab as a treatment for patients with follicular lymphoma.</w:t>
      </w:r>
    </w:p>
    <w:p>
      <w:pPr>
        <w:spacing w:after="0" w:line="21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2024, we announced the full results from the pivotal Phase 3 inMIND trial evaluating treatment with tafasitamab in combination with lenalidomide and rituximab compared with placebo plus lenalidomide and rituximab in patients with relapsed or refractory follicular lymphoma (FL). The data showed that the study met its primary endpoint by demonstrating a statistically significant and clinically meaningful improvement in progression-free survival (PFS) by investigator assessment in 548 patients with FL. Tafasitamab was generally well-tolerated, and safety was consistent with other CD19 and immunotherapy combination regimens.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Retifanlimab</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July 2024, we announced positive topline results from both the two Phase 3 clinical studies evaluating retifanlimab, a humanized monoclonal antibody targeting programmed cell death receptor-1 (PD-1), in SCAC and NSCLC. The phase 3 study in SCAC met its primary endpoint of progression free survival while the Phase 3 study in NSCLC meet its primary endpoint of overall survival. The safety analysis from both studies showed retifanlimab was generally well-tolerated with no new safety signals observed. POD1UM-303 is a Phase 3, global, multicenter, randomized, double-blind study evaluating carboplatin-paclitaxel with retifanlimab or placebo in patients with inoperable locally recurrent or metastatic SCAC who have not previously been treated with chemotherapy. POD1UM-304 is a Phase 3, global, multicenter, randomized, double-blind study evaluating platinum-based chemotherapy with retifanlimab or placebo in patients with first-line, metastatic squamous or nonsquamous NSCLC.</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2024, we presented late-breaking Phase 3 results for retifanlimab that were featured during the 2024 European Society for Medical Oncology (ESMO) Presidential Symposium. The Phase 3 POD1UM-303/InterAACT2 trial for retifanlimab met the primary endpoint of PFS and demonstrated improvement across key secondary endpoints in patients with SCAC receiving retifanlimab in combination with platinum-based chemotherapy (carboplatin-paclitaxel).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INCB123667 (CDK2)</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April 2023, we presented data at the AACR Annual Meeting, demonstrating that INCB123667 exhibited significant single-agent activity in vivo, in CCNE1 high breast cancer xenograft and patient-derived xenograft models. INCB123667 currently is being evaluated in a Phase 1 clinical trial in patients with advanced malignancies including CCNE1 high TNBC and HR+HER2- tumors post-CDK4/6 inhibitors.</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2024, we disclosed that early clinical activity was observed in patients with amplification/over expression of CCNE1 in a Phase 1 clinical trial, with significant tumor shrinkage observed. Several patients achieved partial responses across multiple tumor types including ovarian cancer patients with CCNE1 amplification and/or over expression. The safety data seen during this disclosure aligns with CDK2 mechanism of action. Additional data from this trial is anticipated in 2025.</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2024, we presented initial data from the Phase 1 CDK2 inhibitor program at the 2024 ESMO Congress. Phase 1 data of INCB123667 were presented demonstrating single-agent antitumor activity across a range of doses and regimens, notably in patients with ovarian cancer and endometrial cancer whose tumors overexpress Cyclin E1. The Phase 1 trial is ongoing with INCB123667 in combination with other agents. We currently anticipate initiating a pivotal trial in ovarian cancer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34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MPN, GVHD and Oncology Programs</w:t>
            </w:r>
          </w:p>
        </w:tc>
        <w:tc>
          <w:tcPr>
            <w:tcW w:w="7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5"/>
        </w:trPr>
        <w:tc>
          <w:tcPr>
            <w:tcW w:w="34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Ruxolitinib XR (QD)</w:t>
            </w:r>
          </w:p>
        </w:tc>
        <w:tc>
          <w:tcPr>
            <w:tcW w:w="7800" w:type="dxa"/>
            <w:vAlign w:val="bottom"/>
            <w:shd w:val="clear" w:color="auto" w:fill="CCEEFF"/>
          </w:tcPr>
          <w:p>
            <w:pPr>
              <w:ind w:left="520"/>
              <w:spacing w:after="0" w:line="185" w:lineRule="exact"/>
              <w:rPr>
                <w:sz w:val="20"/>
                <w:szCs w:val="20"/>
                <w:color w:val="auto"/>
              </w:rPr>
            </w:pPr>
            <w:r>
              <w:rPr>
                <w:rFonts w:ascii="Times New Roman" w:cs="Times New Roman" w:eastAsia="Times New Roman" w:hAnsi="Times New Roman"/>
                <w:sz w:val="18"/>
                <w:szCs w:val="18"/>
                <w:color w:val="auto"/>
              </w:rPr>
              <w:t>Myelofibrosis, polycythemia vera and GVHD</w:t>
            </w: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800" w:type="dxa"/>
            <w:vAlign w:val="bottom"/>
            <w:shd w:val="clear" w:color="auto" w:fill="CCEEFF"/>
          </w:tcPr>
          <w:p>
            <w:pPr>
              <w:spacing w:after="0"/>
              <w:rPr>
                <w:sz w:val="19"/>
                <w:szCs w:val="19"/>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INCB57643</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BETi)</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 axatilimab</w:t>
            </w:r>
            <w:r>
              <w:rPr>
                <w:rFonts w:ascii="Times New Roman" w:cs="Times New Roman" w:eastAsia="Times New Roman" w:hAnsi="Times New Roman"/>
                <w:sz w:val="22"/>
                <w:szCs w:val="22"/>
                <w:b w:val="1"/>
                <w:bCs w:val="1"/>
                <w:color w:val="auto"/>
                <w:vertAlign w:val="superscript"/>
              </w:rPr>
              <w:t>1</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Chronic GVHD: Phase 2</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anti-CSF-1R)</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05"/>
        </w:trPr>
        <w:tc>
          <w:tcPr>
            <w:tcW w:w="3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Steroids + axatilimab</w:t>
            </w:r>
            <w:r>
              <w:rPr>
                <w:rFonts w:ascii="Times New Roman" w:cs="Times New Roman" w:eastAsia="Times New Roman" w:hAnsi="Times New Roman"/>
                <w:sz w:val="22"/>
                <w:szCs w:val="22"/>
                <w:b w:val="1"/>
                <w:bCs w:val="1"/>
                <w:color w:val="auto"/>
                <w:vertAlign w:val="superscript"/>
              </w:rPr>
              <w:t>1</w:t>
            </w:r>
          </w:p>
        </w:tc>
        <w:tc>
          <w:tcPr>
            <w:tcW w:w="78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Chronic GVHD: Phase 3</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(Steroids + anti-CSF-1R)</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05"/>
        </w:trPr>
        <w:tc>
          <w:tcPr>
            <w:tcW w:w="3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INCA033989</w:t>
            </w:r>
          </w:p>
        </w:tc>
        <w:tc>
          <w:tcPr>
            <w:tcW w:w="7800" w:type="dxa"/>
            <w:vAlign w:val="bottom"/>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Myelofibrosis, essential thrombocythemia: Phase 1</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(mutCALR)</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05"/>
        </w:trPr>
        <w:tc>
          <w:tcPr>
            <w:tcW w:w="3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INCB160058</w:t>
            </w:r>
          </w:p>
        </w:tc>
        <w:tc>
          <w:tcPr>
            <w:tcW w:w="78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Myeloproliferative Neoplasms (MPNs):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(JAK2V617Fi)</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Tafasitamab (MONJUVI/MINJUVI)</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Relapsed or refractory diffuse large B-cell lymphoma (DLBCL): Phase 3 (B-MIND)</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(CD19)</w:t>
            </w:r>
          </w:p>
        </w:tc>
        <w:tc>
          <w:tcPr>
            <w:tcW w:w="7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First-line DLBCL: Phase 3 (</w:t>
            </w:r>
            <w:r>
              <w:rPr>
                <w:rFonts w:ascii="Times New Roman" w:cs="Times New Roman" w:eastAsia="Times New Roman" w:hAnsi="Times New Roman"/>
                <w:sz w:val="18"/>
                <w:szCs w:val="18"/>
                <w:i w:val="1"/>
                <w:iCs w:val="1"/>
                <w:color w:val="auto"/>
              </w:rPr>
              <w:t>front</w:t>
            </w:r>
            <w:r>
              <w:rPr>
                <w:rFonts w:ascii="Times New Roman" w:cs="Times New Roman" w:eastAsia="Times New Roman" w:hAnsi="Times New Roman"/>
                <w:sz w:val="18"/>
                <w:szCs w:val="18"/>
                <w:color w:val="auto"/>
              </w:rPr>
              <w:t>MIND)</w:t>
            </w:r>
          </w:p>
        </w:tc>
      </w:tr>
      <w:tr>
        <w:trPr>
          <w:trHeight w:val="218"/>
        </w:trPr>
        <w:tc>
          <w:tcPr>
            <w:tcW w:w="34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Retifanlimab (ZYNYZ)</w:t>
            </w:r>
            <w:r>
              <w:rPr>
                <w:rFonts w:ascii="Times New Roman" w:cs="Times New Roman" w:eastAsia="Times New Roman" w:hAnsi="Times New Roman"/>
                <w:sz w:val="22"/>
                <w:szCs w:val="22"/>
                <w:b w:val="1"/>
                <w:bCs w:val="1"/>
                <w:color w:val="auto"/>
                <w:vertAlign w:val="superscript"/>
              </w:rPr>
              <w:t>2</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Non-small cell lung cancer (NSCLC): Phase 3 (POD1UM-304)</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(PD-1)</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MSI-high endometrial cancer: Phase 2 (POD1UM-101, POD1UM-204)</w:t>
            </w: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INCB123667</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Solid tumors with CCNE1 amplification/Cyclin E overexpression: Phase 1</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(CDK2i)</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INCB161734</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Advanced metastatic solid tumors with a KRASG12D mutation: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(KRASG12D)</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INCA33890</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Advanced or metastatic solid tumors: Phase 1</w:t>
            </w:r>
          </w:p>
        </w:tc>
      </w:tr>
      <w:tr>
        <w:trPr>
          <w:trHeight w:val="262"/>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(TGFßR2×PD-1)</w:t>
            </w:r>
            <w:r>
              <w:rPr>
                <w:rFonts w:ascii="Times New Roman" w:cs="Times New Roman" w:eastAsia="Times New Roman" w:hAnsi="Times New Roman"/>
                <w:sz w:val="22"/>
                <w:szCs w:val="22"/>
                <w:b w:val="1"/>
                <w:bCs w:val="1"/>
                <w:color w:val="auto"/>
                <w:vertAlign w:val="superscript"/>
              </w:rPr>
              <w:t>3</w:t>
            </w:r>
          </w:p>
        </w:tc>
        <w:tc>
          <w:tcPr>
            <w:tcW w:w="7800" w:type="dxa"/>
            <w:vAlign w:val="bottom"/>
            <w:tcBorders>
              <w:bottom w:val="single" w:sz="8" w:color="auto"/>
            </w:tcBorders>
            <w:shd w:val="clear" w:color="auto" w:fill="CCEEFF"/>
          </w:tcPr>
          <w:p>
            <w:pPr>
              <w:spacing w:after="0"/>
              <w:rPr>
                <w:sz w:val="22"/>
                <w:szCs w:val="22"/>
                <w:color w:val="auto"/>
              </w:rPr>
            </w:pPr>
          </w:p>
        </w:tc>
      </w:tr>
    </w:tbl>
    <w:p>
      <w:pPr>
        <w:spacing w:after="0" w:line="74" w:lineRule="exact"/>
        <w:rPr>
          <w:sz w:val="20"/>
          <w:szCs w:val="20"/>
          <w:color w:val="auto"/>
        </w:rPr>
      </w:pPr>
    </w:p>
    <w:p>
      <w:pPr>
        <w:ind w:left="160" w:hanging="154"/>
        <w:spacing w:after="0"/>
        <w:tabs>
          <w:tab w:leader="none" w:pos="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Clinical development of axatilimab in GVHD conducted in collaboration with Syndax Pharmaceuticals.</w:t>
      </w:r>
    </w:p>
    <w:p>
      <w:pPr>
        <w:spacing w:after="0" w:line="24" w:lineRule="exact"/>
        <w:rPr>
          <w:rFonts w:ascii="Times New Roman" w:cs="Times New Roman" w:eastAsia="Times New Roman" w:hAnsi="Times New Roman"/>
          <w:sz w:val="14"/>
          <w:szCs w:val="14"/>
          <w:color w:val="auto"/>
        </w:rPr>
      </w:pPr>
    </w:p>
    <w:p>
      <w:pPr>
        <w:ind w:left="160" w:hanging="154"/>
        <w:spacing w:after="0" w:line="192"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Retifanlimab licensed from MacroGenics.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191"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Development collaboration with Merus.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Hematology and Oncology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INCB161734 (KRAS G12D)</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A Phase 1 study evaluating INCB161734 (KRASG12D) was initiated in the first quarter of 2024. INCB161734 is a potent, selective and orally bioavailable KRAS G12D inhibitor and, as highlighted at AACR in April 2024, has shown excellent efficacy in several preclinical models. With no currently approved G12D-targeting agents, INCB161734 could address an important patient need as the KRASG12D mutation is found in 40% of pancreatic ductal adenocarcinoma, 15% of colorectal cancers, and 5% of non-small cell lung cancers. Data from the ongoing Phase 1 study is expected in 2025.</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INCA33890 (TGFβR2xPD-1)</w:t>
      </w:r>
      <w:r>
        <w:rPr>
          <w:rFonts w:ascii="Times New Roman" w:cs="Times New Roman" w:eastAsia="Times New Roman" w:hAnsi="Times New Roman"/>
          <w:sz w:val="22"/>
          <w:szCs w:val="22"/>
          <w:b w:val="1"/>
          <w:bCs w:val="1"/>
          <w:i w:val="1"/>
          <w:iCs w:val="1"/>
          <w:color w:val="auto"/>
          <w:vertAlign w:val="superscript"/>
        </w:rPr>
        <w:t>1</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INCA33890 is a TGFβR2xPD-1 bispecific antibody that has been engineered to avoid the known toxicity of broad TGFβ pathway blockade. INCA33890 has a 10-fold higher binding affinity for PD-1 relative to TGFβR2, and specifically blocks TGFβ signaling in cells co-expressing PD-1. In April 2023, we presented preclinical data at AACR that showed that INCA33890 inhibits tumor growth in PD-1-resistant mouse models. In July 2023, we initiated a Phase 1 study evaluating INCA33890 in patients with select advanced solid tumors. Data from the ongoing Phase 1 study is expected in 2025.</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INCB186748 (Next-generation KRAS G12D)</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INCB186748 is a next-generation KRAS G12D inhibitor that demonstrated high potency, selectivity and oral bioavailability in preclinical studies.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INCB186748 is being evaluated in KRAS G12D mutant tumors.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Inflammation and AutoImmunity (IAI)</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Incyte Dermatology launched its first approved product, OPZELURA (ruxolitinib) cream, in October 2021, following FDA approval for atopic dermatitis in September 2021. OPZELURA subsequently was approved by the FDA and European Commission for vitiligo in July 2022 and April 2023, respectively.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IAI efforts also include numerous clinical development programs.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OPZELURA (ruxolitinib) cream</w:t>
      </w:r>
    </w:p>
    <w:p>
      <w:pPr>
        <w:spacing w:after="0" w:line="21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Atopic Dermatitis</w:t>
      </w:r>
      <w:r>
        <w:rPr>
          <w:rFonts w:ascii="Times New Roman" w:cs="Times New Roman" w:eastAsia="Times New Roman" w:hAnsi="Times New Roman"/>
          <w:sz w:val="18"/>
          <w:szCs w:val="18"/>
          <w:color w:val="auto"/>
        </w:rPr>
        <w:t>. In September 2021, we announced that the FDA approved OPZELURA (ruxolitinib) cream, a novel cream formulation of Incyte’s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7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approval of OPZELURA was based on data from two randomized, double-blind, vehicle-controlled Phase 3 studies (TRuE-AD1 and TRuE-AD</w:t>
      </w:r>
    </w:p>
    <w:p>
      <w:pPr>
        <w:spacing w:after="0" w:line="36" w:lineRule="exact"/>
        <w:rPr>
          <w:sz w:val="20"/>
          <w:szCs w:val="20"/>
          <w:color w:val="auto"/>
        </w:rPr>
      </w:pPr>
    </w:p>
    <w:p>
      <w:pPr>
        <w:jc w:val="both"/>
        <w:ind w:firstLine="6"/>
        <w:spacing w:after="0" w:line="246" w:lineRule="auto"/>
        <w:tabs>
          <w:tab w:leader="none" w:pos="2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16827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5" w:lineRule="exact"/>
        <w:rPr>
          <w:sz w:val="20"/>
          <w:szCs w:val="20"/>
          <w:color w:val="auto"/>
        </w:rPr>
      </w:pPr>
    </w:p>
    <w:p>
      <w:pPr>
        <w:ind w:left="100" w:hanging="94"/>
        <w:spacing w:after="0"/>
        <w:tabs>
          <w:tab w:leader="none" w:pos="1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collaboration with Merus.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Vitiligo. </w:t>
      </w:r>
      <w:r>
        <w:rPr>
          <w:rFonts w:ascii="Times New Roman" w:cs="Times New Roman" w:eastAsia="Times New Roman" w:hAnsi="Times New Roman"/>
          <w:sz w:val="18"/>
          <w:szCs w:val="18"/>
          <w:color w:val="auto"/>
        </w:rPr>
        <w:t>In July 2022, we announced that the FDA approved OPZELURA for the topical treatment of nonsegmental vitiligo in adult and pediatric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12 years of age and older. OPZELURA was approved for continuous use and no limits to duration as a treatment for nonsegmental vitiligo.</w:t>
      </w:r>
    </w:p>
    <w:p>
      <w:pPr>
        <w:spacing w:after="0" w:line="162"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Vitiligo is a chronic autoimmune depigmenting skin disease characterized by patches of the skin losing their pigment. OPZELURA is the first and only FDA approved treatment for repigmentation of vitiligo lesions.</w:t>
      </w:r>
    </w:p>
    <w:p>
      <w:pPr>
        <w:spacing w:after="0" w:line="163"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approval of OPZELURA in vitiligo was based on two randomized, double-blind, vehicle-controlled Phase 3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 In March 2023, long-term 104-week safety and efficacy data for ruxolitinib cream in vitiligo were presented at the American Academy of Dermatology (AAD) conference, demonstrating that patients who achieved a high level of facial repigmentation (≥F-VASI90) at Week 52 maintained durable response one year following withdrawal of treatment and that those patients who continued treatment with OPZELURA for up to two years demonstrated sustained facial repigmentation and further improvements in facial and total body repigmentation.</w:t>
      </w:r>
    </w:p>
    <w:p>
      <w:pPr>
        <w:spacing w:after="0" w:line="19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April 2023, we announced that the European Commission had approved OPZELURA for the topical treatment of nonsegmental vitiligo with facial involvement in adults and adolescents 12 years and older following a positive opinion from the CHMP.</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October 2023, new results of a pooled analysis of long-term extension (LTE) data from the pivotal Phase 3 TRuE-V program assessing OPZELURA cream 1.5% in patients 12 years of age and older with nonsegmental vitiligo who previously experienced limited or no response to treatment at Week 24 were presented at the European Academy of Dermatology and Venereology (EADV) Congress 2023 as a late-breaking oral presentation. These results showed that patients who initially experienced limited or no facial or total body repigmentation at six months achieved improved repigmentation after continued treatment with OPZELURA for up to two years.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October 2024, OPZELURA cream 1.5% was granted a Notice of Compliance by Health Canada for the topical treatment of both mild to moderate AD and nonsegmental vitiligo in patients 12 years of age and older.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 cream</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Ruxolitinib cream is a potent, selective inhibitor of JAK1 and JAK2 that provides the opportunity to directly target diverse pathogenic pathways that underlie certain dermatologic conditions, including pediatric AD, vitiligo, hidradenitis suppurativa (HS) and prurigo nodularis (PN).</w:t>
      </w:r>
    </w:p>
    <w:p>
      <w:pPr>
        <w:spacing w:after="0" w:line="161" w:lineRule="exact"/>
        <w:rPr>
          <w:sz w:val="20"/>
          <w:szCs w:val="20"/>
          <w:color w:val="auto"/>
        </w:rPr>
      </w:pPr>
    </w:p>
    <w:p>
      <w:pPr>
        <w:ind w:right="140"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In July 2023, we announced that the Phase 3 trial (TRuE-AD3) evaluating ruxolitinib cream in pediatric AD patients (age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&lt;12) had met its primary endpoint. The study showed that significantly more patients treated with ruxolitinib cream 0.75% and 1.5% achieved Investigator's Global Assessment Treatment Success (IGA-TS) than patients treated with vehicle control. In October 2023, the expanded results from the pivotal Phase 3 TRuE-AD3 were presented at EADV. Again, significantly more patients treated with ruxolitinib cream (0.75% and 1.5%) achieved Investigator’s Global Assessment Treatment Success (IGA-TS) than patients treated with vehicle control (non-medicated cream).</w:t>
      </w:r>
    </w:p>
    <w:p>
      <w:pPr>
        <w:spacing w:after="0" w:line="183" w:lineRule="exact"/>
        <w:rPr>
          <w:sz w:val="20"/>
          <w:szCs w:val="20"/>
          <w:color w:val="auto"/>
        </w:rPr>
      </w:pPr>
    </w:p>
    <w:p>
      <w:pPr>
        <w:ind w:right="140" w:firstLine="636"/>
        <w:spacing w:after="0" w:line="255" w:lineRule="auto"/>
        <w:rPr>
          <w:sz w:val="20"/>
          <w:szCs w:val="20"/>
          <w:color w:val="auto"/>
        </w:rPr>
      </w:pPr>
      <w:r>
        <w:rPr>
          <w:rFonts w:ascii="Times New Roman" w:cs="Times New Roman" w:eastAsia="Times New Roman" w:hAnsi="Times New Roman"/>
          <w:sz w:val="18"/>
          <w:szCs w:val="18"/>
          <w:color w:val="auto"/>
        </w:rPr>
        <w:t>In October 2024, the supplemental New Drug Application (sNDA) submission for ruxolitinib cream in pediatric atopic dermatitis was filed with the FDA with approval anticipated in the second half of 2025. In June 2025, the FDA extended the review period for the sNDA for ruxolitinib cream for the treatment of children 2-11 years old with mild to moderate AD. The Prescription Drug User Fee Act (PDUFA) action date was extended by three months to September 19, 2025.</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0" w:firstLine="636"/>
        <w:spacing w:after="0" w:line="252" w:lineRule="auto"/>
        <w:rPr>
          <w:sz w:val="20"/>
          <w:szCs w:val="20"/>
          <w:color w:val="auto"/>
        </w:rPr>
      </w:pPr>
      <w:r>
        <w:rPr>
          <w:rFonts w:ascii="Times New Roman" w:cs="Times New Roman" w:eastAsia="Times New Roman" w:hAnsi="Times New Roman"/>
          <w:sz w:val="18"/>
          <w:szCs w:val="18"/>
          <w:color w:val="auto"/>
        </w:rPr>
        <w:t>In July 2025, we announced positive topline results from the Phase 3 (TRuE-AD4) study evaluating ruxolitinib cream in adult patients with moderate atopic dermatitis. The study met the co-primary endpoints at Week 8, with a statistically significant proportion of patients achieving both Investigator's Global Assessment Treatment Success (IGA-TS) and EASI75, which is defined as a 75% or greater improvement in the Eczema Area Severity Index score from baseline. In addition, the study met all key secondary endpoints. Ruxolitinib cream was well tolerated with no new safety signals. The full dataset will be presented at an upcoming medical conference.</w:t>
      </w:r>
    </w:p>
    <w:p>
      <w:pPr>
        <w:spacing w:after="0" w:line="18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In January 2024, we announced positive topline results from a randomized controlled Phase 2 study evaluating ruxolitinib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cream in HS. Ruxolitinib 1.5% cream BID met the primary efficacy endpoint as measured by a change from baseline in abscess and nodule count at Week 16 versus placebo in patients with mild to moderate HS. Ruxolitinib cream was well tolerated and consistent with its known safety profile.</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June 2025, two Phase 3 studies (TRuE-HS2 and TRuE-HS2) evaluating ruxolitinib cream in mild to moderate HS were initiated.</w:t>
      </w:r>
    </w:p>
    <w:p>
      <w:pPr>
        <w:spacing w:after="0" w:line="215"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Prurigo Nodularis. </w:t>
      </w:r>
      <w:r>
        <w:rPr>
          <w:rFonts w:ascii="Times New Roman" w:cs="Times New Roman" w:eastAsia="Times New Roman" w:hAnsi="Times New Roman"/>
          <w:sz w:val="17"/>
          <w:szCs w:val="17"/>
          <w:color w:val="auto"/>
        </w:rPr>
        <w:t>In March 2025, results from two Phase 3 studies (TRuE-PN1 and TRuE-PN2) evaluating ruxolitinib cream in patients with PN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were presented in a late-breaking oral session at the American Academy of Dermatology annual meeting. The TRuE-PN1 study met the primary endpoint of a</w:t>
      </w:r>
    </w:p>
    <w:p>
      <w:pPr>
        <w:spacing w:after="0" w:line="1" w:lineRule="exact"/>
        <w:rPr>
          <w:sz w:val="20"/>
          <w:szCs w:val="20"/>
          <w:color w:val="auto"/>
        </w:rPr>
      </w:pPr>
    </w:p>
    <w:p>
      <w:pPr>
        <w:jc w:val="both"/>
        <w:ind w:firstLine="6"/>
        <w:spacing w:after="0" w:line="270" w:lineRule="auto"/>
        <w:tabs>
          <w:tab w:leader="none" w:pos="14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4-point improvement from baseline in Worst-Itch Numeric Rating Scale (WI-NRS4) at Week 12 and all key secondary endpoints. The TRuE-PN2 study did not reach statistical significance for the primary endpoint, resulting in the key secondary endpoints with nominal p-values. These key secondary endpoints still demonstrate positive trends for ruxolitinib cream 1.5% versus vehicle. These data will inform planned discussions with regulatory authorities on submission.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Povorcitinib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also are developing povorcitinib, which is an oral small molecule selective JAK1 inhibitor. Povorcitinib is undergoing evaluation in patients with hidradenitis suppurativa, nonsegmental vitiligo, prurigo nodularis, asthma and chronic spontaneous urticaria (CSU).</w:t>
      </w:r>
    </w:p>
    <w:p>
      <w:pPr>
        <w:spacing w:after="0" w:line="16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HS is a chronic skin condition where lesions develop as a result of inflammation and infection of the sweat glands.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2020, initial results from the clinical program were presented and a randomized Phase 2b trial of povorcitinib was initiated in patients with HS. In August 2022, we presented positive results from the Phase 2 trial of povorcitinib in HS. In December 2022, we initiated two Phase 3 trials (STOP-HS1 and STOP-HS2) in moderate to severe HS.</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February 2023, 52-week results from the Phase 2 study evaluating povorcitinib in HS were presented as an oral presentation at the European Hidradenitis Suppurativa Foundation (EHSF) Annual Meeting. The data demonstrated that longer-term treatment with povorcitinib 75 mg resulted in sustained and durable efficacy across all treatment arms and that importantly, 22-29% of patients achieved HiSCR100, which is defined as a 100% reduction from baseline in total AN count with no increase from baseline in abscess or draining tunnel count.</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March 2025, positive results from two Phase 3 studies (STOP-HS1 and STOP-HS2) evaluating povorcitinib in patients with HS were presented and demonstrated that both studies met their primary endpoint of Hidradenitis Suppurativa Clinical Response (HiSCR) at Week 12 and at both tested doses (45mg and 75mg). In addition, at Week 12, patients treated with povorcitinib achieved deep levels of clinical response with a greater proportion achieving HiSCR75, reduction in flares, &gt;3-point decrease in the Skin Pain NRS score and Skin Pain NRS30. Furthermore, povorcitinib demonstrated rapid onset of response, including rapid skin pain reduction. These data support the planned regulatory submission of povorcitinib for the treatment of HS worldwide.</w:t>
      </w:r>
    </w:p>
    <w:p>
      <w:pPr>
        <w:spacing w:after="0" w:line="183"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Nonsegmental Vitiligo. </w:t>
      </w:r>
      <w:r>
        <w:rPr>
          <w:rFonts w:ascii="Times New Roman" w:cs="Times New Roman" w:eastAsia="Times New Roman" w:hAnsi="Times New Roman"/>
          <w:sz w:val="18"/>
          <w:szCs w:val="18"/>
          <w:color w:val="auto"/>
        </w:rPr>
        <w:t>In March 2023, 36-week results from the Phase 2b study evaluating povorcitinib in patients with extensive nonsegmental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vitiligo were presented as an oral late-breaking presentation at the American Academy of Dermatology (AAD) Annual Meeting. The data demonstrated that treatment with oral povorcitinib was associated with substantial total body repigmentation in patients with extensive nonsegmental vitiligo, as measured by total Vitiligo Area Scoring Index (T-VASI) scores. Specifically, the study met its primary endpoint, and patients receiving povorcitinib experienced statistically superior improvements in T-VASI at Week 24 compared to placebo.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October 2023, positive 52-week data from a Phase 2b clinical trial evaluating the safety and efficacy of povorcitinib in adult patients with extensive nonsegmental vitiligo were presented at EADV as a late-breaking oral presentation. Results showed that treatment with oral povorcitinib was associated with substantial total body and facial repigmentation across all treatment groups at Week 52 and further reinforces the efficacy profile and potential of povorcitinib as an oral treatment for patients with extensive nonsegmental vitiligo.</w:t>
      </w:r>
    </w:p>
    <w:p>
      <w:pPr>
        <w:spacing w:after="0" w:line="17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Prurigo Nodularis. </w:t>
      </w:r>
      <w:r>
        <w:rPr>
          <w:rFonts w:ascii="Times New Roman" w:cs="Times New Roman" w:eastAsia="Times New Roman" w:hAnsi="Times New Roman"/>
          <w:sz w:val="18"/>
          <w:szCs w:val="18"/>
          <w:color w:val="auto"/>
        </w:rPr>
        <w:t>In October 2023, we announced that the Phase 2, randomized, double-blind, placebo-controlled, dose ranging study evaluating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and safety of povorcitinib in participants with PN had met its primary endpoint. In October 2024, following the positive Phase 2 results, two Phase 3 studies in patients with PN were initiated.</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Asthma and Chronic Spontaneous Urticaria. </w:t>
      </w:r>
      <w:r>
        <w:rPr>
          <w:rFonts w:ascii="Times New Roman" w:cs="Times New Roman" w:eastAsia="Times New Roman" w:hAnsi="Times New Roman"/>
          <w:sz w:val="18"/>
          <w:szCs w:val="18"/>
          <w:color w:val="auto"/>
        </w:rPr>
        <w:t>In July 2023, we initiated two Phase 2 trials evaluating povorcitinib in patients with moderate to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uncontrolled asthma and in chronic spontaneous urticaria. Data for CSU are anticipated in the first half of 2025 and data in asthma are anticipated in the second half of 2025.</w:t>
      </w:r>
    </w:p>
    <w:p>
      <w:pPr>
        <w:spacing w:after="0" w:line="17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2025, we announced positive topline results from the Phase 2 study evaluating povorcitinib in patients with chronic spontaneous urticaria. The study met the primary endpoint at Week 12 of change from baseline in the Urticaria Activity Score summed over 7 days (UAS7). Povorcitinib was well tolerated with no new safety signals observed. These data will support planned discussions with regulatory agencies and will be presented at an upcoming medical conference.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INCB000262 (MRGPRX2) &amp; INCB000547 (MRGPRX4)</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As more fully described in Note 6 of Notes to the Condensed Consolidated Financial Statements, in May 2024, we acquired Escient Pharmaceuticals, Inc. Escient is a clinical-stage drug discovery and development company advancing novel small molecule therapeutics for systemic immune and neuro-immune disorders. Escient’s clinical development portfolio includes INCB000262, a potent, highly selective, once-daily small molecule antagonist of Mas-related G protein-coupled receptor (MRGPRX2) and INCB000547, an oral MRGPRX4 antagonist.</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November 2024, we announced that enrollment was paused in the ongoing Phase 2 study of MRGPRX2 (INCB000262) in CSU following the observation of certain in vivo preclinical toxicology findings. Subsequently, we made the decision to not pursue further development.</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November 2024, we announced that data from the Phase 2 study evaluating MRGPRX4 (INCB000547) in cholestatic pruritus did not support further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IAI and Dermatology Programs</w:t>
            </w:r>
          </w:p>
        </w:tc>
        <w:tc>
          <w:tcPr>
            <w:tcW w:w="8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18"/>
        </w:trPr>
        <w:tc>
          <w:tcPr>
            <w:tcW w:w="27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cream (OPZELURA)</w:t>
            </w:r>
            <w:r>
              <w:rPr>
                <w:rFonts w:ascii="Times New Roman" w:cs="Times New Roman" w:eastAsia="Times New Roman" w:hAnsi="Times New Roman"/>
                <w:sz w:val="22"/>
                <w:szCs w:val="22"/>
                <w:b w:val="1"/>
                <w:bCs w:val="1"/>
                <w:color w:val="auto"/>
                <w:vertAlign w:val="superscript"/>
              </w:rPr>
              <w:t>1</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Atopic dermatitis: Phase 3 pediatric study (TRuE-AD3); sNDA under review in the U.S.</w:t>
            </w:r>
          </w:p>
        </w:tc>
      </w:tr>
      <w:tr>
        <w:trPr>
          <w:trHeight w:val="21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Hidradenitis suppurativa: Phase 3 (TRuE-HS1, TRuE-HS2)</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Prurigo nodularis: Phase 3 (TRuE-PN1, TRuE-PN2)</w:t>
            </w:r>
          </w:p>
        </w:tc>
      </w:tr>
      <w:tr>
        <w:trPr>
          <w:trHeight w:val="21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Povorcitinib</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Hidradenitis suppurativa: Phase 3 (STOP-HS1, STOP-HS2)</w:t>
            </w:r>
          </w:p>
        </w:tc>
      </w:tr>
      <w:tr>
        <w:trPr>
          <w:trHeight w:val="21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Vitiligo: Phase 3 (STOP-V1, STOP-V2)</w:t>
            </w:r>
          </w:p>
        </w:tc>
      </w:tr>
      <w:tr>
        <w:trPr>
          <w:trHeight w:val="212"/>
        </w:trPr>
        <w:tc>
          <w:tcPr>
            <w:tcW w:w="2720" w:type="dxa"/>
            <w:vAlign w:val="bottom"/>
          </w:tcPr>
          <w:p>
            <w:pPr>
              <w:spacing w:after="0"/>
              <w:rPr>
                <w:sz w:val="18"/>
                <w:szCs w:val="18"/>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Prurigo nodularis: Phase 3 (STOP-PN1, STOP-PN2)</w:t>
            </w:r>
          </w:p>
        </w:tc>
      </w:tr>
      <w:tr>
        <w:trPr>
          <w:trHeight w:val="212"/>
        </w:trPr>
        <w:tc>
          <w:tcPr>
            <w:tcW w:w="2720" w:type="dxa"/>
            <w:vAlign w:val="bottom"/>
          </w:tcPr>
          <w:p>
            <w:pPr>
              <w:spacing w:after="0"/>
              <w:rPr>
                <w:sz w:val="18"/>
                <w:szCs w:val="18"/>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Chronic spontaneous urticaria: Phase 2</w:t>
            </w:r>
          </w:p>
        </w:tc>
      </w:tr>
      <w:tr>
        <w:trPr>
          <w:trHeight w:val="231"/>
        </w:trPr>
        <w:tc>
          <w:tcPr>
            <w:tcW w:w="2720" w:type="dxa"/>
            <w:vAlign w:val="bottom"/>
          </w:tcPr>
          <w:p>
            <w:pPr>
              <w:spacing w:after="0"/>
              <w:rPr>
                <w:sz w:val="20"/>
                <w:szCs w:val="20"/>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Asthma: Phase 2</w:t>
            </w:r>
          </w:p>
        </w:tc>
      </w:tr>
      <w:tr>
        <w:trPr>
          <w:trHeight w:val="25"/>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1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INCA034460</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Vitiligo: Phase 1</w:t>
            </w:r>
          </w:p>
        </w:tc>
      </w:tr>
      <w:tr>
        <w:trPr>
          <w:trHeight w:val="23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(anti-CD122)</w:t>
            </w:r>
          </w:p>
        </w:tc>
        <w:tc>
          <w:tcPr>
            <w:tcW w:w="8520" w:type="dxa"/>
            <w:vAlign w:val="bottom"/>
            <w:tcBorders>
              <w:bottom w:val="single" w:sz="8" w:color="CCEEFF"/>
            </w:tcBorders>
            <w:shd w:val="clear" w:color="auto" w:fill="CCEEFF"/>
          </w:tcPr>
          <w:p>
            <w:pPr>
              <w:spacing w:after="0"/>
              <w:rPr>
                <w:sz w:val="20"/>
                <w:szCs w:val="20"/>
                <w:color w:val="auto"/>
              </w:rPr>
            </w:pPr>
          </w:p>
        </w:tc>
      </w:tr>
      <w:tr>
        <w:trPr>
          <w:trHeight w:val="20"/>
        </w:trPr>
        <w:tc>
          <w:tcPr>
            <w:tcW w:w="2720" w:type="dxa"/>
            <w:vAlign w:val="bottom"/>
            <w:shd w:val="clear" w:color="auto" w:fill="000000"/>
          </w:tcPr>
          <w:p>
            <w:pPr>
              <w:spacing w:after="0" w:line="20" w:lineRule="exact"/>
              <w:rPr>
                <w:sz w:val="1"/>
                <w:szCs w:val="1"/>
                <w:color w:val="auto"/>
              </w:rPr>
            </w:pPr>
          </w:p>
        </w:tc>
        <w:tc>
          <w:tcPr>
            <w:tcW w:w="8520" w:type="dxa"/>
            <w:vAlign w:val="bottom"/>
            <w:shd w:val="clear" w:color="auto" w:fill="000000"/>
          </w:tcPr>
          <w:p>
            <w:pPr>
              <w:spacing w:after="0" w:line="20" w:lineRule="exact"/>
              <w:rPr>
                <w:sz w:val="1"/>
                <w:szCs w:val="1"/>
                <w:color w:val="auto"/>
              </w:rPr>
            </w:pPr>
          </w:p>
        </w:tc>
      </w:tr>
    </w:tbl>
    <w:p>
      <w:pPr>
        <w:spacing w:after="0" w:line="74" w:lineRule="exact"/>
        <w:rPr>
          <w:sz w:val="20"/>
          <w:szCs w:val="20"/>
          <w:color w:val="auto"/>
        </w:rPr>
      </w:pPr>
    </w:p>
    <w:p>
      <w:pPr>
        <w:ind w:firstLine="6"/>
        <w:spacing w:after="0" w:line="225" w:lineRule="auto"/>
        <w:tabs>
          <w:tab w:leader="none" w:pos="157"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INCA034460 (anti-CD122)</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2022, we acquired Villaris Therapeutics, Inc., an asset-centric biopharmaceutical company focused on the development of novel antibody therapeutics for vitiligo. INCA034460 is a novel, humanized anti-IL-15Rβ monoclonal antibody designed to target and deplete autoreactive tissue resident memory T cells (TRM) that has demonstrated efficacy as a treatment for vitiligo in preclinical models. In July 2023, INCA034460 received Investigational New Drug application (IND) clearance and in October 2023, we announced the first patient had been dosed.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Clinical Programs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2022, we initiated a Phase 2 trial evaluating zilurgisertib (INCB00928) in patients with fibrodysplasia ossificans progressiva (FOP), a disorder in which muscle tissue and connective tissue are gradually replaced by bone. The FDA has granted Fast Track designation and orphan drug designation to zilurgisertib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Clinical Program</w:t>
            </w:r>
          </w:p>
        </w:tc>
        <w:tc>
          <w:tcPr>
            <w:tcW w:w="8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5"/>
        </w:trPr>
        <w:tc>
          <w:tcPr>
            <w:tcW w:w="23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Zilurgisertib</w:t>
            </w:r>
          </w:p>
        </w:tc>
        <w:tc>
          <w:tcPr>
            <w:tcW w:w="8900" w:type="dxa"/>
            <w:vAlign w:val="bottom"/>
            <w:shd w:val="clear" w:color="auto" w:fill="CCEEFF"/>
          </w:tcPr>
          <w:p>
            <w:pPr>
              <w:ind w:left="520"/>
              <w:spacing w:after="0" w:line="185" w:lineRule="exact"/>
              <w:rPr>
                <w:sz w:val="20"/>
                <w:szCs w:val="20"/>
                <w:color w:val="auto"/>
              </w:rPr>
            </w:pPr>
            <w:r>
              <w:rPr>
                <w:rFonts w:ascii="Times New Roman" w:cs="Times New Roman" w:eastAsia="Times New Roman" w:hAnsi="Times New Roman"/>
                <w:sz w:val="18"/>
                <w:szCs w:val="18"/>
                <w:color w:val="auto"/>
              </w:rPr>
              <w:t>Fibrodysplasia ossificans progressiva: Pivotal Phase 2</w:t>
            </w:r>
          </w:p>
        </w:tc>
      </w:tr>
      <w:tr>
        <w:trPr>
          <w:trHeight w:val="225"/>
        </w:trPr>
        <w:tc>
          <w:tcPr>
            <w:tcW w:w="2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(ALK2)</w:t>
            </w:r>
          </w:p>
        </w:tc>
        <w:tc>
          <w:tcPr>
            <w:tcW w:w="8900" w:type="dxa"/>
            <w:vAlign w:val="bottom"/>
            <w:tcBorders>
              <w:bottom w:val="single" w:sz="8" w:color="auto"/>
            </w:tcBorders>
            <w:shd w:val="clear" w:color="auto" w:fill="CCEEFF"/>
          </w:tcPr>
          <w:p>
            <w:pPr>
              <w:spacing w:after="0"/>
              <w:rPr>
                <w:sz w:val="19"/>
                <w:szCs w:val="19"/>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Partnered Programs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6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 immune mechanisms that lead to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inflammation and swelling and, in some patients, the progressive destruction of joints. Rheumatoid arthritis also can affect connective tissue in the skin and organs of the body.</w:t>
      </w:r>
    </w:p>
    <w:p>
      <w:pPr>
        <w:spacing w:after="0" w:line="17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safe and effective treatment options for these patients. Rheumatoid arthritis is estimated to affect about 1% of the world’s population.</w:t>
      </w:r>
    </w:p>
    <w:p>
      <w:pPr>
        <w:spacing w:after="0" w:line="18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The Phase 3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3 trials met their respective primary endpoints.</w:t>
      </w:r>
    </w:p>
    <w:p>
      <w:pPr>
        <w:spacing w:after="0" w:line="15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January 2016, Lilly submitted a New Drug Application (NDA) to the FDA and a Marketing Authorization Application to the European Medicines Agency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Lilly has conducted a Phase 2a trial and a Phase 3 program to evaluate the safety and efficacy of baricitinib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In February 2019, we and Lilly announced that baricitinib met the primary endpoint in BREEZE-AD1 and BREEZE-AD2, two Phase 3 studies evaluating the efficacy and safety of baricitinib monotherapy for the treatment of adult patients with moderate-to-severe AD and, in August 2019, we and Lilly announced that baricitinib met the primary endpoint in BREEZE-AD7, a Phase 3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w:t>
      </w:r>
    </w:p>
    <w:p>
      <w:pPr>
        <w:spacing w:after="0" w:line="19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 causing hair loss in patches.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2020, Lilly announced that baricitinib received Breakthrough Therapy designation for the treatment of alopecia areata, based on the positive Phase 2 results of Lilly’s adaptive Phase 2/3 study BRAVE-AA1. In March 2021, we and Lilly announced positive results from BRAVE-AA2, the Phase 3 trial evaluating the efficacy and safety of once-daily baricitinib in adults with severe alopecia areata. In April 2021, we and Lilly announced positive results from the Phase 3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18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 inflammation. In addition to affecting the skin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joints, it can affect other organs in the body such as the kidneys, the tissue lining the lungs and heart, and the brain. Lilly has conducted a Phase 2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8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2022, Lilly announced the discontinuation of the Phase 3 development program for baricitinib in SLE based on top-line efficacy results from two pivotal Phase 3 trials (SLE-BRAVE-I and –II). The primary endpoint of SRI-4 response was reached in SLE-BRAVE-I but was not reached in SLE-BRAVE-II and key secondary endpoints were not met in either study.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COVID-19. </w:t>
      </w:r>
      <w:r>
        <w:rPr>
          <w:rFonts w:ascii="Times New Roman" w:cs="Times New Roman" w:eastAsia="Times New Roman" w:hAnsi="Times New Roman"/>
          <w:sz w:val="17"/>
          <w:szCs w:val="17"/>
          <w:color w:val="auto"/>
        </w:rPr>
        <w:t>In May 2020, we amended our agreement with Lilly to enable Lilly to commercialize baricitinib for the treatment of COVID-19.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6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2 GEOMETRY mono-1 study showing an overall response rate (ORR) of 51.6% in a cohort evaluating second-line patients only and 44% in all previously-treated patients with advanced NSCLC harboring alterations leading to MET exon 14 skipping.</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June 2022, we and Novartis announced the European Commission approval of capmatinib as TABRECTA as monotherapy treatment of adults with advanced NSCLC harboring alterations leading to mesenchymal-epithelial-transition factor gene (MET) exon 14 (METex14) skipping who require systemic therapy following prior treatment with immunotherapy and/or platinum-based chemotherapy.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1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In March 2022, we and Novartis announced a positive opinion from the CHMP for ruxolitinib in acute and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GVHD, based on data from the Phase 3 REACH2 and REACH3 trials. GVHD is a life-threatening complication of stem cell transplants, with no established standard of care in Europe for patients who do not adequately respond to first-line steroid treatment. In May 2022, we and Novartis announced the European Commission approval of ruxolitinib as JAKAVI for the treatment of acute or chronic GVHD in patients aged 12 years and older who have inadequate response to corticosteroids or other systemic therapies. In August 2023, Novartis announced that JAKAVI had been approved in Japan for use in graft-versus-host disease after hematopoietic stem cell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Partnered Programs</w:t>
            </w:r>
          </w:p>
        </w:tc>
        <w:tc>
          <w:tcPr>
            <w:tcW w:w="8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18"/>
        </w:trPr>
        <w:tc>
          <w:tcPr>
            <w:tcW w:w="23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(JAKAVI)</w:t>
            </w:r>
            <w:r>
              <w:rPr>
                <w:rFonts w:ascii="Times New Roman" w:cs="Times New Roman" w:eastAsia="Times New Roman" w:hAnsi="Times New Roman"/>
                <w:sz w:val="22"/>
                <w:szCs w:val="22"/>
                <w:b w:val="1"/>
                <w:bCs w:val="1"/>
                <w:color w:val="auto"/>
                <w:vertAlign w:val="superscript"/>
              </w:rPr>
              <w:t>1</w:t>
            </w:r>
          </w:p>
        </w:tc>
        <w:tc>
          <w:tcPr>
            <w:tcW w:w="8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Acute and chronic GVHD: Approved in Europe and Japan</w:t>
            </w:r>
          </w:p>
        </w:tc>
      </w:tr>
      <w:tr>
        <w:trPr>
          <w:trHeight w:val="23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80" w:type="dxa"/>
            <w:vAlign w:val="bottom"/>
            <w:tcBorders>
              <w:bottom w:val="single" w:sz="8" w:color="CCEEFF"/>
            </w:tcBorders>
            <w:shd w:val="clear" w:color="auto" w:fill="CCEEFF"/>
          </w:tcPr>
          <w:p>
            <w:pPr>
              <w:spacing w:after="0"/>
              <w:rPr>
                <w:sz w:val="20"/>
                <w:szCs w:val="20"/>
                <w:color w:val="auto"/>
              </w:rPr>
            </w:pPr>
          </w:p>
        </w:tc>
      </w:tr>
      <w:tr>
        <w:trPr>
          <w:trHeight w:val="218"/>
        </w:trPr>
        <w:tc>
          <w:tcPr>
            <w:tcW w:w="236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Baricitinib (OLUMIANT)</w:t>
            </w:r>
            <w:r>
              <w:rPr>
                <w:rFonts w:ascii="Times New Roman" w:cs="Times New Roman" w:eastAsia="Times New Roman" w:hAnsi="Times New Roman"/>
                <w:sz w:val="22"/>
                <w:szCs w:val="22"/>
                <w:b w:val="1"/>
                <w:bCs w:val="1"/>
                <w:color w:val="auto"/>
                <w:vertAlign w:val="superscript"/>
              </w:rPr>
              <w:t>2</w:t>
            </w: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 Approved in Europe and Japan</w:t>
            </w:r>
          </w:p>
        </w:tc>
      </w:tr>
      <w:tr>
        <w:trPr>
          <w:trHeight w:val="21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Severe alopecia areata (AA): Approved in the U.S., Europe and Japan</w:t>
            </w:r>
          </w:p>
        </w:tc>
      </w:tr>
      <w:tr>
        <w:trPr>
          <w:trHeight w:val="231"/>
        </w:trPr>
        <w:tc>
          <w:tcPr>
            <w:tcW w:w="2360" w:type="dxa"/>
            <w:vAlign w:val="bottom"/>
          </w:tcPr>
          <w:p>
            <w:pPr>
              <w:spacing w:after="0"/>
              <w:rPr>
                <w:sz w:val="20"/>
                <w:szCs w:val="20"/>
                <w:color w:val="auto"/>
              </w:rPr>
            </w:pP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 Approved in the U.S., Europe and Japan</w:t>
            </w:r>
          </w:p>
        </w:tc>
      </w:tr>
      <w:tr>
        <w:trPr>
          <w:trHeight w:val="26"/>
        </w:trPr>
        <w:tc>
          <w:tcPr>
            <w:tcW w:w="236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18"/>
        </w:trPr>
        <w:tc>
          <w:tcPr>
            <w:tcW w:w="23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Capmatinib (TABRECTA)</w:t>
            </w:r>
            <w:r>
              <w:rPr>
                <w:rFonts w:ascii="Times New Roman" w:cs="Times New Roman" w:eastAsia="Times New Roman" w:hAnsi="Times New Roman"/>
                <w:sz w:val="22"/>
                <w:szCs w:val="22"/>
                <w:b w:val="1"/>
                <w:bCs w:val="1"/>
                <w:color w:val="auto"/>
                <w:vertAlign w:val="superscript"/>
              </w:rPr>
              <w:t>3</w:t>
            </w:r>
          </w:p>
        </w:tc>
        <w:tc>
          <w:tcPr>
            <w:tcW w:w="8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NSCLC (with MET exon 14 skipping mutations): Approved in the U.S., Europe and Japan</w:t>
            </w:r>
          </w:p>
        </w:tc>
      </w:tr>
      <w:tr>
        <w:trPr>
          <w:trHeight w:val="23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(MET)</w:t>
            </w:r>
          </w:p>
        </w:tc>
        <w:tc>
          <w:tcPr>
            <w:tcW w:w="8880" w:type="dxa"/>
            <w:vAlign w:val="bottom"/>
            <w:tcBorders>
              <w:bottom w:val="single" w:sz="8" w:color="CCEEFF"/>
            </w:tcBorders>
            <w:shd w:val="clear" w:color="auto" w:fill="CCEEFF"/>
          </w:tcPr>
          <w:p>
            <w:pPr>
              <w:spacing w:after="0"/>
              <w:rPr>
                <w:sz w:val="20"/>
                <w:szCs w:val="20"/>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888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Ruxolitinib (JAKAVI) licensed to Novartis outside of the United States for use in hematology and oncology excluding topical administration.</w:t>
      </w:r>
    </w:p>
    <w:p>
      <w:pPr>
        <w:ind w:left="140" w:hanging="134"/>
        <w:spacing w:after="0" w:line="201" w:lineRule="auto"/>
        <w:tabs>
          <w:tab w:leader="none" w:pos="1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Baricitinib (OLUMIANT) licensed to Lilly.</w:t>
      </w:r>
    </w:p>
    <w:p>
      <w:pPr>
        <w:spacing w:after="0" w:line="1" w:lineRule="exact"/>
        <w:rPr>
          <w:rFonts w:ascii="Times New Roman" w:cs="Times New Roman" w:eastAsia="Times New Roman" w:hAnsi="Times New Roman"/>
          <w:sz w:val="23"/>
          <w:szCs w:val="23"/>
          <w:color w:val="auto"/>
          <w:vertAlign w:val="superscript"/>
        </w:rPr>
      </w:pPr>
    </w:p>
    <w:p>
      <w:pPr>
        <w:ind w:left="140" w:hanging="134"/>
        <w:spacing w:after="0" w:line="191" w:lineRule="auto"/>
        <w:tabs>
          <w:tab w:leader="none" w:pos="1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Capmatinib (TABRECTA) licensed to Novartis.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5 and Note 7 of Notes to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ten independent programs.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covering the worldwide development and commercialization of NIKTIMVO (axatilimab-csfr), Syndax’s anti-CSF-1R monoclonal antibody. Under the terms of this agreement, we received exclusive commercialization rights to axatilimab outside of the United States, and co-commercialization rights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For a discussion of our critical accounting policies, refer to “Item 7. Management’s Discussion and Analysis of Financial Condition and Results of Operations” in our Annual Report on Form 10-K for the year ended December 31, 2024. There have been no significant changes to our critical accounting policies or estimates during the six months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and are applicable for disclosures in our Annual Report on Form 10-K beginning with the year ending December 31, 2025. We are currently evaluating the impact that ASU No. 2023-09 will have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condensed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recorded net income of $405.0 million and basic net income per share of $2.09 and diluted net income per share of $2.04 for the three months ended June 30, 2025, as compared to net loss of $444.6 million and basic and diluted net loss per share of $2.04 in the corresponding period in 2024. We recorded net income of $563.2 million and basic net income per share of $2.91 and diluted net income per share of $2.84 for the six months ended June 30, 2025, as compared to net loss of $275.1 million and basic and diluted net loss per share of $1.24 in the corresponding period in 2024.</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r>
      <w:tr>
        <w:trPr>
          <w:trHeight w:val="24"/>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NIKTIMVO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5"/>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product royalty revenues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1"/>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6"/>
        </w:trPr>
        <w:tc>
          <w:tcPr>
            <w:tcW w:w="5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increase in JAKAFI for the three and six months ended June 30, 2025 as compared to the corresponding periods in 2024 was primarily driven by an increase in paid demand reflecting continued demand growth in all indications. JAKAFI inventory levels were within normal range at the end of the second quarter of 2025.</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increase in OPZELURA net product revenues for the three and six months ended June 30, 2025 as compared to the corresponding periods in 2024 was primarily due to increased patient demand and refills in the U.S. in both atopic dermatitis and vitiligo. Additionally, $32.3 million of net product revenues during the second quarter of 2025 were from outside of the U.S., driven by continued uptake in France, as well as growth from the recent launches in Italy and Spain. OPZELURA inventory levels were within normal range at the end of the second quarter of 2025.</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NIKTIMVO net product revenues for the three and six months ended June 30, 2025 reflects continued strong uptake of the product following its commercial launch during the first quarter of 2025.</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increase in ZYNYZ net product revenue for the three and six months ended June 30, 2025 was primarily driven by the approval of the product in squamous cell anal carcinoma in the second quarter of 2025.</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increase in total royalty revenues for the three and six months ended June 30, 2025 as compared to the corresponding periods in 2024 was primarily driven by growth in JAKAVI royalty revenue.</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Commercial &amp;</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Co-Pay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382,558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446,301</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965,526</w:t>
            </w:r>
          </w:p>
        </w:tc>
        <w:tc>
          <w:tcPr>
            <w:tcW w:w="0" w:type="dxa"/>
            <w:vAlign w:val="bottom"/>
          </w:tcPr>
          <w:p>
            <w:pPr>
              <w:spacing w:after="0"/>
              <w:rPr>
                <w:sz w:val="1"/>
                <w:szCs w:val="1"/>
                <w:color w:val="auto"/>
              </w:rPr>
            </w:pPr>
          </w:p>
        </w:tc>
      </w:tr>
      <w:tr>
        <w:trPr>
          <w:trHeight w:val="258"/>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(682,370)</w:t>
            </w:r>
          </w:p>
        </w:tc>
        <w:tc>
          <w:tcPr>
            <w:tcW w:w="0" w:type="dxa"/>
            <w:vAlign w:val="bottom"/>
          </w:tcPr>
          <w:p>
            <w:pPr>
              <w:spacing w:after="0"/>
              <w:rPr>
                <w:sz w:val="1"/>
                <w:szCs w:val="1"/>
                <w:color w:val="auto"/>
              </w:rPr>
            </w:pPr>
          </w:p>
        </w:tc>
      </w:tr>
      <w:tr>
        <w:trPr>
          <w:trHeight w:val="252"/>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(134,723)</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(168,097)</w:t>
            </w:r>
          </w:p>
        </w:tc>
        <w:tc>
          <w:tcPr>
            <w:tcW w:w="0" w:type="dxa"/>
            <w:vAlign w:val="bottom"/>
          </w:tcPr>
          <w:p>
            <w:pPr>
              <w:spacing w:after="0"/>
              <w:rPr>
                <w:sz w:val="1"/>
                <w:szCs w:val="1"/>
                <w:color w:val="auto"/>
              </w:rPr>
            </w:pPr>
          </w:p>
        </w:tc>
      </w:tr>
      <w:tr>
        <w:trPr>
          <w:trHeight w:val="25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29,207</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480,767</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549,064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U.S. government rebates and chargebacks are the most significant component of our sales allowances. Increases in certain U.S.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June 30, 2025, we have accrued approximately $165.2 million within accrued and other current liabilities on the condensed consolidated balance sheet, relating to the incremental rebates that would be owed were OPZELURA considered a line extension of JAKAFI. The impact on OPZELURA gross to net deductions for the quarter ending June 30, 2025 is approximately 6.6%. If OPZELURA is not treated as a line extension of JAKAFI, this would result in a reversal of our accrual and a lower future gross to net deduction for OPZELURA.</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volume of purchases eligible for government mandated discounts and rebates as well as changes in discount percentages which are impacted by potential future price increases, rate of inflation, and other factors.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milestone and contract revenues for the three and six months ended June 30, 2025, was derived from a $5.0 million development milestone upon approval of tafasitamab in treating follicular lymphoma. Our milestone and contract revenues for the six months ended June 30, 2024, was derived from a $25.0 million upfront payment received during the first quarter of 2024 upon our transfer of functional intellectual property to CMSHL.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168910</wp:posOffset>
            </wp:positionV>
            <wp:extent cx="39293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293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8"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11430</wp:posOffset>
            </wp:positionV>
            <wp:extent cx="19265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26590" cy="8255"/>
                    </a:xfrm>
                    <a:prstGeom prst="rect">
                      <a:avLst/>
                    </a:prstGeom>
                    <a:noFill/>
                  </pic:spPr>
                </pic:pic>
              </a:graphicData>
            </a:graphic>
          </wp:anchor>
        </w:drawing>
      </w:r>
    </w:p>
    <w:p>
      <w:pPr>
        <w:ind w:left="5640"/>
        <w:spacing w:after="0"/>
        <w:tabs>
          <w:tab w:leader="none" w:pos="72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31115</wp:posOffset>
            </wp:positionV>
            <wp:extent cx="19265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26590" cy="8255"/>
                    </a:xfrm>
                    <a:prstGeom prst="rect">
                      <a:avLst/>
                    </a:prstGeom>
                    <a:noFill/>
                  </pic:spPr>
                </pic:pic>
              </a:graphicData>
            </a:graphic>
          </wp:anchor>
        </w:drawing>
      </w:r>
    </w:p>
    <w:p>
      <w:pPr>
        <w:spacing w:after="0" w:line="4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11430</wp:posOffset>
            </wp:positionV>
            <wp:extent cx="19437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31115</wp:posOffset>
            </wp:positionV>
            <wp:extent cx="19437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9" w:lineRule="exact"/>
        <w:rPr>
          <w:sz w:val="20"/>
          <w:szCs w:val="20"/>
          <w:color w:val="auto"/>
        </w:rPr>
      </w:pPr>
    </w:p>
    <w:p>
      <w:pPr>
        <w:sectPr>
          <w:pgSz w:w="11900" w:h="16838" w:orient="portrait"/>
          <w:cols w:equalWidth="0" w:num="2">
            <w:col w:w="8060" w:space="720"/>
            <w:col w:w="24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share</w:t>
            </w: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6"/>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Cost of product revenues includes all product related costs, reserves for obsolescence, employee personnel costs, including stock compensation, for those employees dedicated to the production of our commercial products, royalties and profit sharing under our collaborative agreements and amortization of our licensed intellectual property rights for ICLUSIG and capitalized milestone payments. The increase in cost of product revenues for the three and six months ended June 30, 2025 as compared to the same periods in 2024 was driven by growth in net product revenues, the NIKTIMVO profit share and increased manufacturing related costs, partially offset by the impact of the contract dispute settlement with Novartis.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Dispute Settlement</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As described further in Note 8 of Notes to the Condensed Consolidated Financial Statements, during May 2025, we and Novartis entered into a settlement agreement with respect to litigation initiated by Novartis relating to the duration of royalty payments owed by us to Novartis under the our Collaboration and License Agreement. As of March 31, 2025, we had approximately $537.1 million of accrued royalties relating to the dispute with Novartis included in accrued and other current liabilities on our condensed consolidated balance sheet. Under the settlement agreement, we paid Novartis $280.0 million as the settlement of disputed royalties on net sales of JAKAFI in the United States through December 31, 2024, and agreed to reduce by 50% the royalty rate payable by us on future net sales of JAKAFI in the United States beginning January 1, 2025. The reduced royalty paid for the quarter ending March 31, 2025, was approximately $14.9 million. The difference of $242.2 million between the total accrued royalties and the total amount paid by us to Novartis as disclosed above was recorded in contract dispute settlement on our condensed consolidated statement of operations for the three and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gridSpan w:val="3"/>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tcPr>
          <w:p>
            <w:pPr>
              <w:spacing w:after="0"/>
              <w:rPr>
                <w:sz w:val="13"/>
                <w:szCs w:val="13"/>
                <w:color w:val="auto"/>
              </w:rPr>
            </w:pPr>
          </w:p>
        </w:tc>
      </w:tr>
      <w:tr>
        <w:trPr>
          <w:trHeight w:val="186"/>
        </w:trPr>
        <w:tc>
          <w:tcPr>
            <w:tcW w:w="5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gridSpan w:val="3"/>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0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3"/>
            <w:shd w:val="clear" w:color="auto" w:fill="CCEEFF"/>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Borders>
              <w:bottom w:val="single" w:sz="8" w:color="CCEEFF"/>
            </w:tcBorders>
            <w:shd w:val="clear" w:color="auto" w:fill="CCEEFF"/>
          </w:tcPr>
          <w:p>
            <w:pPr>
              <w:spacing w:after="0"/>
              <w:rPr>
                <w:sz w:val="16"/>
                <w:szCs w:val="16"/>
                <w:color w:val="auto"/>
              </w:rPr>
            </w:pPr>
          </w:p>
        </w:tc>
      </w:tr>
      <w:tr>
        <w:trPr>
          <w:trHeight w:val="24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8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80" w:type="dxa"/>
            <w:vAlign w:val="bottom"/>
          </w:tcPr>
          <w:p>
            <w:pPr>
              <w:spacing w:after="0"/>
              <w:rPr>
                <w:sz w:val="21"/>
                <w:szCs w:val="21"/>
                <w:color w:val="auto"/>
              </w:rPr>
            </w:pPr>
          </w:p>
        </w:tc>
        <w:tc>
          <w:tcPr>
            <w:tcW w:w="88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21"/>
                <w:szCs w:val="21"/>
                <w:color w:val="auto"/>
              </w:rPr>
            </w:pP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21"/>
                <w:szCs w:val="21"/>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5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5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8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IPR&amp;D expense</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r>
      <w:tr>
        <w:trPr>
          <w:trHeight w:val="24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r>
      <w:tr>
        <w:trPr>
          <w:trHeight w:val="25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51"/>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80" w:type="dxa"/>
            <w:vAlign w:val="bottom"/>
          </w:tcPr>
          <w:p>
            <w:pPr>
              <w:spacing w:after="0"/>
              <w:rPr>
                <w:sz w:val="21"/>
                <w:szCs w:val="21"/>
                <w:color w:val="auto"/>
              </w:rPr>
            </w:pP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1,138.4</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1,567.6</w:t>
            </w:r>
          </w:p>
        </w:tc>
      </w:tr>
      <w:tr>
        <w:trPr>
          <w:trHeight w:val="20"/>
        </w:trPr>
        <w:tc>
          <w:tcPr>
            <w:tcW w:w="5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The increase in salary and benefits related expense for the three and six months ended June 30, 2025 as compared to the corresponding period in 2024 was due primarily to increased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 Additionally, as described in Note 6 to the Condensed Consolidated Financial Statements, as part of the Escient acquisition, during the three and six months ended June 30, 2024, we recognized compensation expense in research and development of $11.3 million associated with the accelerated vesting for certain Escient stock awards in connection with the acquisition on our condensed consolidated statements of operations.</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2024 also include the $679.4 million of expense related to the acquired in-process research and development assets as part of the Escient acquisition, as described in Note 6 to the Condensed Consolidated Financial Statements. The increase in clinical research and outside services expense for the three months ended June 30, 2025 as compared to the corresponding period in 2024, was primarily due to continued investment in our late stage development assets. Research and development expenses include upfront and milestone expenses related to our collaborative agreements of $12.6 million and $28.1 million, respectively, for the three and six months ended June 30, 2025. Research and development expenses include upfront and milestone expenses related to our collaborative agreements of $0.4 million and $1.4 million, respectively, for the three and six months ended June 30, 2024. Research and development expenses for the three and six months ended June 30, 2025 and 2024 were net of $3.9 million, $6.5 million, $4.2 million and $21.3 million, respectively, of costs reimbursed by our collaborative partners.</w:t>
      </w:r>
    </w:p>
    <w:p>
      <w:pPr>
        <w:spacing w:after="0" w:line="19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7"/>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8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76"/>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increase in salary and benefits related expense for the three and six months ended June 30, 2025 as compared to the corresponding period in 2024 was due primarily to increased headcount. Stock compensation expense may fluctuate from period to period based on the number of awards granted, stock price volatility and expected award lives, as well as expected award forfeiture rates which are used to value equity-based compensation. Additionally, as described in Note 6 to the Condensed Consolidated Financial Statements, as part of the Escient acquisition, during the three months ended June 30, 2024, we recognized compensation expense in selling, general and administrative expenses of $20.2 million associated with the accelerated vesting for certain Escient stock awards in connection with the acquisition on our condensed consolidated statements of operations. The increase in other contract services and outside costs for the three months ended June 30, 2025, as compared to the corresponding period in 2024, was primarily due to increased legal costs relating to the Novartis contract dispute settlement and other matters and timing of consumer marketing activities.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Loss on change in fair value of acquisition-related contingent consideration</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change in fair value of the acquisition-related contingent consideration for the three and six months ended June 30, 2025 was a loss of $22.8 million and $34.3 million, respectively, which is recorded in loss on change in fair value of acquisition-related contingent consideration on the condensed consolidated statements of operations. The change in fair value of the acquisition-related contingent consideration for the three and six months ended June 30, 2024 was a loss of $0.9 million and loss of $0.4 million, respectively, which is recorded in loss on change in fair value of acquisition-related contingent consideration on the condensed consolidated statements of operations. The change in fair value of the contingent consideration during the three and six months ended June 30, 2025 and 2024 was primarily due to fluctuations in foreign currency exchange rates impacting future revenue projections of ICLUSIG and the passage of time.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Profit sharing from co-commercialization activities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the former collaboration and license agreement with MorphoSys, which was executed in March 2020 and continued through February 5, 2024 as described further in Note 6 of Notes to the Condensed Consolidated Financial Statements, we and MorphoSys were both responsible for the commercialization efforts of tafasitamab in the United States and shared equally the profits and losses from the co-commercialization efforts. For the period from January 1, 2024 through February 5, 2024, our 50% share of the profits for tafasitamab was $1.0 million, as recorded in (Profit) and loss sharing under collaboration agreements on the condensed consolidated statement of operations.</w:t>
      </w:r>
    </w:p>
    <w:p>
      <w:pPr>
        <w:spacing w:after="0" w:line="18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Under the collaboration agreement with Syndax, as described further in Note 8 of the Notes to the Condensed Consolidated Financial Statements, we and Syndax are both responsible for the co-commercialization of axatilimab in the United States and share equally in the profits and losses from those efforts. We are the principal in the U.S. axatilimab co-commercialization efforts and record 100% of all product revenues and associated costs in accordance with our profit sharing from co-commercialization activities accounting policy outlined in our Annual Report on Form 10-K for the year ended December 31, 2024. For the three and six months ended June 30, 2025, we recorded revenues of $36.2 million and $49.8 million, respectively, from sales of NIKTIMVO (axatilimab), and total associated costs of $15.2 million and $28.9 million respectively, from co-commercialization activities.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and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Interest income for the three and six months ended June 30, 2025 was $25.1 million and $48.1 million, respectively. Interest income for the three and six months ended June 30, 2024 was $41.5 million and $88.2 million, respectively. The decrease in Interest income for the three and six months ended June 30, 2025 is primarily due to lower interest rates and cash and cash equivalent balances in 2025 as compared to the corresponding periods in 2024.</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(Loss) gain on equity investments</w:t>
      </w:r>
    </w:p>
    <w:p>
      <w:pPr>
        <w:spacing w:after="0" w:line="219"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Losses and gains on equity investments will fluctuate from period to period, based on sales of securities and the change in fair value of the securities we hold in our publicly held collaboration partners. The following table provides a summary of those (losses) gains: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3"/>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tcPr>
          <w:p>
            <w:pPr>
              <w:spacing w:after="0"/>
              <w:rPr>
                <w:sz w:val="14"/>
                <w:szCs w:val="14"/>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38"/>
        </w:trPr>
        <w:tc>
          <w:tcPr>
            <w:tcW w:w="50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7"/>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Agenus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5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Merus</w:t>
            </w:r>
          </w:p>
        </w:tc>
        <w:tc>
          <w:tcPr>
            <w:tcW w:w="88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MorphoSys</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5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Syndax</w:t>
            </w:r>
          </w:p>
        </w:tc>
        <w:tc>
          <w:tcPr>
            <w:tcW w:w="880" w:type="dxa"/>
            <w:vAlign w:val="bottom"/>
          </w:tcPr>
          <w:p>
            <w:pPr>
              <w:spacing w:after="0"/>
              <w:rPr>
                <w:sz w:val="21"/>
                <w:szCs w:val="21"/>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(4.2)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2"/>
        </w:trPr>
        <w:tc>
          <w:tcPr>
            <w:tcW w:w="5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(loss) gain on equity investments</w:t>
            </w: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8"/>
              </w:rPr>
              <w:t>(4.2)</w:t>
            </w:r>
          </w:p>
        </w:tc>
        <w:tc>
          <w:tcPr>
            <w:tcW w:w="100" w:type="dxa"/>
            <w:vAlign w:val="bottom"/>
            <w:tcBorders>
              <w:top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(5.5)</w:t>
            </w:r>
          </w:p>
        </w:tc>
        <w:tc>
          <w:tcPr>
            <w:tcW w:w="100" w:type="dxa"/>
            <w:vAlign w:val="bottom"/>
            <w:tcBorders>
              <w:top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provision for income taxes for the three and six months ended June 30, 2025 was $153.0 million and $229.0 million, respectively. The provision for income taxes for the three and six months ended June 30, 2024 was $54.8 million and $121.4 million, respectively.</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effective tax rate for the three and six months ended June 30, 2025 was higher than the U.S. statutory rate primarily due to an increase in our valuation allowance against certain U.S. federal and state deferred tax assets. This was partially offset by tax rate benefits associated with research and development and orphan drug tax credit generations and the foreign derived intangible income deduction. Our effective tax rate for the three and six months ended June 30, 2024 was higher than the U.S. statutory rate primarily due to a non-deductible charge of $710.9 million associated with the Escient acquisition.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At June 30, 2025, we had available cash, cash equivalents and marketable securities of $2.4 billion. Our cash and marketable securities balances are primarily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2025 was $310.8 million and net cash used in operating activities for the six months ended June 30, 2024 was $356.8 million. The increase in cash provided by operating activities was due primarily to the changes in net income as a result of the contract dispute settlement during the second quarter of 2025 and the Escient acquisition during the second quarter of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Our investing activities, other than purchases, sales and maturities of marketable securities, have consisted predominantly of capital expenditures and sales of long term investments. Net cash used in investing activities was $17.8 million for the six months ended June 30, 2025, which primarily represented by purchases of marketable securities of $97.3 million and capital expenditures of $22.2 million, offset in part by maturities of marketable securities of $101.8 million. Net cash provided by investing activities was $140.7 million for the six months ended June 30, 2024, which primarily represented sales of equity investments of $227.3 million and maturities of marketable securities of $182.6 million, offset in part by purchases of marketable securities of $204.1 million, and capital expenditures of $63.7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7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Net cash used in financing activities was $23.9 million for the six months ended June 30, 2025, primarily representing the $19.1 million paid for excise taxes relating to the June 2024 share repurchase, cash paid for tax withholdings related to restricted and performance share vesting and cash paid to ARIAD/Takeda for contingent consideration, partially offset by proceeds from issuance of common stock under our stock plans. Net cash used in financing activities was $2.01 billion for the six months ended June 30, 2024 and was primarily driven by expenditures associated with the share repurchase of $2.00 billion.</w:t>
      </w:r>
    </w:p>
    <w:p>
      <w:pPr>
        <w:spacing w:after="0" w:line="18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In August 2021, we entered into a $500.0 million, senior unsecured revolving credit facility, which was subsequently amended in May 2023 and June 2024 (as amended, the “Credit Agreement”). The June 2024 amendment to the Credit Agreement extended the maturity date of the revolving credit facility from August 2024 to June 2027.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June 30, 2025, we had no outstanding borrowings and were in compliance with all covenants under this facility. The Credit Agreement is described further in Note 16 of Notes to the Condensed Consolidated Financial Statements.</w:t>
      </w:r>
    </w:p>
    <w:p>
      <w:pPr>
        <w:spacing w:after="0" w:line="16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As of June 30, 2025, our U.S. tax liabilities continue to reflect the adverse impacts of the mandatory capitalization and amortization of research and development costs as required under the Tax Cuts and Jobs Act of 2017, which eliminated the immediate expensing of such costs. The enactment of the One Big Beautiful Bill Act on July 4, 2025 modified key provisions of the Tax Cuts and Jobs Act of 2017 that may have an impact on our U.S. tax liabilities. We are evaluating the potential impacts of the modified provisions.</w:t>
      </w:r>
    </w:p>
    <w:p>
      <w:pPr>
        <w:spacing w:after="0" w:line="18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8 of Notes to the Condensed Consolidated Financial Statements.</w:t>
      </w:r>
    </w:p>
    <w:p>
      <w:pPr>
        <w:spacing w:after="0" w:line="17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June 30, 2025, marketable securities were $466.8 million. Due to the nature of these investments, if market interest rates were to increase immediately and uniformly by 10% from levels as of June 30, 2025, the decline in fair value would not be material.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To the extent that we continue to hold strategic equity investments in publicly traded companies, we expect that due to the volatility of the stock price of biotechnology companies, our (loss) gain on equity investments will fluctuate in future periods based on increases or decreases in the fair value of our strategic equity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 is defined in Rule 13a-15(e)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5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were no changes in our internal control over financial reporting (as defined in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13a-15(f) and 15d-15(f) under the Exchange Act) for the six months ended June 30, 2025,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16 to our Condensed Consolidated Financial Statements included in this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JAKAFI is our first product marketed by us that is approved for sale in the United States. While we also sell our and our licensors’ other approved products ICLUSIG, PEMAZYRE, MONJUVI/MINJUVI, OPZELURA, ZYNYZ and NIKTIMVO and our exclusive licensees sell OLUMIANT and TABRECTA, we anticipate that JAKAFI product sales will continue to contribute a significant percentage of our total revenues over the next several years.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commercial success of JAKAFI and our ability to maintain and continue to increase revenues from the sale of JAKAFI will depend on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 and pricing;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 JAKAFI;</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 or in combination with other therapeutic modalities;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public health pandemic or epidemic such as the COVID-19 pandemic or of adverse geopolitical events, regulatory, legislative or administrative developments.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7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ZYNYZ and NIKTIMVO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federal, state and foreign governments and other third-party payors to implement or modify laws, regulations or policies addressing payment and reimbursement for drugs;</w:t>
      </w:r>
    </w:p>
    <w:p>
      <w:pPr>
        <w:spacing w:after="0" w:line="163" w:lineRule="exact"/>
        <w:rPr>
          <w:rFonts w:ascii="Times New Roman" w:cs="Times New Roman" w:eastAsia="Times New Roman" w:hAnsi="Times New Roman"/>
          <w:sz w:val="18"/>
          <w:szCs w:val="18"/>
          <w:color w:val="auto"/>
        </w:rPr>
      </w:pPr>
    </w:p>
    <w:p>
      <w:pPr>
        <w:ind w:left="960" w:right="260" w:hanging="318"/>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by employers on private health insurance plans to reduce costs or moderate cost increases, as well as continued public scrutiny of the price of drugs and other healthcare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960" w:hanging="318"/>
        <w:spacing w:after="0" w:line="259"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on healthcare budgets resulting from macroeconomic factors such as inflation, rising interest rates and the economic effects of geopolitical conflicts;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9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for OPZELURA or additional products in the future.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obtaining and maintaining broad coverage and reimbursement for our products, our anticipated revenue from and growth prospects for our products could be negatively affected.</w:t>
      </w:r>
    </w:p>
    <w:p>
      <w:pPr>
        <w:spacing w:after="0" w:line="193"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continuing to establish and maintain sales, marketing and distribution capabilities for OPZELURA. Successful commercialization of our drug candidates for dermatology indications requires us to establish new physician and payor relationships, PBM and pharmacy network relationships, reimbursement strategies and governmental interactions, separate from our existing capabilities for oncology indications. Our inability to commercialize successfully products in indications outside of oncology could harm our business and operating results.</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17" w:lineRule="exact"/>
        <w:rPr>
          <w:sz w:val="20"/>
          <w:szCs w:val="20"/>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Furthermore, disruptions at the FDA and other regulatory agencies could prevent those agencies from performing normal business functions on which the operation of our business relies, which could negatively impact our business.</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testing of JAKAFI, ICLUSIG, PEMAZYRE, MONJUVI/MINJUVI, OPZELURA, ZYNYZ and NIKTIMVO, the manufacturing, marketing and sale of JAKAFI, PEMAZYRE, OPZELURA and NIKTIMVO and the marketing and sale of ICLUSIG, MONJUVI/MINJUVI and ZYNYZ expose us to product liability and other risks. Side effects and other problems experienced by patients from the use of our products could:</w:t>
      </w:r>
    </w:p>
    <w:p>
      <w:pPr>
        <w:spacing w:after="0" w:line="178" w:lineRule="exact"/>
        <w:rPr>
          <w:sz w:val="20"/>
          <w:szCs w:val="20"/>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63"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ZYNYZ and NIKTIMVO.</w:t>
      </w:r>
    </w:p>
    <w:p>
      <w:pPr>
        <w:spacing w:after="0" w:line="17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license collaborators in the jurisdictions in which they have development and commercialization rights.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These Physician Payment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our Annual Report on Form 10-K for the year ended December 31, 2024 for additional information regarding the effects of competition. If we are unable to compete successfully, our commercial opportunities will be reduced and our business, results of operations and financial conditions may be materially harmed.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or other version of an innovative pharmaceutical by filing with the FDA an Abbreviated New Drug Application, or ANDA, or an New Drug Application, or NDA, pursuant to section 505(b)(2) of the Federal Food, Drug, and Cosmetic Act. The Hatch-Waxman Act provides significant incentives to generic manufacturers to challenge U.S. patents on successful innovative pharmaceutical products. We have received a notice letter from each of Apotex, Inc., Hikma Pharmaceuticals USA Inc., Sun Pharmaceutical Industries Inc. and Granules India Ltd. notifying us that it has filed an ANDA containing a paragraph IV certification seeking approval to market a generic version of JAKAFI and purporting to challenge one or more patents covering ruxolitinib composition of matter and its use that expire (with pediatric extension) in June 2028 and patents covering ruxolitinib phosphate and its use that expire (with pediatric extension) in December 2028. We have also received a separate notice letter from Apotex regarding its filing of a NDA pursuant to section 505(b)(2) of the Federal Food, Drug, and Cosmetic Act that requested to rely, in part, on the FDA’s previously published findings of safety and efficacy for JAKAFI and purported to challenge patents covering ruxolitinib composition of matter and its use that expire (with pediatric extension) in June 2028 and patents covering ruxolitinib phosphate and its use that expire (with pediatric extension) in December 2028. In response, we have filed patent infringement actions against Apotex (with respect to both its ANDA and 505(b)(2) NDA), Hikma, Sun, and Granules in the U.S. District Court for the District of New Jersey asserting certain FDA Orange-Book-listed patents for JAKAFI. Those actions remain pending.</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respect to deuterated ruxolitinib, in January 2018 the Patent Trial and Appeal Board, or PTAB, of United States Patent and Trademark Office</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denied institution of a petition challenging our patent covering deuterated ruxolitinib analogs. The PTAB subsequently denied the petitioner’s request for rehearing in May 2018. Although the PTAB's decision is now final, the petitioner still has the right separately to challenge the validity of our patent in federal court.</w:t>
      </w:r>
    </w:p>
    <w:p>
      <w:pPr>
        <w:spacing w:after="0" w:line="17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July 2024, the FDA approved a deuterated ruxolitinib product owned by Sun Pharmaceutical Industries Ltd. and Sun Pharmaceutical Industries, Inc., collectively referred to as Sun, for the treatment of severe alopecia areata to be commercialized as “Leqselvi (deuruxolitinib)”. Prior to the regulatory approval of Leqselvi, we sued Sun for infringement of our patent covering deuterated ruxolitinib analogs in the U.S. District Court for the District of New Jersey and sought a preliminary injunction to bar Sun’s launch of Leqselvi during the pendency of the litigation. On November 1, 2024, the court entered an order granting our preliminary injunction request. Sun appealed the court’s preliminary injunction order to the U.S. Court of Appeals for the Federal Circuit. On April 9, 2025, the Federal Circuit vacated the preliminary injunction order that had enjoined Leqselvi's launch. In July 2025, we entered into a settlement and license agreement with Sun Pharmaceuticals, Inc., resolving this patent infringement litigation related to Leqselvi (deuruxolitinib).</w:t>
      </w:r>
    </w:p>
    <w:p>
      <w:pPr>
        <w:spacing w:after="0" w:line="18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ZYNYZ and NIKTIMVO include major pharmaceutical and biotechnology companies, as well as specialty pharmaceutical firms.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Competitors for OPZELURA include existing over-the-counter topical treatments and prescription topical treatments, as well as oral and injectable therapies, from major pharmaceutical and biotechnology companies, and companies that produce generic version of prescription treatments. In September 2023, we received a notice letter from Padagis Israel Pharmaceuticals Ltd. regarding its filing of an ANDA that requested approval to market a generic version of OPZELURA and purported to challenge patents covering ruxolitinib phosphate cream and its uses that expire in 2031 and 2040. The notice letter does not challenge the ruxolitinib or ruxolitinib phosphate composition of matter patents, providing patent coverage (with pediatric extension) until December 2028. In November 2023, we initiated a patent infringement action against Padagis in the U.S. District Court for the District of New Jersey asserting certain FDA Orange Book listed patents. That action remains pending. In January 2025, we received a notice letter from Taro Pharmaceuticals Inc. regarding its filing of an ANDA that requested approval to market a generic version of OPZELURA and purported to challenge patents covering ruxolitinib phosphate cream and its uses that expire in 2031 and 2040. The notice letter does not challenge ruxolitinib or ruxolitinib phosphate composition of matter patents, providing patent coverage (with pediatric extension) until December 2028. In March 2025, we initiated a patent infringement action against Taro in the U.S. District Court for the District of New Jersey asserting certain FDA Orange Book listed patents. That action remains pending. In January 2025, we received a notice letter from Zydus Lifesciences Limited regarding its filing of an ANDA that requested approval to market a generic version of OPZELURA and purported to challenge patents covering ruxolitinib phosphate cream and its uses that expire in 2040. The notice letter does not challenge the ruxolitinib or ruxolitinib phosphate composition of matter patents or certain patents covering ruxolitinib phosphate cream and its uses, providing patent coverage (with pediatric extension) until November 2031. In March 2025, we initiated a patent infringement action against Zydus in the U.S. District Court for the District of New Jersey asserting certain FDA Orange Book listed patents. That action remains pending.</w:t>
      </w:r>
    </w:p>
    <w:p>
      <w:pPr>
        <w:spacing w:after="0" w:line="19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There can be no assurance that our patents will be upheld or that any litigation in which we might engage with any generic manufacturer would be successful in protecting exclusivity of our products. The entry of a competitive drug product from another company or a generic version of one of our products could result in a decrease in sales of our products and materially harm our business, operating results, and financial condition.</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collaborator Novartis for JAKAVI and TABRECTA in jurisdictions in which it has commercialization rights and to our collaborator Lilly for OLUMIANT all jurisdictions.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78" w:lineRule="exact"/>
        <w:rPr>
          <w:sz w:val="20"/>
          <w:szCs w:val="20"/>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or acquire drug candidates from others;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marketing, distribution and manufacturing resources effectively or enter into arrangements with third parties to provide these functions in compliance with all applicable laws;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17"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or our collaborators or licensees, may decide to discontinue development of any or all of our drug candidates at any time for commercial, scientific or other reasons. Even if a drug candidate received marketing approval, it may not be able to achieve market acceptance or compete successfully with competitors’ products and we may have spent significant amounts of time and money on it without achieving potential returns initially anticipated, which could adversely affect our operating results and financial condition as well as our business plans.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5" w:lineRule="exact"/>
        <w:rPr>
          <w:sz w:val="20"/>
          <w:szCs w:val="20"/>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Delays in FDA approval of drug candidates may also result from other factors such as funding limitations, staffing reductions or other resource restrictions, any of which could have an adverse effect on the regulatory approval process. Further,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extended-release (XR) tablets, which identified additional requirements for approval.</w:t>
      </w:r>
    </w:p>
    <w:p>
      <w:pPr>
        <w:spacing w:after="0" w:line="17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April 2018, we along with Merck announced that the ECHO-301 study had been stopped and we also significantly downsized the epacadostat development program and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9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6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the American Rescue Plan Act of 2021 includes a provision that became effective in January 2024 that eliminates the statutory cap on rebates that drug manufacturers pay to Medicaid. It is expected that this provision, as implemented by the Centers for Medicare and Medicaid Services, or CMS, will have the effect of increasing Medicaid rebate liability, particularly in the case of medicines that have experienced price increases at a rate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19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9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1"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7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enter into additional licensing agreements or if these arrangements are unsuccessful, our business and operations might be adversely affected.</w:t>
      </w:r>
    </w:p>
    <w:p>
      <w:pPr>
        <w:spacing w:after="0" w:line="233"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MacroGenics, Merus and Syndax Pharmaceuticals,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and Syros Pharmaceuticals.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As a result of the COVID-19 pandemic, we experienced, and as a result of future pandemics we may in the future experience disruptions that could severely impact our business, results of operations and financial condition. These disruptions can include the following:</w:t>
      </w:r>
    </w:p>
    <w:p>
      <w:pPr>
        <w:spacing w:after="0" w:line="163" w:lineRule="exact"/>
        <w:rPr>
          <w:sz w:val="20"/>
          <w:szCs w:val="20"/>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shelter-in-place orders and work-from-home policies that could affect our research and development activities and access to our laboratory space;</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and marketing activities;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demand for our products as a result of a decrease in patient visits to healthcare professionals and the prioritization of hospital resources for a future pandemic;</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our clinical trials as a result of delays in site initiation, patient screening, patient enrollment, and monitoring and data collection;</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by the FDA and comparable foreign regulatory agencies for the review and potential approvals of our drug candidate applications;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global supply chain which may affect our ability to obtain sufficient materials for our drug products and product candidates.</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do not currently operate manufacturing facilities for most of our clinical or commercial products, including JAKAFI, PEMAZYRE, ICLUSIG, OPZELURA and NIKTIMVO, and our drug candidates. Our current manufacturing strategy for these products and drug candidates is to contract with third parties to manufacture the related raw materials, active pharmaceutical ingredient (API), and finished drug product. We do have a biologics production facility located in Yverdon, Switzerland, currently registered for MINJUVI drug substance manufacturing. For ZYNYZ, together with our collaborator MacroGenics, we are responsible for the sourcing and manufacturing of ZYNYZ.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18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7"/>
          <w:szCs w:val="17"/>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drug candidates or drug products, whether through conditions affecting the cost and availability of raw materials, such as inflation, decreases in available manufacturing capacity, or otherwise, would adversely affect our results of operations.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7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 or in obtaining necessary regulatory approvals and registrations to do so.</w:t>
      </w:r>
    </w:p>
    <w:p>
      <w:pPr>
        <w:spacing w:after="0" w:line="18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60"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February 2024, we entered into a purchase agreement with MorphoSys under which we acquired rights to tafasitamab (MONJUVI/MINJUVI) that resulted in our holding exclusive global development and commercialization rights to tafasitamab.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87" w:lineRule="exact"/>
        <w:rPr>
          <w:sz w:val="20"/>
          <w:szCs w:val="20"/>
          <w:color w:val="auto"/>
        </w:rPr>
      </w:pPr>
    </w:p>
    <w:p>
      <w:pPr>
        <w:ind w:left="96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develop and commercialize acquired products, product candidates or technologies or to achieve other strategic objectives;</w:t>
      </w:r>
    </w:p>
    <w:p>
      <w:pPr>
        <w:spacing w:after="0" w:line="228"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progress preclinical programs into clinical development or unfavorable data from clinical trials evaluating acquired or licensed products or product candidates;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our management’s and employees’ attention from ongoing development of our existing business and other opportunities and challenges;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planned synergies or cost savings;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an acquired company;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markets in which we have no or limited direct prior experience or where competitors in such markets have stronger market positions;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ability to maintain key business relationships of business we acquire;</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acquired businesses may have differing or inadequate cybersecurity and data protection controls;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16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 in the U.S. and foreign jurisdictions may cause approvals to take longer than anticipated to obtain, not be obtained at all, or contain burdensome conditions such as required divestitures, which may jeopardize, delay or reduce the anticipated benefits of acquisitions to us and could impede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As a result of these or other problems and risks,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We cannot assure you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each of the fiscal quarters in 2022 and in the third quarter of 2023 we recorded unrealized losses related to our investments in our collaboration partners, and we may experience additional losses related to our investments in future period. In addition, if we choose to issue equity securities as consideration for any acquisition, dilution to our stockholders could result.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European operations and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have opened an office in China and are working with partners in additional markets. International operations and business expansion plans are subject to numerous additional risks, including:</w:t>
      </w:r>
    </w:p>
    <w:p>
      <w:pPr>
        <w:spacing w:after="0" w:line="180" w:lineRule="exact"/>
        <w:rPr>
          <w:sz w:val="20"/>
          <w:szCs w:val="20"/>
          <w:color w:val="auto"/>
        </w:rPr>
      </w:pPr>
    </w:p>
    <w:p>
      <w:pPr>
        <w:jc w:val="both"/>
        <w:ind w:left="960" w:hanging="318"/>
        <w:spacing w:after="0" w:line="259"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and cost as we enter into additional jurisdictions;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exposure to foreign currency exchange rate fluctuations and increased costs due to tariffs;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inflation, political or economic instability, terrorism and political unrest and geopolitical events;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including epidemics and pandemics, and related effects on new patient starts, clinical trial activity, regulatory agency response times, supply chain, travel and employee health and availability;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6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7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disruptions and uncertainties could seriously harm our operations, future revenues and financial condition and increase our costs and expenses.</w:t>
      </w:r>
    </w:p>
    <w:p>
      <w:pPr>
        <w:spacing w:after="0" w:line="23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business disruptions as a result of natural disasters, power and other infrastructure failures or shortages, public health pandemics or epidemics, and other natural or man-made disasters, as well as other business uncertainties as a result of international trade policies, including tariff and trade disputes, trade sanctions and import and export licensing requirements.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or other uncertainties could seriously harm our operations, future revenues and financial condition and increase our costs and expenses.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intend to continue to spend significant amounts on our efforts to discover and develop drugs. As a result, we may incur losses in future periods.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OPZELURA and we cannot assure you that we will generate substantial revenues from the drug candidates that we license or develop, including ICLUSIG, PEMAZYRE, MONJUVI/MINJUVI, ZYNYZ and NIKTIMVO for several years, if ever.</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ZYNYZ and NIKTIMVO we may incur losses if our drug products do not generate significant revenues.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74"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17" w:lineRule="exact"/>
        <w:rPr>
          <w:sz w:val="20"/>
          <w:szCs w:val="20"/>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or payment of contingent licensing or milestone fees or royalties on product sales from our current or future collaborative and license arrangements, if established; and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1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marketable securities and equity investments are subject to risks that could adversely affect our overall financial position.</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money market funds, U.S. government backed-funds and Treasury securities, which are investment grade and historically have been highly liquid and carried relatively low risk.</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Any loss in value of our equity investments could adversely affect our financial position on the condensed consolidated balance sheets and condensed consolidated statements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adversely affect our results of operations, business and financial condition.</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on July 4, 2025, U.S. federal tax legislation commonly referred to as the One Big Beautiful Bill Act, or the OBBB Act, was enacted, which, among other things, allows domestic research and development expenditures to be expensed for tax years beginning on or after January 1, 2025, with retroactive elections for such expenditures paid or incurred in the two prior years but also increases the effective tax rate on foreign-derived deduction eligible income (formerly known as “foreign-derived intangible income”) for tax years beginning on or after January 1, 2026. As another example, in August 2022, the Inflation Reduction Act of 2022 was enacted, which, among other things, includes a new 15% alternative minimum tax on the adjusted financial statement income of certain large corporations for tax years beginning after December 31, 2022.</w:t>
      </w:r>
    </w:p>
    <w:p>
      <w:pPr>
        <w:spacing w:after="0" w:line="19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Furthermore, the enactment of some or all of the recommendations set forth or that may be forthcoming in the Organization for Economic Co-Operation and Development, or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the European Union member states agreed to implement in their domestic tax laws a 15% global minimum tax on the profits of large multinational enterprises with a target effective date for fiscal years beginning on or after December 31, 2023. Although we continue to evaluate and monitor the potential impact of BEPS 2.0 on us, and the OECD minimum tax rules do not currently have a material impact on us, these minimum tax rules could in the future result in tax increases in both the United States and many foreign jurisdictions where we operate or have a presence. On January 15, 2025, the OECD released new guidance addressing implementation of the Pillar Two global minimum tax rules, which were effective for us in tax year 2024. As part of the guidance, the OECD placed limitations on transactions that produce deferred tax assets entered into during the transition period that runs from November 2021 through an entity’s adoption of Pillar Two. However, n January 20, 2025, President Trump signed an executive order effectively cancelling the United States’ commitments to the global minimum tax rules, stating that those commitments cannot have any effect in the United States without an act of approval of the U.S. Congress and, on June 28, 2025, the G7 released a joint statement that it had reached an understanding with the United States for a proposed side-by-side system based on certain accepted principles, including that U.S.-parented groups, such as ours, would be exempt from certain provisions of Pillar Two.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derive a substantial portion of our total revenues from product royalties and milestone payments under our collaboration agreements, with royalties on JAKAVI and OLUMIANT representing most of our product royalty, milestone and contract revenues for each of the three years ended December 31, 2024 and the three and six months ended June 30, 2025.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3" w:lineRule="exact"/>
        <w:rPr>
          <w:sz w:val="20"/>
          <w:szCs w:val="20"/>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potential generic drug company competitors have challenged certain patents relating to JAKAFI and OPZELURA.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17" w:lineRule="exact"/>
        <w:rPr>
          <w:sz w:val="20"/>
          <w:szCs w:val="20"/>
          <w:color w:val="auto"/>
        </w:rPr>
      </w:pPr>
    </w:p>
    <w:p>
      <w:pPr>
        <w:ind w:left="960" w:hanging="31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spacing w:after="0" w:line="19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cyber attacks are growing in frequency and sophistication, including the use of artificial intelligence,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Further, many countries and jurisdictions in which we work globally have enacted and/or are proposing privacy and data protection laws and regulations which govern the collection and use of personal information and these may impose large fines and penalties for noncompliance. For example in the European Union, under the General Data Protection Regulation, potential fines for noncompliance are up to €20 million or 4% of the annual global revenue, whichever is greater. Further, some jurisdictions provide for private rights of action if data breaches result in the loss or theft of personal data. These laws and regulations may also require, as applicable, that:</w:t>
      </w:r>
    </w:p>
    <w:p>
      <w:pPr>
        <w:spacing w:after="0" w:line="185" w:lineRule="exact"/>
        <w:rPr>
          <w:sz w:val="20"/>
          <w:szCs w:val="20"/>
          <w:color w:val="auto"/>
        </w:rPr>
      </w:pPr>
    </w:p>
    <w:p>
      <w:pPr>
        <w:ind w:left="960" w:hanging="31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ensure individuals to whom personal information relates are informed about how their personal information is collected and processed;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personal information confidential and secure;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personal information in a compliant manner;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requests from individuals about their personal information;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authorities and individuals as may be applicable about any data breaches.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These obligations may increase our costs of doing business and the varying requirements among all countries and jurisdictions in which we work can complicate our compliance efforts.</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new technology, including artificial intelligence software, could give rise to liability, breaches of data security,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and our employees increasingly are utilizing social media tools as a means of communication both internally and externally. We also are using new technology on a daily basis to enhance how we work. Despite our efforts to monitor evolving social media communication, our internal guidelines regarding the appropriate use of new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 Additionally, the use of artificial intelligence based software is increasing in the biopharmaceutical industry. As with many developing technologies, artificial intelligence based software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based software may also lead to the release of confidential proprietary information, which may impact our ability to realize the benefit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jc w:val="both"/>
        <w:ind w:firstLine="642"/>
        <w:spacing w:after="0" w:line="259" w:lineRule="auto"/>
        <w:tabs>
          <w:tab w:leader="none" w:pos="8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no director or officer (as defined in Rule 16a-1(f) under the Securities Exchange Act of 1934) of our Company adopted a prearranged trading plan relating to our common stock and intended to satisfy the affirmative defense of Rule 10b5–1(c) under the Securities Exchange Act of 1934:</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(as defined in Rule 16a-1(f) under the Securities Exchange Act of 1934) of our Company adopted or terminated any contract, instruction or written plan for the purchase or sale of our securities, whether or not intended to satisfy the affirmative defense conditions of Rule 10b5-1(c), other than as set forth above.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940" w:type="dxa"/>
            <w:vAlign w:val="bottom"/>
            <w:gridSpan w:val="1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94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6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880" w:type="dxa"/>
            <w:vAlign w:val="bottom"/>
            <w:tcBorders>
              <w:top w:val="single" w:sz="8" w:color="auto"/>
            </w:tcBorders>
            <w:gridSpan w:val="15"/>
          </w:tcPr>
          <w:p>
            <w:pPr>
              <w:spacing w:after="0" w:line="19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Incyte Corporation Amended and Restated 2010 Stock Incentive Plan, as amended on April 11, 2025 (incorporated by reference to</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40" w:type="dxa"/>
            <w:vAlign w:val="bottom"/>
            <w:tcBorders>
              <w:top w:val="single" w:sz="8" w:color="0000FF"/>
            </w:tcBorders>
            <w:gridSpan w:val="13"/>
          </w:tcPr>
          <w:p>
            <w:pPr>
              <w:spacing w:after="0" w:line="17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Exhibit 10.1 to the Company’s Current Report on Form 8-K filed June 11,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880" w:type="dxa"/>
            <w:vAlign w:val="bottom"/>
            <w:gridSpan w:val="15"/>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1997 Employee Stock Purchase Plan of Incyte Corporation, as amended on April 11, 2025. (incorporated by reference to Exhibit 10.2 to</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0" w:type="dxa"/>
            <w:vAlign w:val="bottom"/>
            <w:tcBorders>
              <w:top w:val="single" w:sz="8" w:color="0000FF"/>
            </w:tcBorders>
            <w:gridSpan w:val="11"/>
          </w:tcPr>
          <w:p>
            <w:pPr>
              <w:spacing w:after="0" w:line="17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the Company’s Current Report on Form 8-K filed June 11, 2025).</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880" w:type="dxa"/>
            <w:vAlign w:val="bottom"/>
            <w:gridSpan w:val="15"/>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Transition Agreement between the Company and Hervé Hoppenot dated as of June 26, 2025 (incorporated by reference to Exhibit 10.1 to</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60" w:type="dxa"/>
            <w:vAlign w:val="bottom"/>
            <w:tcBorders>
              <w:top w:val="single" w:sz="8" w:color="0000FF"/>
            </w:tcBorders>
            <w:gridSpan w:val="14"/>
          </w:tcPr>
          <w:p>
            <w:pPr>
              <w:spacing w:after="0" w:line="17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the Company’s Current Report on Form 8-K filed June 27, 2025).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15"/>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Offer of Employment Letter, dated June 23, 2025, from the Company to William J. Meury (incorporated by reference to Exhibit 10.2 to</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20" w:type="dxa"/>
            <w:vAlign w:val="bottom"/>
            <w:tcBorders>
              <w:top w:val="single" w:sz="8" w:color="0000FF"/>
            </w:tcBorders>
            <w:gridSpan w:val="12"/>
          </w:tcPr>
          <w:p>
            <w:pPr>
              <w:spacing w:after="0" w:line="17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the Company’s Current Report on Form 8-K filed June 27, 2025).</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9880" w:type="dxa"/>
            <w:vAlign w:val="bottom"/>
            <w:gridSpan w:val="15"/>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Employment Agreement between the Company and William J. Meury dated as of June 26, 2025 (incorporated by reference to Exhibit</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60" w:type="dxa"/>
            <w:vAlign w:val="bottom"/>
            <w:tcBorders>
              <w:top w:val="single" w:sz="8" w:color="0000FF"/>
            </w:tcBorders>
            <w:gridSpan w:val="9"/>
          </w:tcPr>
          <w:p>
            <w:pPr>
              <w:spacing w:after="0" w:line="17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Company’s Current Report on Form 8-K filed June 27, 2025).</w:t>
              </w:r>
            </w:hyperlink>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9880" w:type="dxa"/>
            <w:vAlign w:val="bottom"/>
            <w:gridSpan w:val="15"/>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Incyte Corporation 2024 Inducement Stock Incentive Plan, as amended on June 25, 2025 (incorporated by reference to Exhibit 10.4 to the</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80" w:type="dxa"/>
            <w:vAlign w:val="bottom"/>
            <w:tcBorders>
              <w:top w:val="single" w:sz="8" w:color="0000FF"/>
            </w:tcBorders>
            <w:gridSpan w:val="10"/>
          </w:tcPr>
          <w:p>
            <w:pPr>
              <w:spacing w:after="0" w:line="17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Company’s Current Report on Form 8-K filed June 27, 2025).</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3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EE"/>
              </w:rPr>
              <w:t>Rule 13a-14(a) Certification of Chief Executive Officer.</w:t>
            </w:r>
          </w:p>
        </w:tc>
        <w:tc>
          <w:tcPr>
            <w:tcW w:w="5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39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Rule 13a-14(a) Certification of Chief Financial Officer.</w:t>
            </w:r>
          </w:p>
        </w:tc>
        <w:tc>
          <w:tcPr>
            <w:tcW w:w="5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Statement of the Chief Executive Officer under Section 906 of the Sarbanes-Oxley Act of 2002 (18 U.S.C. Section 1350).</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85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Statement of the Chief Financial Officer under Section 906 of the Sarbanes-Oxley Act of 2002 (18 U.S.C. Section 1350).</w:t>
            </w:r>
          </w:p>
        </w:tc>
        <w:tc>
          <w:tcPr>
            <w:tcW w:w="1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8520" w:type="dxa"/>
            <w:vAlign w:val="bottom"/>
            <w:gridSpan w:val="7"/>
            <w:shd w:val="clear" w:color="auto" w:fill="0000EE"/>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60" w:hanging="1436"/>
        <w:spacing w:after="0"/>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7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32" w:lineRule="exact"/>
        <w:rPr>
          <w:sz w:val="20"/>
          <w:szCs w:val="20"/>
          <w:color w:val="auto"/>
        </w:rPr>
      </w:pPr>
    </w:p>
    <w:p>
      <w:pPr>
        <w:ind w:left="5540" w:right="4500" w:hanging="5534"/>
        <w:spacing w:after="0" w:line="950" w:lineRule="auto"/>
        <w:tabs>
          <w:tab w:leader="none" w:pos="1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-334010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560" w:type="dxa"/>
            <w:vAlign w:val="bottom"/>
          </w:tcPr>
          <w:p>
            <w:pPr>
              <w:spacing w:after="0"/>
              <w:rPr>
                <w:sz w:val="20"/>
                <w:szCs w:val="20"/>
                <w:color w:val="auto"/>
              </w:rPr>
            </w:pPr>
          </w:p>
        </w:tc>
        <w:tc>
          <w:tcPr>
            <w:tcW w:w="76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1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July 29, 2025</w:t>
            </w:r>
          </w:p>
        </w:tc>
        <w:tc>
          <w:tcPr>
            <w:tcW w:w="2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MEURY</w:t>
            </w:r>
          </w:p>
        </w:tc>
      </w:tr>
      <w:tr>
        <w:trPr>
          <w:trHeight w:val="239"/>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Meury</w:t>
            </w:r>
          </w:p>
        </w:tc>
      </w:tr>
      <w:tr>
        <w:trPr>
          <w:trHeight w:val="252"/>
        </w:trPr>
        <w:tc>
          <w:tcPr>
            <w:tcW w:w="35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2"/>
        </w:trPr>
        <w:tc>
          <w:tcPr>
            <w:tcW w:w="35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July 29, 2025</w:t>
            </w:r>
          </w:p>
        </w:tc>
        <w:tc>
          <w:tcPr>
            <w:tcW w:w="2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CHRISTIANA STAMOULIS</w:t>
            </w:r>
          </w:p>
        </w:tc>
      </w:tr>
      <w:tr>
        <w:trPr>
          <w:trHeight w:val="239"/>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Christiana Stamoulis</w:t>
            </w:r>
          </w:p>
        </w:tc>
      </w:tr>
    </w:tbl>
    <w:p>
      <w:pPr>
        <w:spacing w:after="0" w:line="2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Meury, certify that:</w:t>
      </w:r>
    </w:p>
    <w:p>
      <w:pPr>
        <w:spacing w:after="0" w:line="217" w:lineRule="exact"/>
        <w:rPr>
          <w:sz w:val="20"/>
          <w:szCs w:val="20"/>
          <w:color w:val="auto"/>
        </w:rPr>
      </w:pPr>
    </w:p>
    <w:p>
      <w:pPr>
        <w:ind w:left="640" w:hanging="634"/>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WILLIAM J. MEURY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74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J. Meury</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July 29, 2025</w:t>
      </w:r>
    </w:p>
    <w:p>
      <w:pPr>
        <w:sectPr>
          <w:pgSz w:w="11900" w:h="16838" w:orient="portrait"/>
          <w:cols w:equalWidth="0" w:num="1">
            <w:col w:w="11240"/>
          </w:cols>
          <w:pgMar w:left="320" w:top="112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217" w:lineRule="exact"/>
        <w:rPr>
          <w:sz w:val="20"/>
          <w:szCs w:val="20"/>
          <w:color w:val="auto"/>
        </w:rPr>
      </w:pPr>
    </w:p>
    <w:p>
      <w:pPr>
        <w:ind w:left="640" w:hanging="634"/>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3373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spacing w:after="0" w:line="2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July 29, 2025</w:t>
      </w:r>
    </w:p>
    <w:p>
      <w:pPr>
        <w:sectPr>
          <w:pgSz w:w="11900" w:h="16838" w:orient="portrait"/>
          <w:cols w:equalWidth="0" w:num="1">
            <w:col w:w="11240"/>
          </w:cols>
          <w:pgMar w:left="320" w:top="112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June 30, 2025, as filed with the Securities and Exchange Commission on the date hereof (the “Report”), I, William J. Meury, Chief Executive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WILLIAM J. MEURY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William J. Meury</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July 29, 2025</w:t>
      </w:r>
    </w:p>
    <w:p>
      <w:pPr>
        <w:sectPr>
          <w:pgSz w:w="11900" w:h="16838" w:orient="portrait"/>
          <w:cols w:equalWidth="0" w:num="1">
            <w:col w:w="11240"/>
          </w:cols>
          <w:pgMar w:left="320" w:top="112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20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June 30, 2025,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July 29, 2025</w:t>
      </w: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lowerRoman"/>
      <w:start w:val="2"/>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2"/>
    </w:lvl>
  </w:abstractNum>
  <w:abstractNum w:abstractNumId="13">
    <w:nsid w:val="2CA88611"/>
    <w:multiLevelType w:val="hybridMultilevel"/>
    <w:lvl w:ilvl="0">
      <w:lvlJc w:val="left"/>
      <w:lvlText w:val="1"/>
      <w:numFmt w:val="bullet"/>
      <w:start w:val="1"/>
    </w:lvl>
  </w:abstractNum>
  <w:abstractNum w:abstractNumId="14">
    <w:nsid w:val="836C40E"/>
    <w:multiLevelType w:val="hybridMultilevel"/>
    <w:lvl w:ilvl="0">
      <w:lvlJc w:val="left"/>
      <w:lvlText w:val="&gt;"/>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2"/>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Letter"/>
      <w:start w:val="3"/>
    </w:lvl>
  </w:abstractNum>
  <w:abstractNum w:abstractNumId="35">
    <w:nsid w:val="5E884ADC"/>
    <w:multiLevelType w:val="hybridMultilevel"/>
    <w:lvl w:ilvl="0">
      <w:lvlJc w:val="left"/>
      <w:lvlText w:val="*"/>
      <w:numFmt w:val="bullet"/>
      <w:start w:val="1"/>
    </w:lvl>
    <w:lvl w:ilvl="1">
      <w:lvlJc w:val="left"/>
      <w:lvlText w:val="%2"/>
      <w:numFmt w:val="decimal"/>
      <w:start w:val="104"/>
    </w:lvl>
  </w:abstractNum>
  <w:abstractNum w:abstractNumId="36">
    <w:nsid w:val="51EAD36B"/>
    <w:multiLevelType w:val="hybridMultilevel"/>
    <w:lvl w:ilvl="0">
      <w:lvlJc w:val="left"/>
      <w:lvlText w:val="**"/>
      <w:numFmt w:val="bullet"/>
      <w:start w:val="1"/>
    </w:lvl>
    <w:lvl w:ilvl="1">
      <w:lvlJc w:val="left"/>
      <w:lvlText w:val="%2"/>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33" Type="http://schemas.openxmlformats.org/officeDocument/2006/relationships/hyperlink" Target="https://www.sec.gov/Archives/edgar/data/879169/000087916925000062/exhibit101_incytecorporati.htm" TargetMode="External"/><Relationship Id="rId134" Type="http://schemas.openxmlformats.org/officeDocument/2006/relationships/hyperlink" Target="https://www.sec.gov/Archives/edgar/data/879169/000087916925000062/exhibit102_1997employeesto.htm" TargetMode="External"/><Relationship Id="rId135" Type="http://schemas.openxmlformats.org/officeDocument/2006/relationships/hyperlink" Target="https://www.sec.gov/Archives/edgar/data/879169/000110465925063675/tm2519327d1_ex10-1.htm" TargetMode="External"/><Relationship Id="rId136" Type="http://schemas.openxmlformats.org/officeDocument/2006/relationships/hyperlink" Target="https://www.sec.gov/Archives/edgar/data/879169/000110465925063675/tm2519327d1_ex10-2.htm" TargetMode="External"/><Relationship Id="rId137" Type="http://schemas.openxmlformats.org/officeDocument/2006/relationships/hyperlink" Target="https://www.sec.gov/Archives/edgar/data/879169/000110465925063675/tm2519327d1_ex10-3.htm" TargetMode="External"/><Relationship Id="rId138" Type="http://schemas.openxmlformats.org/officeDocument/2006/relationships/hyperlink" Target="https://www.sec.gov/Archives/edgar/data/879169/000110465925063675/tm2519327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2025-07-29T15:19:57Z</dcterms:created>
  <dcterms:modified xsi:type="dcterms:W3CDTF">2025-07-29T15:19:57Z</dcterms:modified>
</cp:coreProperties>
</file>