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UNITED STATES</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60" w:after="283"/>
        <w:jc w:val="center"/>
        <w:rPr>
          <w:rFonts w:ascii="Times New Roman;serif" w:hAnsi="Times New Roman;serif"/>
          <w:b/>
          <w:color w:val="000000"/>
          <w:sz w:val="34"/>
        </w:rPr>
      </w:pPr>
      <w:r>
        <w:rPr>
          <w:rFonts w:ascii="Times New Roman;serif" w:hAnsi="Times New Roman;serif"/>
          <w:b/>
          <w:color w:val="000000"/>
          <w:sz w:val="34"/>
        </w:rPr>
        <w:t>FORM 10-Q</w:t>
      </w:r>
    </w:p>
    <w:p>
      <w:pPr>
        <w:pStyle w:val="TextBody"/>
        <w:bidi w:val="0"/>
        <w:spacing w:lineRule="auto" w:line="288" w:before="60" w:after="283"/>
        <w:jc w:val="left"/>
        <w:rPr>
          <w:rFonts w:ascii="Times New Roman;serif" w:hAnsi="Times New Roman;serif"/>
          <w:b/>
          <w:color w:val="000000"/>
          <w:sz w:val="18"/>
        </w:rPr>
      </w:pPr>
      <w:r>
        <w:rPr>
          <w:rFonts w:ascii="Times New Roman;serif" w:hAnsi="Times New Roman;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30"/>
        <w:gridCol w:w="115"/>
        <w:gridCol w:w="116"/>
        <w:gridCol w:w="2880"/>
        <w:gridCol w:w="2880"/>
        <w:gridCol w:w="408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color w:val="000000"/>
                <w:sz w:val="22"/>
              </w:rPr>
            </w:pPr>
            <w:r>
              <w:rPr>
                <w:rFonts w:ascii="Wingdings;sans-serif" w:hAnsi="Wingdings;sans-serif"/>
                <w:b/>
                <w:color w:val="000000"/>
                <w:sz w:val="22"/>
              </w:rPr>
              <w:t>x</w:t>
            </w:r>
          </w:p>
        </w:tc>
        <w:tc>
          <w:tcPr>
            <w:tcW w:w="98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color w:val="000000"/>
                <w:sz w:val="22"/>
              </w:rPr>
            </w:pPr>
            <w:r>
              <w:rPr>
                <w:rFonts w:ascii="Wingdings;sans-serif" w:hAnsi="Wingdings;sans-serif"/>
                <w:b/>
                <w:color w:val="000000"/>
                <w:sz w:val="22"/>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Commission File Number: 001-12400</w:t>
      </w:r>
    </w:p>
    <w:p>
      <w:pPr>
        <w:pStyle w:val="TextBody"/>
        <w:bidi w:val="0"/>
        <w:spacing w:lineRule="auto" w:line="288" w:before="200" w:after="283"/>
        <w:jc w:val="center"/>
        <w:rPr>
          <w:rFonts w:ascii="Times New Roman;serif" w:hAnsi="Times New Roman;serif"/>
          <w:b/>
          <w:color w:val="000000"/>
          <w:sz w:val="34"/>
        </w:rPr>
      </w:pPr>
      <w:r>
        <w:rPr>
          <w:rFonts w:ascii="Times New Roman;serif" w:hAnsi="Times New Roman;serif"/>
          <w:b/>
          <w:color w:val="000000"/>
          <w:sz w:val="34"/>
        </w:rPr>
        <w:t>INCYTE CORPORATION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4379" w:type="dxa"/>
        <w:jc w:val="left"/>
        <w:tblInd w:w="0" w:type="dxa"/>
        <w:tblLayout w:type="fixed"/>
        <w:tblCellMar>
          <w:top w:w="28" w:type="dxa"/>
          <w:left w:w="28" w:type="dxa"/>
          <w:bottom w:w="28" w:type="dxa"/>
          <w:right w:w="28" w:type="dxa"/>
        </w:tblCellMar>
      </w:tblPr>
      <w:tblGrid>
        <w:gridCol w:w="1056"/>
        <w:gridCol w:w="930"/>
        <w:gridCol w:w="938"/>
        <w:gridCol w:w="424"/>
        <w:gridCol w:w="424"/>
        <w:gridCol w:w="607"/>
      </w:tblGrid>
      <w:tr>
        <w:trPr/>
        <w:tc>
          <w:tcPr>
            <w:tcW w:w="105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4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94-3136539</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1801 Augustine Cut-Off</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Wilmington, DE 19803</w:t>
            </w:r>
          </w:p>
        </w:tc>
        <w:tc>
          <w:tcPr>
            <w:tcW w:w="145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8"/>
              </w:rPr>
            </w:pPr>
            <w:r>
              <w:rPr>
                <w:rFonts w:ascii="Times New Roman;serif" w:hAnsi="Times New Roman;serif"/>
                <w:b/>
                <w:color w:val="000000"/>
                <w:sz w:val="18"/>
              </w:rPr>
              <w:t>19803</w:t>
            </w:r>
          </w:p>
        </w:tc>
      </w:tr>
      <w:tr>
        <w:trPr/>
        <w:tc>
          <w:tcPr>
            <w:tcW w:w="29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14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(302) 498-6700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107" w:type="dxa"/>
        <w:jc w:val="left"/>
        <w:tblInd w:w="0" w:type="dxa"/>
        <w:tblLayout w:type="fixed"/>
        <w:tblCellMar>
          <w:top w:w="28" w:type="dxa"/>
          <w:left w:w="28" w:type="dxa"/>
          <w:bottom w:w="28" w:type="dxa"/>
          <w:right w:w="28" w:type="dxa"/>
        </w:tblCellMar>
      </w:tblPr>
      <w:tblGrid>
        <w:gridCol w:w="1106"/>
        <w:gridCol w:w="970"/>
        <w:gridCol w:w="983"/>
        <w:gridCol w:w="109"/>
        <w:gridCol w:w="109"/>
        <w:gridCol w:w="109"/>
        <w:gridCol w:w="484"/>
        <w:gridCol w:w="484"/>
        <w:gridCol w:w="486"/>
        <w:gridCol w:w="109"/>
        <w:gridCol w:w="109"/>
        <w:gridCol w:w="109"/>
        <w:gridCol w:w="859"/>
        <w:gridCol w:w="859"/>
        <w:gridCol w:w="1222"/>
      </w:tblGrid>
      <w:tr>
        <w:trPr/>
        <w:tc>
          <w:tcPr>
            <w:tcW w:w="110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ind w:left="0" w:right="0" w:hanging="144"/>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Name of exchange on which registered</w:t>
            </w:r>
          </w:p>
        </w:tc>
      </w:tr>
      <w:tr>
        <w:trPr/>
        <w:tc>
          <w:tcPr>
            <w:tcW w:w="3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INCY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120" w:after="283"/>
        <w:ind w:left="0" w:right="0" w:firstLine="360"/>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 xml:space="preserve">No </w:t>
      </w:r>
    </w:p>
    <w:p>
      <w:pPr>
        <w:pStyle w:val="TextBody"/>
        <w:bidi w:val="0"/>
        <w:spacing w:lineRule="auto" w:line="288" w:before="120" w:after="283"/>
        <w:ind w:left="0" w:right="0" w:firstLine="360"/>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No</w:t>
      </w:r>
    </w:p>
    <w:p>
      <w:pPr>
        <w:pStyle w:val="TextBody"/>
        <w:bidi w:val="0"/>
        <w:spacing w:lineRule="auto" w:line="288" w:before="20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169" w:type="dxa"/>
        <w:jc w:val="center"/>
        <w:tblInd w:w="0" w:type="dxa"/>
        <w:tblLayout w:type="fixed"/>
        <w:tblCellMar>
          <w:top w:w="28" w:type="dxa"/>
          <w:left w:w="28" w:type="dxa"/>
          <w:bottom w:w="28" w:type="dxa"/>
          <w:right w:w="28" w:type="dxa"/>
        </w:tblCellMar>
      </w:tblPr>
      <w:tblGrid>
        <w:gridCol w:w="679"/>
        <w:gridCol w:w="597"/>
        <w:gridCol w:w="599"/>
        <w:gridCol w:w="669"/>
        <w:gridCol w:w="669"/>
        <w:gridCol w:w="956"/>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Large accelerated filer ☒</w:t>
            </w:r>
          </w:p>
        </w:tc>
        <w:tc>
          <w:tcPr>
            <w:tcW w:w="2294"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val="false"/>
                <w:color w:val="000000"/>
                <w:sz w:val="18"/>
              </w:rPr>
              <w:t xml:space="preserve">Accelerated filer </w:t>
            </w:r>
            <w:r>
              <w:rPr>
                <w:rFonts w:ascii="Wingdings;sans-serif" w:hAnsi="Wingdings;sans-serif"/>
                <w:b w:val="false"/>
                <w:color w:val="000000"/>
                <w:sz w:val="18"/>
              </w:rPr>
              <w:t>o</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val="false"/>
                <w:color w:val="000000"/>
                <w:sz w:val="18"/>
              </w:rPr>
              <w:t xml:space="preserve">Non-accelerated filer </w:t>
            </w:r>
            <w:r>
              <w:rPr>
                <w:rFonts w:ascii="Wingdings;sans-serif" w:hAnsi="Wingdings;sans-serif"/>
                <w:b w:val="false"/>
                <w:color w:val="000000"/>
                <w:sz w:val="18"/>
              </w:rPr>
              <w:t>o</w:t>
            </w:r>
          </w:p>
        </w:tc>
        <w:tc>
          <w:tcPr>
            <w:tcW w:w="2294"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val="false"/>
                <w:color w:val="000000"/>
                <w:sz w:val="18"/>
              </w:rPr>
              <w:t xml:space="preserve">Smaller reporting company </w:t>
            </w:r>
            <w:r>
              <w:rPr>
                <w:rFonts w:ascii="Wingdings;sans-serif" w:hAnsi="Wingdings;sans-serif"/>
                <w:b w:val="false"/>
                <w:color w:val="000000"/>
                <w:sz w:val="18"/>
              </w:rPr>
              <w:t>o</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val="false"/>
                <w:color w:val="000000"/>
                <w:sz w:val="18"/>
              </w:rPr>
              <w:t xml:space="preserve">Emerging growth company </w:t>
            </w:r>
            <w:r>
              <w:rPr>
                <w:rFonts w:ascii="Wingdings;sans-serif" w:hAnsi="Wingdings;sans-serif"/>
                <w:b w:val="false"/>
                <w:color w:val="000000"/>
                <w:sz w:val="18"/>
              </w:rPr>
              <w:t>o</w:t>
            </w:r>
          </w:p>
        </w:tc>
      </w:tr>
    </w:tbl>
    <w:p>
      <w:pPr>
        <w:pStyle w:val="TextBody"/>
        <w:bidi w:val="0"/>
        <w:spacing w:lineRule="auto" w:line="288" w:before="60" w:after="283"/>
        <w:ind w:left="0" w:right="0" w:firstLine="36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120" w:after="283"/>
        <w:ind w:left="0" w:right="0" w:firstLine="360"/>
        <w:jc w:val="both"/>
        <w:rPr/>
      </w:pPr>
      <w:r>
        <w:rPr>
          <w:rFonts w:ascii="Times New Roman;serif" w:hAnsi="Times New Roman;serif"/>
          <w:b w:val="false"/>
          <w:color w:val="000000"/>
          <w:sz w:val="18"/>
        </w:rPr>
        <w:t xml:space="preserve">Indicate by check mark whether the registrant is a shell company (as defined in Rule 12b-2 of the Exchange Act).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 xml:space="preserve">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No</w:t>
      </w:r>
    </w:p>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number of outstanding shares of the registrant’s Common Stock, $.001 par value, was 202,697,746 as of July 21,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INCYTE CORPORATION</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INDEX</w:t>
      </w:r>
    </w:p>
    <w:tbl>
      <w:tblPr>
        <w:tblW w:w="9478" w:type="dxa"/>
        <w:jc w:val="left"/>
        <w:tblInd w:w="0" w:type="dxa"/>
        <w:tblLayout w:type="fixed"/>
        <w:tblCellMar>
          <w:top w:w="28" w:type="dxa"/>
          <w:left w:w="28" w:type="dxa"/>
          <w:bottom w:w="28" w:type="dxa"/>
          <w:right w:w="28" w:type="dxa"/>
        </w:tblCellMar>
      </w:tblPr>
      <w:tblGrid>
        <w:gridCol w:w="632"/>
        <w:gridCol w:w="555"/>
        <w:gridCol w:w="555"/>
        <w:gridCol w:w="2438"/>
        <w:gridCol w:w="2438"/>
        <w:gridCol w:w="2488"/>
        <w:gridCol w:w="109"/>
        <w:gridCol w:w="109"/>
        <w:gridCol w:w="154"/>
      </w:tblGrid>
      <w:tr>
        <w:trPr/>
        <w:tc>
          <w:tcPr>
            <w:tcW w:w="63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0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27b4125e6b84c6fa7ddf6250d887701_10">
              <w:r>
                <w:rPr>
                  <w:rStyle w:val="InternetLink"/>
                  <w:rFonts w:ascii="Times New Roman;serif" w:hAnsi="Times New Roman;serif"/>
                  <w:b/>
                  <w:color w:val="0000FF"/>
                  <w:sz w:val="20"/>
                  <w:u w:val="single"/>
                </w:rPr>
                <w:t>PART I: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7b4125e6b84c6fa7ddf6250d887701_10">
              <w:r>
                <w:rPr>
                  <w:rStyle w:val="InternetLink"/>
                  <w:rFonts w:ascii="Times New Roman;serif" w:hAnsi="Times New Roman;serif"/>
                  <w:b w:val="false"/>
                  <w:strike w:val="false"/>
                  <w:dstrike w:val="false"/>
                  <w:color w:val="000000"/>
                  <w:sz w:val="20"/>
                  <w:u w:val="none"/>
                  <w:effect w:val="none"/>
                </w:rPr>
                <w:t>3</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7b4125e6b84c6fa7ddf6250d887701_13">
              <w:r>
                <w:rPr>
                  <w:rStyle w:val="InternetLink"/>
                  <w:rFonts w:ascii="Times New Roman;serif" w:hAnsi="Times New Roman;serif"/>
                  <w:b/>
                  <w:color w:val="0000FF"/>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7b4125e6b84c6fa7ddf6250d887701_13">
              <w:r>
                <w:rPr>
                  <w:rStyle w:val="InternetLink"/>
                  <w:rFonts w:ascii="Times New Roman;serif" w:hAnsi="Times New Roman;serif"/>
                  <w:b w:val="false"/>
                  <w:color w:val="0000FF"/>
                  <w:sz w:val="20"/>
                  <w:u w:val="single"/>
                </w:rPr>
                <w:t>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7b4125e6b84c6fa7ddf6250d887701_13">
              <w:r>
                <w:rPr>
                  <w:rStyle w:val="InternetLink"/>
                  <w:rFonts w:ascii="Times New Roman;serif" w:hAnsi="Times New Roman;serif"/>
                  <w:b w:val="false"/>
                  <w:strike w:val="false"/>
                  <w:dstrike w:val="false"/>
                  <w:color w:val="000000"/>
                  <w:sz w:val="20"/>
                  <w:u w:val="none"/>
                  <w:effect w:val="none"/>
                </w:rPr>
                <w:t>3</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7b4125e6b84c6fa7ddf6250d887701_16">
              <w:r>
                <w:rPr>
                  <w:rStyle w:val="InternetLink"/>
                  <w:rFonts w:ascii="Times New Roman;serif" w:hAnsi="Times New Roman;serif"/>
                  <w:b w:val="false"/>
                  <w:color w:val="0000FF"/>
                  <w:sz w:val="20"/>
                  <w:u w:val="single"/>
                </w:rPr>
                <w:t>Condensed 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7b4125e6b84c6fa7ddf6250d887701_16">
              <w:r>
                <w:rPr>
                  <w:rStyle w:val="InternetLink"/>
                  <w:rFonts w:ascii="Times New Roman;serif" w:hAnsi="Times New Roman;serif"/>
                  <w:b w:val="false"/>
                  <w:strike w:val="false"/>
                  <w:dstrike w:val="false"/>
                  <w:color w:val="000000"/>
                  <w:sz w:val="20"/>
                  <w:u w:val="none"/>
                  <w:effect w:val="none"/>
                </w:rPr>
                <w:t>3</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7b4125e6b84c6fa7ddf6250d887701_19">
              <w:r>
                <w:rPr>
                  <w:rStyle w:val="InternetLink"/>
                  <w:rFonts w:ascii="Times New Roman;serif" w:hAnsi="Times New Roman;serif"/>
                  <w:b w:val="false"/>
                  <w:color w:val="0000FF"/>
                  <w:sz w:val="20"/>
                  <w:u w:val="single"/>
                </w:rPr>
                <w:t>Condensed 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7b4125e6b84c6fa7ddf6250d887701_19">
              <w:r>
                <w:rPr>
                  <w:rStyle w:val="InternetLink"/>
                  <w:rFonts w:ascii="Times New Roman;serif" w:hAnsi="Times New Roman;serif"/>
                  <w:b w:val="false"/>
                  <w:strike w:val="false"/>
                  <w:dstrike w:val="false"/>
                  <w:color w:val="000000"/>
                  <w:sz w:val="20"/>
                  <w:u w:val="none"/>
                  <w:effect w:val="none"/>
                </w:rPr>
                <w:t>4</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7b4125e6b84c6fa7ddf6250d887701_22">
              <w:r>
                <w:rPr>
                  <w:rStyle w:val="InternetLink"/>
                  <w:rFonts w:ascii="Times New Roman;serif" w:hAnsi="Times New Roman;serif"/>
                  <w:b w:val="false"/>
                  <w:color w:val="0000FF"/>
                  <w:sz w:val="20"/>
                  <w:u w:val="single"/>
                </w:rPr>
                <w:t>Condensed Consolidated Statements of Comprehensive Income</w:t>
              </w:r>
            </w:hyperlink>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7b4125e6b84c6fa7ddf6250d887701_22">
              <w:r>
                <w:rPr>
                  <w:rStyle w:val="InternetLink"/>
                  <w:rFonts w:ascii="Times New Roman;serif" w:hAnsi="Times New Roman;serif"/>
                  <w:b w:val="false"/>
                  <w:strike w:val="false"/>
                  <w:dstrike w:val="false"/>
                  <w:color w:val="000000"/>
                  <w:sz w:val="20"/>
                  <w:u w:val="none"/>
                  <w:effect w:val="none"/>
                </w:rPr>
                <w:t>5</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7b4125e6b84c6fa7ddf6250d887701_25">
              <w:r>
                <w:rPr>
                  <w:rStyle w:val="InternetLink"/>
                  <w:rFonts w:ascii="Times New Roman;serif" w:hAnsi="Times New Roman;serif"/>
                  <w:b w:val="false"/>
                  <w:color w:val="0000FF"/>
                  <w:sz w:val="20"/>
                  <w:u w:val="single"/>
                </w:rPr>
                <w:t>Condensed Consolidated Statements of Stockholders’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7b4125e6b84c6fa7ddf6250d887701_25">
              <w:r>
                <w:rPr>
                  <w:rStyle w:val="InternetLink"/>
                  <w:rFonts w:ascii="Times New Roman;serif" w:hAnsi="Times New Roman;serif"/>
                  <w:b w:val="false"/>
                  <w:strike w:val="false"/>
                  <w:dstrike w:val="false"/>
                  <w:color w:val="000000"/>
                  <w:sz w:val="20"/>
                  <w:u w:val="none"/>
                  <w:effect w:val="none"/>
                </w:rPr>
                <w:t>6</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7b4125e6b84c6fa7ddf6250d887701_28">
              <w:r>
                <w:rPr>
                  <w:rStyle w:val="InternetLink"/>
                  <w:rFonts w:ascii="Times New Roman;serif" w:hAnsi="Times New Roman;serif"/>
                  <w:b w:val="false"/>
                  <w:color w:val="0000FF"/>
                  <w:sz w:val="20"/>
                  <w:u w:val="single"/>
                </w:rPr>
                <w:t>Condensed 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7b4125e6b84c6fa7ddf6250d887701_28">
              <w:r>
                <w:rPr>
                  <w:rStyle w:val="InternetLink"/>
                  <w:rFonts w:ascii="Times New Roman;serif" w:hAnsi="Times New Roman;serif"/>
                  <w:b w:val="false"/>
                  <w:strike w:val="false"/>
                  <w:dstrike w:val="false"/>
                  <w:color w:val="000000"/>
                  <w:sz w:val="20"/>
                  <w:u w:val="none"/>
                  <w:effect w:val="none"/>
                </w:rPr>
                <w:t>8</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7b4125e6b84c6fa7ddf6250d887701_31">
              <w:r>
                <w:rPr>
                  <w:rStyle w:val="InternetLink"/>
                  <w:rFonts w:ascii="Times New Roman;serif" w:hAnsi="Times New Roman;serif"/>
                  <w:b w:val="false"/>
                  <w:color w:val="0000FF"/>
                  <w:sz w:val="20"/>
                  <w:u w:val="single"/>
                </w:rPr>
                <w:t>Notes to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7b4125e6b84c6fa7ddf6250d887701_31">
              <w:r>
                <w:rPr>
                  <w:rStyle w:val="InternetLink"/>
                  <w:rFonts w:ascii="Times New Roman;serif" w:hAnsi="Times New Roman;serif"/>
                  <w:b w:val="false"/>
                  <w:strike w:val="false"/>
                  <w:dstrike w:val="false"/>
                  <w:color w:val="000000"/>
                  <w:sz w:val="20"/>
                  <w:u w:val="none"/>
                  <w:effect w:val="none"/>
                </w:rPr>
                <w:t>9</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7b4125e6b84c6fa7ddf6250d887701_91">
              <w:r>
                <w:rPr>
                  <w:rStyle w:val="InternetLink"/>
                  <w:rFonts w:ascii="Times New Roman;serif" w:hAnsi="Times New Roman;serif"/>
                  <w:b/>
                  <w:color w:val="0000FF"/>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7b4125e6b84c6fa7ddf6250d887701_9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7b4125e6b84c6fa7ddf6250d887701_91">
              <w:r>
                <w:rPr>
                  <w:rStyle w:val="InternetLink"/>
                  <w:rFonts w:ascii="Times New Roman;serif" w:hAnsi="Times New Roman;serif"/>
                  <w:b w:val="false"/>
                  <w:strike w:val="false"/>
                  <w:dstrike w:val="false"/>
                  <w:color w:val="000000"/>
                  <w:sz w:val="20"/>
                  <w:u w:val="none"/>
                  <w:effect w:val="none"/>
                </w:rPr>
                <w:t>29</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7b4125e6b84c6fa7ddf6250d887701_94">
              <w:r>
                <w:rPr>
                  <w:rStyle w:val="InternetLink"/>
                  <w:rFonts w:ascii="Times New Roman;serif" w:hAnsi="Times New Roman;serif"/>
                  <w:b w:val="false"/>
                  <w:color w:val="0000FF"/>
                  <w:sz w:val="20"/>
                  <w:u w:val="single"/>
                </w:rPr>
                <w:t>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7b4125e6b84c6fa7ddf6250d887701_94">
              <w:r>
                <w:rPr>
                  <w:rStyle w:val="InternetLink"/>
                  <w:rFonts w:ascii="Times New Roman;serif" w:hAnsi="Times New Roman;serif"/>
                  <w:b w:val="false"/>
                  <w:strike w:val="false"/>
                  <w:dstrike w:val="false"/>
                  <w:color w:val="000000"/>
                  <w:sz w:val="20"/>
                  <w:u w:val="none"/>
                  <w:effect w:val="none"/>
                </w:rPr>
                <w:t>29</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7b4125e6b84c6fa7ddf6250d887701_97">
              <w:r>
                <w:rPr>
                  <w:rStyle w:val="InternetLink"/>
                  <w:rFonts w:ascii="Times New Roman;serif" w:hAnsi="Times New Roman;serif"/>
                  <w:b w:val="false"/>
                  <w:color w:val="0000FF"/>
                  <w:sz w:val="20"/>
                  <w:u w:val="single"/>
                </w:rPr>
                <w:t>Summary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7b4125e6b84c6fa7ddf6250d887701_97">
              <w:r>
                <w:rPr>
                  <w:rStyle w:val="InternetLink"/>
                  <w:rFonts w:ascii="Times New Roman;serif" w:hAnsi="Times New Roman;serif"/>
                  <w:b w:val="false"/>
                  <w:strike w:val="false"/>
                  <w:dstrike w:val="false"/>
                  <w:color w:val="000000"/>
                  <w:sz w:val="20"/>
                  <w:u w:val="none"/>
                  <w:effect w:val="none"/>
                </w:rPr>
                <w:t>32</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7b4125e6b84c6fa7ddf6250d887701_118">
              <w:r>
                <w:rPr>
                  <w:rStyle w:val="InternetLink"/>
                  <w:rFonts w:ascii="Times New Roman;serif" w:hAnsi="Times New Roman;serif"/>
                  <w:b/>
                  <w:color w:val="0000FF"/>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7b4125e6b84c6fa7ddf6250d887701_118">
              <w:r>
                <w:rPr>
                  <w:rStyle w:val="InternetLink"/>
                  <w:rFonts w:ascii="Times New Roman;serif" w:hAnsi="Times New Roman;serif"/>
                  <w:b w:val="false"/>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7b4125e6b84c6fa7ddf6250d887701_118">
              <w:r>
                <w:rPr>
                  <w:rStyle w:val="InternetLink"/>
                  <w:rFonts w:ascii="Times New Roman;serif" w:hAnsi="Times New Roman;serif"/>
                  <w:b w:val="false"/>
                  <w:strike w:val="false"/>
                  <w:dstrike w:val="false"/>
                  <w:color w:val="000000"/>
                  <w:sz w:val="20"/>
                  <w:u w:val="none"/>
                  <w:effect w:val="none"/>
                </w:rPr>
                <w:t>50</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7b4125e6b84c6fa7ddf6250d887701_121">
              <w:r>
                <w:rPr>
                  <w:rStyle w:val="InternetLink"/>
                  <w:rFonts w:ascii="Times New Roman;serif" w:hAnsi="Times New Roman;serif"/>
                  <w:b/>
                  <w:color w:val="0000FF"/>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7b4125e6b84c6fa7ddf6250d887701_121">
              <w:r>
                <w:rPr>
                  <w:rStyle w:val="InternetLink"/>
                  <w:rFonts w:ascii="Times New Roman;serif" w:hAnsi="Times New Roman;serif"/>
                  <w:b w:val="false"/>
                  <w:color w:val="0000FF"/>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7b4125e6b84c6fa7ddf6250d887701_121">
              <w:r>
                <w:rPr>
                  <w:rStyle w:val="InternetLink"/>
                  <w:rFonts w:ascii="Times New Roman;serif" w:hAnsi="Times New Roman;serif"/>
                  <w:b w:val="false"/>
                  <w:strike w:val="false"/>
                  <w:dstrike w:val="false"/>
                  <w:color w:val="000000"/>
                  <w:sz w:val="20"/>
                  <w:u w:val="none"/>
                  <w:effect w:val="none"/>
                </w:rPr>
                <w:t>50</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27b4125e6b84c6fa7ddf6250d887701_124">
              <w:r>
                <w:rPr>
                  <w:rStyle w:val="InternetLink"/>
                  <w:rFonts w:ascii="Times New Roman;serif" w:hAnsi="Times New Roman;serif"/>
                  <w:b/>
                  <w:color w:val="0000FF"/>
                  <w:sz w:val="20"/>
                  <w:u w:val="single"/>
                </w:rPr>
                <w:t>PART II: 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7b4125e6b84c6fa7ddf6250d887701_127">
              <w:r>
                <w:rPr>
                  <w:rStyle w:val="InternetLink"/>
                  <w:rFonts w:ascii="Times New Roman;serif" w:hAnsi="Times New Roman;serif"/>
                  <w:b/>
                  <w:color w:val="0000FF"/>
                  <w:sz w:val="20"/>
                  <w:u w:val="single"/>
                </w:rPr>
                <w:t>Item 1</w:t>
              </w:r>
            </w:hyperlink>
            <w:r>
              <w:rPr>
                <w:rFonts w:ascii="Times New Roman;serif" w:hAnsi="Times New Roman;serif"/>
                <w:b/>
                <w:color w:val="000000"/>
                <w:sz w:val="20"/>
              </w:rPr>
              <w:t>.</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7b4125e6b84c6fa7ddf6250d887701_127">
              <w:r>
                <w:rPr>
                  <w:rStyle w:val="InternetLink"/>
                  <w:rFonts w:ascii="Times New Roman;serif" w:hAnsi="Times New Roman;serif"/>
                  <w:b w:val="false"/>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7b4125e6b84c6fa7ddf6250d887701_127">
              <w:r>
                <w:rPr>
                  <w:rStyle w:val="InternetLink"/>
                  <w:rFonts w:ascii="Times New Roman;serif" w:hAnsi="Times New Roman;serif"/>
                  <w:b w:val="false"/>
                  <w:strike w:val="false"/>
                  <w:dstrike w:val="false"/>
                  <w:color w:val="000000"/>
                  <w:sz w:val="20"/>
                  <w:u w:val="none"/>
                  <w:effect w:val="none"/>
                </w:rPr>
                <w:t>51</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7b4125e6b84c6fa7ddf6250d887701_130">
              <w:r>
                <w:rPr>
                  <w:rStyle w:val="InternetLink"/>
                  <w:rFonts w:ascii="Times New Roman;serif" w:hAnsi="Times New Roman;serif"/>
                  <w:b/>
                  <w:color w:val="0000FF"/>
                  <w:sz w:val="20"/>
                  <w:u w:val="single"/>
                </w:rPr>
                <w:t>Item 1A.</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7b4125e6b84c6fa7ddf6250d887701_130">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7b4125e6b84c6fa7ddf6250d887701_130">
              <w:r>
                <w:rPr>
                  <w:rStyle w:val="InternetLink"/>
                  <w:rFonts w:ascii="Times New Roman;serif" w:hAnsi="Times New Roman;serif"/>
                  <w:b w:val="false"/>
                  <w:strike w:val="false"/>
                  <w:dstrike w:val="false"/>
                  <w:color w:val="000000"/>
                  <w:sz w:val="20"/>
                  <w:u w:val="none"/>
                  <w:effect w:val="none"/>
                </w:rPr>
                <w:t>51</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7b4125e6b84c6fa7ddf6250d887701_133">
              <w:r>
                <w:rPr>
                  <w:rStyle w:val="InternetLink"/>
                  <w:rFonts w:ascii="Times New Roman;serif" w:hAnsi="Times New Roman;serif"/>
                  <w:b/>
                  <w:color w:val="0000FF"/>
                  <w:sz w:val="20"/>
                  <w:u w:val="single"/>
                </w:rPr>
                <w:t>Item 5.</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7b4125e6b84c6fa7ddf6250d887701_133">
              <w:r>
                <w:rPr>
                  <w:rStyle w:val="InternetLink"/>
                  <w:rFonts w:ascii="Times New Roman;serif" w:hAnsi="Times New Roman;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7b4125e6b84c6fa7ddf6250d887701_133">
              <w:r>
                <w:rPr>
                  <w:rStyle w:val="InternetLink"/>
                  <w:rFonts w:ascii="Times New Roman;serif" w:hAnsi="Times New Roman;serif"/>
                  <w:b w:val="false"/>
                  <w:strike w:val="false"/>
                  <w:dstrike w:val="false"/>
                  <w:color w:val="000000"/>
                  <w:sz w:val="20"/>
                  <w:u w:val="none"/>
                  <w:effect w:val="none"/>
                </w:rPr>
                <w:t>79</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7b4125e6b84c6fa7ddf6250d887701_139">
              <w:r>
                <w:rPr>
                  <w:rStyle w:val="InternetLink"/>
                  <w:rFonts w:ascii="Times New Roman;serif" w:hAnsi="Times New Roman;serif"/>
                  <w:b/>
                  <w:color w:val="0000FF"/>
                  <w:sz w:val="20"/>
                  <w:u w:val="single"/>
                </w:rPr>
                <w:t>Item 6.</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7b4125e6b84c6fa7ddf6250d887701_139">
              <w:r>
                <w:rPr>
                  <w:rStyle w:val="InternetLink"/>
                  <w:rFonts w:ascii="Times New Roman;serif" w:hAnsi="Times New Roman;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7b4125e6b84c6fa7ddf6250d887701_139">
              <w:r>
                <w:rPr>
                  <w:rStyle w:val="InternetLink"/>
                  <w:rFonts w:ascii="Times New Roman;serif" w:hAnsi="Times New Roman;serif"/>
                  <w:b w:val="false"/>
                  <w:strike w:val="false"/>
                  <w:dstrike w:val="false"/>
                  <w:color w:val="000000"/>
                  <w:sz w:val="20"/>
                  <w:u w:val="none"/>
                  <w:effect w:val="none"/>
                </w:rPr>
                <w:t>80</w:t>
              </w:r>
            </w:hyperlink>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7b4125e6b84c6fa7ddf6250d887701_142">
              <w:r>
                <w:rPr>
                  <w:rStyle w:val="InternetLink"/>
                  <w:rFonts w:ascii="Times New Roman;serif" w:hAnsi="Times New Roman;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7b4125e6b84c6fa7ddf6250d887701_142">
              <w:r>
                <w:rPr>
                  <w:rStyle w:val="InternetLink"/>
                  <w:rFonts w:ascii="Times New Roman;serif" w:hAnsi="Times New Roman;serif"/>
                  <w:b w:val="false"/>
                  <w:strike w:val="false"/>
                  <w:dstrike w:val="false"/>
                  <w:color w:val="000000"/>
                  <w:sz w:val="20"/>
                  <w:u w:val="none"/>
                  <w:effect w:val="none"/>
                </w:rPr>
                <w:t>81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INCYTE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number of shares and par value)</w:t>
      </w:r>
    </w:p>
    <w:tbl>
      <w:tblPr>
        <w:tblW w:w="10205" w:type="dxa"/>
        <w:jc w:val="left"/>
        <w:tblInd w:w="0" w:type="dxa"/>
        <w:tblLayout w:type="fixed"/>
        <w:tblCellMar>
          <w:top w:w="28" w:type="dxa"/>
          <w:left w:w="28" w:type="dxa"/>
          <w:bottom w:w="28" w:type="dxa"/>
          <w:right w:w="28" w:type="dxa"/>
        </w:tblCellMar>
      </w:tblPr>
      <w:tblGrid>
        <w:gridCol w:w="2899"/>
        <w:gridCol w:w="2193"/>
        <w:gridCol w:w="2140"/>
        <w:gridCol w:w="196"/>
        <w:gridCol w:w="871"/>
        <w:gridCol w:w="109"/>
        <w:gridCol w:w="109"/>
        <w:gridCol w:w="109"/>
        <w:gridCol w:w="109"/>
        <w:gridCol w:w="196"/>
        <w:gridCol w:w="871"/>
        <w:gridCol w:w="403"/>
      </w:tblGrid>
      <w:tr>
        <w:trPr/>
        <w:tc>
          <w:tcPr>
            <w:tcW w:w="2899"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7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3,982,375 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3,097,817 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Marketable securities—available-for-sale (amortized cost $555,856 and $480,793 as of June 30, 2026 and December 31, 2025, respectively; allowance for credit losses $0 as of June 30, 2026 and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482,787 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1,024,407 </w:t>
            </w:r>
          </w:p>
        </w:tc>
        <w:tc>
          <w:tcPr>
            <w:tcW w:w="403"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101,060 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317,831 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6,026,572 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5,023,902 </w:t>
            </w:r>
          </w:p>
        </w:tc>
        <w:tc>
          <w:tcPr>
            <w:tcW w:w="4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1,852 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 term equity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47,991 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342,232 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730,885 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right-of-use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27,520 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117,131 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133,000 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asset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515,294 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18,166 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7,872,647 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6,957,973 </w:t>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209,938 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228,071 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1,031,501 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4,516 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Acquisition-related contingent consideration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41,144 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1,312,096 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1,515,170 </w:t>
            </w:r>
          </w:p>
        </w:tc>
        <w:tc>
          <w:tcPr>
            <w:tcW w:w="4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Acquisition-related contingent consideration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79,856 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30,199 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165,270 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1,528,220 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1,790,495 </w:t>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15)</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5,000,000 shares authorized; none issued or outstanding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400,000,000 shares authorized; 200,977,687 and 198,460,009 shares issued and outstanding as of June 30, 2026 and December 31,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5,221,804 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4,928,049 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25,462 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213,769 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6,344,427 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5,167,478 </w:t>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7,872,647 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6,957,973 </w:t>
            </w:r>
          </w:p>
        </w:tc>
        <w:tc>
          <w:tcPr>
            <w:tcW w:w="4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balance sheet at December 31, 2025 has been derived from the audited consolidated financial statements at that date.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INCYTE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amounts)</w:t>
      </w:r>
    </w:p>
    <w:tbl>
      <w:tblPr>
        <w:tblW w:w="10205" w:type="dxa"/>
        <w:jc w:val="center"/>
        <w:tblInd w:w="0" w:type="dxa"/>
        <w:tblLayout w:type="fixed"/>
        <w:tblCellMar>
          <w:top w:w="28" w:type="dxa"/>
          <w:left w:w="28" w:type="dxa"/>
          <w:bottom w:w="28" w:type="dxa"/>
          <w:right w:w="28" w:type="dxa"/>
        </w:tblCellMar>
      </w:tblPr>
      <w:tblGrid>
        <w:gridCol w:w="1677"/>
        <w:gridCol w:w="1155"/>
        <w:gridCol w:w="1162"/>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67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1,981,688 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royalty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Milestone and contract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1,674,039 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2,946,715 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2,268,427 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expenses and other:</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(including definite-lived intangible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dispute settlement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(242,251)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932,196 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656,713 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and related disposal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change in fair value of acquisition-related contingent consideration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expenses and other</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976,141 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685,215 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1,947,700 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1,532,945 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735,482 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equity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751,514 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558,012 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792,202 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888,935 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563,202 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net income per share: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193,853</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198,526</w:t>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INCYTE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10205" w:type="dxa"/>
        <w:jc w:val="left"/>
        <w:tblInd w:w="0" w:type="dxa"/>
        <w:tblLayout w:type="fixed"/>
        <w:tblCellMar>
          <w:top w:w="28" w:type="dxa"/>
          <w:left w:w="28" w:type="dxa"/>
          <w:bottom w:w="28" w:type="dxa"/>
          <w:right w:w="28" w:type="dxa"/>
        </w:tblCellMar>
      </w:tblPr>
      <w:tblGrid>
        <w:gridCol w:w="1665"/>
        <w:gridCol w:w="1458"/>
        <w:gridCol w:w="147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65"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888,935 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563,202 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(loss) gain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marketable securities,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gain, net of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583,009 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589,762 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INCYTE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number of shares)</w:t>
      </w:r>
    </w:p>
    <w:tbl>
      <w:tblPr>
        <w:tblW w:w="10205" w:type="dxa"/>
        <w:jc w:val="left"/>
        <w:tblInd w:w="0" w:type="dxa"/>
        <w:tblLayout w:type="fixed"/>
        <w:tblCellMar>
          <w:top w:w="28" w:type="dxa"/>
          <w:left w:w="28" w:type="dxa"/>
          <w:bottom w:w="28" w:type="dxa"/>
          <w:right w:w="28" w:type="dxa"/>
        </w:tblCellMar>
      </w:tblPr>
      <w:tblGrid>
        <w:gridCol w:w="1391"/>
        <w:gridCol w:w="888"/>
        <w:gridCol w:w="892"/>
        <w:gridCol w:w="206"/>
        <w:gridCol w:w="444"/>
        <w:gridCol w:w="116"/>
        <w:gridCol w:w="109"/>
        <w:gridCol w:w="109"/>
        <w:gridCol w:w="109"/>
        <w:gridCol w:w="196"/>
        <w:gridCol w:w="874"/>
        <w:gridCol w:w="109"/>
        <w:gridCol w:w="109"/>
        <w:gridCol w:w="109"/>
        <w:gridCol w:w="109"/>
        <w:gridCol w:w="276"/>
        <w:gridCol w:w="915"/>
        <w:gridCol w:w="154"/>
        <w:gridCol w:w="109"/>
        <w:gridCol w:w="109"/>
        <w:gridCol w:w="109"/>
        <w:gridCol w:w="201"/>
        <w:gridCol w:w="895"/>
        <w:gridCol w:w="111"/>
        <w:gridCol w:w="109"/>
        <w:gridCol w:w="109"/>
        <w:gridCol w:w="109"/>
        <w:gridCol w:w="196"/>
        <w:gridCol w:w="871"/>
        <w:gridCol w:w="162"/>
      </w:tblGrid>
      <w:tr>
        <w:trPr/>
        <w:tc>
          <w:tcPr>
            <w:tcW w:w="139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January 1, 2026</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4,928,049 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213,769 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5,167,478 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1,473,992 shares of Common Stock upon exercise of stock options and settlement of employee restricted stock units, net of shares withheld for taxes </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90,969 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955 shares of Common Stock for services rendered</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64,126 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303,330 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303,330 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March 31, 2026</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5,083,234 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517,099 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5,622,847 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795,114 shares of Common Stock upon exercise of stock options and settlement of employee restricted stock units and performance shares, net of shares withheld for taxes, and 202,281 shares of Common Stock under the ESPP</w:t>
            </w:r>
          </w:p>
        </w:tc>
        <w:tc>
          <w:tcPr>
            <w:tcW w:w="65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71,215 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71,216 </w:t>
            </w:r>
          </w:p>
        </w:tc>
        <w:tc>
          <w:tcPr>
            <w:tcW w:w="16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907 shares of Common Stock for services rendered</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67,263 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585,605 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585,605 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June 30, 2026</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5,221,804 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1,102,704 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6,344,427 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17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17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17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17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17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360"/>
        <w:jc w:val="left"/>
        <w:rPr/>
      </w:pPr>
      <w:r>
        <w:rPr/>
      </w:r>
    </w:p>
    <w:p>
      <w:pPr>
        <w:pStyle w:val="TextBody"/>
        <w:bidi w:val="0"/>
        <w:spacing w:before="240" w:after="360"/>
        <w:jc w:val="left"/>
        <w:rPr/>
      </w:pPr>
      <w:r>
        <w:rPr/>
      </w:r>
    </w:p>
    <w:p>
      <w:pPr>
        <w:pStyle w:val="TextBody"/>
        <w:bidi w:val="0"/>
        <w:spacing w:before="240" w:after="360"/>
        <w:jc w:val="left"/>
        <w:rPr/>
      </w:pPr>
      <w:r>
        <w:rPr/>
      </w:r>
    </w:p>
    <w:p>
      <w:pPr>
        <w:pStyle w:val="TextBody"/>
        <w:bidi w:val="0"/>
        <w:spacing w:before="240" w:after="360"/>
        <w:jc w:val="left"/>
        <w:rPr/>
      </w:pPr>
      <w:r>
        <w:rPr/>
      </w:r>
    </w:p>
    <w:p>
      <w:pPr>
        <w:pStyle w:val="TextBody"/>
        <w:bidi w:val="0"/>
        <w:spacing w:before="240" w:after="360"/>
        <w:jc w:val="left"/>
        <w:rPr/>
      </w:pPr>
      <w:r>
        <w:rPr/>
      </w:r>
    </w:p>
    <w:p>
      <w:pPr>
        <w:pStyle w:val="TextBody"/>
        <w:bidi w:val="0"/>
        <w:spacing w:before="240" w:after="360"/>
        <w:jc w:val="left"/>
        <w:rPr/>
      </w:pPr>
      <w:r>
        <w:rPr/>
      </w:r>
    </w:p>
    <w:p>
      <w:pPr>
        <w:pStyle w:val="TextBody"/>
        <w:bidi w:val="0"/>
        <w:spacing w:before="240" w:after="360"/>
        <w:jc w:val="left"/>
        <w:rPr/>
      </w:pPr>
      <w:r>
        <w:rPr/>
      </w:r>
    </w:p>
    <w:p>
      <w:pPr>
        <w:pStyle w:val="TextBody"/>
        <w:bidi w:val="0"/>
        <w:spacing w:before="240" w:after="36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INCYTE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number of shares)</w:t>
      </w:r>
    </w:p>
    <w:tbl>
      <w:tblPr>
        <w:tblW w:w="10205" w:type="dxa"/>
        <w:jc w:val="left"/>
        <w:tblInd w:w="0" w:type="dxa"/>
        <w:tblLayout w:type="fixed"/>
        <w:tblCellMar>
          <w:top w:w="28" w:type="dxa"/>
          <w:left w:w="28" w:type="dxa"/>
          <w:bottom w:w="28" w:type="dxa"/>
          <w:right w:w="28" w:type="dxa"/>
        </w:tblCellMar>
      </w:tblPr>
      <w:tblGrid>
        <w:gridCol w:w="1377"/>
        <w:gridCol w:w="875"/>
        <w:gridCol w:w="878"/>
        <w:gridCol w:w="206"/>
        <w:gridCol w:w="444"/>
        <w:gridCol w:w="116"/>
        <w:gridCol w:w="109"/>
        <w:gridCol w:w="109"/>
        <w:gridCol w:w="109"/>
        <w:gridCol w:w="196"/>
        <w:gridCol w:w="874"/>
        <w:gridCol w:w="109"/>
        <w:gridCol w:w="109"/>
        <w:gridCol w:w="109"/>
        <w:gridCol w:w="109"/>
        <w:gridCol w:w="272"/>
        <w:gridCol w:w="920"/>
        <w:gridCol w:w="152"/>
        <w:gridCol w:w="109"/>
        <w:gridCol w:w="109"/>
        <w:gridCol w:w="109"/>
        <w:gridCol w:w="204"/>
        <w:gridCol w:w="934"/>
        <w:gridCol w:w="113"/>
        <w:gridCol w:w="109"/>
        <w:gridCol w:w="109"/>
        <w:gridCol w:w="109"/>
        <w:gridCol w:w="196"/>
        <w:gridCol w:w="871"/>
        <w:gridCol w:w="160"/>
      </w:tblGrid>
      <w:tr>
        <w:trPr/>
        <w:tc>
          <w:tcPr>
            <w:tcW w:w="137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3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January 1, 2025</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4,533,437 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(13,121)</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(1,072,881)</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3,447,628 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363,987 shares of Common Stock upon exercise of stock options and settlement of employee restricted stock units, net of shares withheld for taxes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1,208 shares of Common Stock for services rendered</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March 31, 2025</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4,588,286 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(6,238)</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(914,678)</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3,667,563 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64,400 shares of Common Stock upon exercise of stock options and settlement of employee restricted stock units and performance shares, net of shares withheld for taxes, and 261,762 shares of Common Stock under the ESPP</w:t>
            </w:r>
          </w:p>
        </w:tc>
        <w:tc>
          <w:tcPr>
            <w:tcW w:w="65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13,973 </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1,220 shares of Common Stock for services rendered</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19,677 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404,999 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404,999 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June 30, 2025</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4,666,949 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13,439 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(509,679)</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4,170,903 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3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3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3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3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3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pStyle w:val="TextBody"/>
        <w:bidi w:val="0"/>
        <w:spacing w:before="120" w:after="283"/>
        <w:jc w:val="center"/>
        <w:rPr/>
      </w:pPr>
      <w:r>
        <w:rPr/>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INCYTE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8513" w:type="dxa"/>
        <w:jc w:val="left"/>
        <w:tblInd w:w="0" w:type="dxa"/>
        <w:tblLayout w:type="fixed"/>
        <w:tblCellMar>
          <w:top w:w="28" w:type="dxa"/>
          <w:left w:w="28" w:type="dxa"/>
          <w:bottom w:w="28" w:type="dxa"/>
          <w:right w:w="28" w:type="dxa"/>
        </w:tblCellMar>
      </w:tblPr>
      <w:tblGrid>
        <w:gridCol w:w="2097"/>
        <w:gridCol w:w="1839"/>
        <w:gridCol w:w="1853"/>
        <w:gridCol w:w="196"/>
        <w:gridCol w:w="871"/>
        <w:gridCol w:w="109"/>
        <w:gridCol w:w="109"/>
        <w:gridCol w:w="109"/>
        <w:gridCol w:w="109"/>
        <w:gridCol w:w="196"/>
        <w:gridCol w:w="871"/>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equity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change in fair value of acquisition-related contingent consideration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(401,883)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877,013 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310,808 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long 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 of equity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intangible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Maturities of marketable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Excise tax paid on repurchase of Common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under stock plans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withholdings related to restricted and performance share vesting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finance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contingent consideration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(23,922)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rates on cash, cash equivalents, and restricted cash</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cash equivalents, and 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3,099,669 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3,984,191 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1,956,813 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Schedule of Cash Flow Information</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contract dispute settlement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Unpaid purchase of intangible asset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Unpaid purchases of property and equipment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assets obtained in exchange for new operating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assets obtained in exchange for new finance lease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INCYTE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 Organization and Business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Incyte Corporation (including its subsidiaries, “Incyte,” “we,” “us,” or “our”) is a global biopharmaceutical company engaged in the discovery, development and commercialization of proprietary therapeutics. Our portfolio includes compounds in various stages, ranging from preclinical to late stage development, and commercialized products JAKAFI®/JAKAFI XR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(ruxolitinib), ICLUSIG® (ponatinib), PEMAZYRE® (pemigatinib), OPZELURA® (ruxolitinib cream),</w:t>
      </w:r>
      <w:r>
        <w:rPr>
          <w:color w:val="000000"/>
        </w:rPr>
        <w:t xml:space="preserve"> </w:t>
      </w:r>
      <w:r>
        <w:rPr>
          <w:rFonts w:ascii="Times New Roman;serif" w:hAnsi="Times New Roman;serif"/>
          <w:b w:val="false"/>
          <w:color w:val="000000"/>
          <w:sz w:val="20"/>
        </w:rPr>
        <w:t>MINJUVI® (tafasitamab), MONJUVI® (tafasitamab-cxix), ZYNYZ® (retifanlimab-dlwr), as well as NIKTIMVO™ (axatilimab-csfr), which is co-commercialized. Our operations are treated as one operating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accounting principles generally accepted in the United States (“U.S. GAAP”) for interim financial information and with the instructions to Form 10-Q and Article 10 of Regulation S-X. The condensed consolidated balance sheet as of June 30, 2026, the condensed consolidated statements of operations, comprehensive income (loss), and stockholders’ equity for the three and six months ended June 30, 2026 and 2025, and the condensed consolidated statements of cash flows for the six months ended June 30, 2026 and 2025, are unaudited, but include all adjustments, consisting only of normal recurring adjustments, which we consider necessary for a fair presentation of the financial position, operating results and cash flows for the periods presented. The condensed consolidated balance sheet at December 31, 2025 has been derived from our audited consolidated financial statements.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believe that the disclosures in these financial statements are adequate to make the information presented not misleading, certain information and footnote information normally included in financial statements prepared in accordance with U.S. GAAP have been condensed or omitted pursuant to the rules and regulations of the Securities and Exchange Commission (the “SEC”).</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Results for any interim period are not necessarily indicative of results for any future interim period or for the entire year. The accompanying financial statements should be read in conjunction with the financial statements and notes thereto included in our Annual Report on Form 10-K for the year ended December 31, 2025.</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Principles of Consolidation.</w:t>
      </w:r>
      <w:r>
        <w:rPr>
          <w:color w:val="000000"/>
        </w:rPr>
        <w:t xml:space="preserve"> </w:t>
      </w:r>
      <w:r>
        <w:rPr>
          <w:rFonts w:ascii="Times New Roman;serif" w:hAnsi="Times New Roman;serif"/>
          <w:b w:val="false"/>
          <w:color w:val="000000"/>
          <w:sz w:val="20"/>
        </w:rPr>
        <w:t>The condensed consolidated financial statements include the accounts of Incyte Corporation and our wholly owned subsidiaries. All inter-company accounts, transactions, and profits have been eliminated in consolidation.</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Use of Estimates.</w:t>
      </w:r>
      <w:r>
        <w:rPr>
          <w:color w:val="000000"/>
        </w:rPr>
        <w:t xml:space="preserve"> </w:t>
      </w:r>
      <w:r>
        <w:rPr>
          <w:rFonts w:ascii="Times New Roman;serif" w:hAnsi="Times New Roman;serif"/>
          <w:b w:val="false"/>
          <w:color w:val="000000"/>
          <w:sz w:val="20"/>
        </w:rPr>
        <w:t>The preparation of financial statements in conformity with U.S. GAAP requires management to make estimates and assumptions that affect the amounts reported in the financial statements and accompanying notes.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could differ from those estimates.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 Accounting Pronouncements and Regulatory Updates</w:t>
      </w:r>
    </w:p>
    <w:p>
      <w:pPr>
        <w:pStyle w:val="TextBody"/>
        <w:bidi w:val="0"/>
        <w:spacing w:lineRule="auto" w:line="288" w:before="240" w:after="240"/>
        <w:ind w:left="0" w:right="0" w:firstLine="720"/>
        <w:jc w:val="both"/>
        <w:rPr/>
      </w:pPr>
      <w:r>
        <w:rPr>
          <w:rFonts w:ascii="Times New Roman;serif" w:hAnsi="Times New Roman;serif"/>
          <w:b w:val="false"/>
          <w:color w:val="000000"/>
          <w:sz w:val="20"/>
        </w:rPr>
        <w:t>In November 2024, the Financial Accounting Standards Board (“FASB”) issued ASU No. 2024-03, “</w:t>
      </w:r>
      <w:r>
        <w:rPr>
          <w:rFonts w:ascii="Times New Roman;serif" w:hAnsi="Times New Roman;serif"/>
          <w:b w:val="false"/>
          <w:i/>
          <w:color w:val="000000"/>
          <w:sz w:val="20"/>
        </w:rPr>
        <w:t xml:space="preserve">Disaggregation of Income Statement Expenses </w:t>
      </w:r>
      <w:r>
        <w:rPr>
          <w:rFonts w:ascii="Times New Roman;serif" w:hAnsi="Times New Roman;serif"/>
          <w:b w:val="false"/>
          <w:color w:val="000000"/>
          <w:sz w:val="20"/>
        </w:rPr>
        <w:t>(DISE).” This new guidance applies to all public entities and requires disclosures about specific types of expenses included in the expense captions presented on the face of the income statement as well as disclosures about selling expenses. Public entities must adopt the new standard prospectively for fiscal years beginning after December 15, 2026, and interim reporting periods beginning after December 15, 2027. Early adoption and retrospective application are permitted. We are currently evaluating the impact ASU No. 2024-03 will have on our consolidated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720"/>
        <w:jc w:val="both"/>
        <w:rPr/>
      </w:pPr>
      <w:r>
        <w:rPr>
          <w:rFonts w:ascii="Times New Roman;serif" w:hAnsi="Times New Roman;serif"/>
          <w:b w:val="false"/>
          <w:color w:val="000000"/>
          <w:sz w:val="20"/>
        </w:rPr>
        <w:t>In July 2025, the FASB issued ASU No. 2025-05, “</w:t>
      </w:r>
      <w:r>
        <w:rPr>
          <w:rFonts w:ascii="Times New Roman;serif" w:hAnsi="Times New Roman;serif"/>
          <w:b w:val="false"/>
          <w:i/>
          <w:color w:val="000000"/>
          <w:sz w:val="20"/>
        </w:rPr>
        <w:t>Financial Instruments - Credit Losses (Topic 326): Measurement of Credit Losses for Accounts Receivable and Contract Assets.</w:t>
      </w:r>
      <w:r>
        <w:rPr>
          <w:color w:val="000000"/>
        </w:rPr>
        <w:t xml:space="preserve">” </w:t>
      </w:r>
      <w:r>
        <w:rPr>
          <w:rFonts w:ascii="Times New Roman;serif" w:hAnsi="Times New Roman;serif"/>
          <w:b w:val="false"/>
          <w:color w:val="000000"/>
          <w:sz w:val="20"/>
        </w:rPr>
        <w:t>This amended guidance applies to all entities and aims to simplify the estimation of expected credit losses for current accounts receivable and contract assets by providing a practical expedient for all companies. The amendments are effective for annual reporting periods beginning after December 15, 2025 and interim reporting periods within those annual periods. We formally adopted ASU 2025-05, effective January 1, 2026, and elected the practical expedient provided to all companies. This adoption and related practical expedient election did not have and is not expected to have a material impact on our consolidated financial statements and related disclosures.</w:t>
      </w:r>
    </w:p>
    <w:p>
      <w:pPr>
        <w:pStyle w:val="TextBody"/>
        <w:bidi w:val="0"/>
        <w:spacing w:lineRule="auto" w:line="288" w:before="240" w:after="240"/>
        <w:ind w:left="0" w:right="0" w:firstLine="720"/>
        <w:jc w:val="both"/>
        <w:rPr/>
      </w:pPr>
      <w:r>
        <w:rPr>
          <w:rFonts w:ascii="Times New Roman;serif" w:hAnsi="Times New Roman;serif"/>
          <w:b w:val="false"/>
          <w:color w:val="000000"/>
          <w:sz w:val="20"/>
        </w:rPr>
        <w:t>In September 2025, the FASB issued ASU No. 2025-06, “</w:t>
      </w:r>
      <w:r>
        <w:rPr>
          <w:rFonts w:ascii="Times New Roman;serif" w:hAnsi="Times New Roman;serif"/>
          <w:b w:val="false"/>
          <w:i/>
          <w:color w:val="000000"/>
          <w:sz w:val="20"/>
        </w:rPr>
        <w:t>Intangibles - Goodwill and Other - Internal-Use (Subtopic 350-40): Targeted Improvements to the Accounting for Internal-Use Software.</w:t>
      </w:r>
      <w:r>
        <w:rPr>
          <w:color w:val="000000"/>
        </w:rPr>
        <w:t xml:space="preserve">” </w:t>
      </w:r>
      <w:r>
        <w:rPr>
          <w:rFonts w:ascii="Times New Roman;serif" w:hAnsi="Times New Roman;serif"/>
          <w:b w:val="false"/>
          <w:color w:val="000000"/>
          <w:sz w:val="20"/>
        </w:rPr>
        <w:t>This amended guidance applies</w:t>
      </w:r>
      <w:r>
        <w:rPr>
          <w:color w:val="000000"/>
        </w:rPr>
        <w:t xml:space="preserve"> </w:t>
      </w:r>
      <w:r>
        <w:rPr>
          <w:rFonts w:ascii="Times New Roman;serif" w:hAnsi="Times New Roman;serif"/>
          <w:b w:val="false"/>
          <w:color w:val="000000"/>
          <w:sz w:val="20"/>
        </w:rPr>
        <w:t>to all entities and serves to modernize the accounting for software costs that are accounted for under Subtopic 305-40, Intangibles - Goodwill and Other - Internal-Use Software (referred to as “internal-use software”). The amendments in this update are effective for all entities for annual reporting periods beginning after December 15, 2027, and interim reporting periods within those annual reporting periods. Early adoption is permitted as of the beginning of an annual reporting period. Entities may adopt the new guidance using a prospective, modified, or retrospective transition approach. We are currently evaluating the impact ASU No. 2025-06 will have on our consolidated financial statements and related disclosures.</w:t>
      </w:r>
    </w:p>
    <w:p>
      <w:pPr>
        <w:pStyle w:val="TextBody"/>
        <w:bidi w:val="0"/>
        <w:spacing w:lineRule="auto" w:line="288" w:before="240" w:after="240"/>
        <w:ind w:left="0" w:right="0" w:firstLine="720"/>
        <w:jc w:val="both"/>
        <w:rPr/>
      </w:pPr>
      <w:r>
        <w:rPr>
          <w:rFonts w:ascii="Times New Roman;serif" w:hAnsi="Times New Roman;serif"/>
          <w:b w:val="false"/>
          <w:color w:val="000000"/>
          <w:sz w:val="20"/>
        </w:rPr>
        <w:t>In September 2025, the FASB issued ASU No. 2025-07, “</w:t>
      </w:r>
      <w:r>
        <w:rPr>
          <w:rFonts w:ascii="Times New Roman;serif" w:hAnsi="Times New Roman;serif"/>
          <w:b w:val="false"/>
          <w:i/>
          <w:color w:val="000000"/>
          <w:sz w:val="20"/>
        </w:rPr>
        <w:t>Derivatives and Hedging (Topic 815) and Revenue from Contracts with Customers (Topic 606): Derivatives Scope Refinements and Scope Clarification for Share-Based Noncash Consideration from a Customer in a Revenue Contract.</w:t>
      </w:r>
      <w:r>
        <w:rPr>
          <w:color w:val="000000"/>
        </w:rPr>
        <w:t xml:space="preserve">” </w:t>
      </w:r>
      <w:r>
        <w:rPr>
          <w:rFonts w:ascii="Times New Roman;serif" w:hAnsi="Times New Roman;serif"/>
          <w:b w:val="false"/>
          <w:color w:val="000000"/>
          <w:sz w:val="20"/>
        </w:rPr>
        <w:t>This amended guidance applies to all entities and refines the scope of derivative accounting and clarifies rules for share-based noncash consideration in revenue contracts. Specifically, this update is intended to address concerns about the application of derivative accounting to contracts that have features based on the operations or activities of one of the parties to the contract and to reduce diversity in the accounting for share-based payments in revenue contracts. The amendments in this update are effective for all entities for annual reporting periods beginning after December 15, 2026, and interim reporting periods within those annual reporting periods. Early adoption is permitted. Entities may adopt the new guidance prospectively, or on a modified retrospective basis. We are currently evaluating the impact ASU No. 2025-07 will have on our consolidated financial statements and related disclosures.</w:t>
      </w:r>
    </w:p>
    <w:p>
      <w:pPr>
        <w:pStyle w:val="TextBody"/>
        <w:bidi w:val="0"/>
        <w:spacing w:lineRule="auto" w:line="288" w:before="240" w:after="240"/>
        <w:ind w:left="0" w:right="0" w:firstLine="720"/>
        <w:jc w:val="both"/>
        <w:rPr/>
      </w:pPr>
      <w:r>
        <w:rPr>
          <w:rFonts w:ascii="Times New Roman;serif" w:hAnsi="Times New Roman;serif"/>
          <w:b w:val="false"/>
          <w:color w:val="000000"/>
          <w:sz w:val="20"/>
        </w:rPr>
        <w:t>In December 2025, the FASB issued ASU No. 2025-10, “</w:t>
      </w:r>
      <w:r>
        <w:rPr>
          <w:rFonts w:ascii="Times New Roman;serif" w:hAnsi="Times New Roman;serif"/>
          <w:b w:val="false"/>
          <w:i/>
          <w:color w:val="000000"/>
          <w:sz w:val="20"/>
        </w:rPr>
        <w:t>Government Grants (Topic 832): Accounting for Government Grants Received by Business Entities.</w:t>
      </w:r>
      <w:r>
        <w:rPr>
          <w:color w:val="000000"/>
        </w:rPr>
        <w:t xml:space="preserve">” </w:t>
      </w:r>
      <w:r>
        <w:rPr>
          <w:rFonts w:ascii="Times New Roman;serif" w:hAnsi="Times New Roman;serif"/>
          <w:b w:val="false"/>
          <w:color w:val="000000"/>
          <w:sz w:val="20"/>
        </w:rPr>
        <w:t>This accounting standard update establishes specific rules for the recognition, measurement, and presentation of government grants received by business entities. For public business entities, this amended guidance is applicable for fiscal years beginning after December 15, 2028, including interim periods within those fiscal years. Early adoption is permitted. Entities may adopt the new guidance using a modified prospective, modified retrospective, or full retrospective approach. We are currently evaluating the impact ASU No. 2025-10 will have on our consolidated financial statements and related disclosures.</w:t>
      </w:r>
    </w:p>
    <w:p>
      <w:pPr>
        <w:pStyle w:val="TextBody"/>
        <w:bidi w:val="0"/>
        <w:spacing w:lineRule="auto" w:line="288" w:before="240" w:after="240"/>
        <w:ind w:left="0" w:right="0" w:firstLine="720"/>
        <w:jc w:val="both"/>
        <w:rPr/>
      </w:pPr>
      <w:r>
        <w:rPr>
          <w:rFonts w:ascii="Times New Roman;serif" w:hAnsi="Times New Roman;serif"/>
          <w:b w:val="false"/>
          <w:color w:val="000000"/>
          <w:sz w:val="20"/>
        </w:rPr>
        <w:t>In December 2025, the FASB issued ASU No. 2025-11, “</w:t>
      </w:r>
      <w:r>
        <w:rPr>
          <w:rFonts w:ascii="Times New Roman;serif" w:hAnsi="Times New Roman;serif"/>
          <w:b w:val="false"/>
          <w:i/>
          <w:color w:val="000000"/>
          <w:sz w:val="20"/>
        </w:rPr>
        <w:t>Interim Reporting (Topic 270): Narrow-Scope Improvements.</w:t>
      </w:r>
      <w:r>
        <w:rPr>
          <w:color w:val="000000"/>
        </w:rPr>
        <w:t xml:space="preserve">” </w:t>
      </w:r>
      <w:r>
        <w:rPr>
          <w:rFonts w:ascii="Times New Roman;serif" w:hAnsi="Times New Roman;serif"/>
          <w:b w:val="false"/>
          <w:color w:val="000000"/>
          <w:sz w:val="20"/>
        </w:rPr>
        <w:t>The amendments in this update aim to enhance the guidance in Topic 270, Interim Reporting, by improving the navigability of the required interim disclosures and clarifying when that guidance is applicable. The amendments also provide additional guidance on what disclosures should be provided in interim reporting periods. Lastly, this updated guidance incorporates a principle that requires entities to disclose significant events since the end of the last annual reporting period. The amendments in this update apply to all entities that provide interim financial statements and notes in accordance with U.S. GAAP. For public business entities, this amended guidance is effective for interim reporting periods within annual reporting periods beginning after December 15, 2027. Early adoption is permitted, and the amendments in this update can be applied either prospectively or retrospectively to any or all periods presented in the financial statements. We are currently evaluating the impact ASU No. 2025-11 will have on our future condensed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3. Revenues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Revenues are recognized under guidance within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xml:space="preserve">. The following table presents our disaggregated revenue for the periods presented (in thousands): </w:t>
      </w:r>
    </w:p>
    <w:tbl>
      <w:tblPr>
        <w:tblW w:w="9435" w:type="dxa"/>
        <w:jc w:val="left"/>
        <w:tblInd w:w="0" w:type="dxa"/>
        <w:tblLayout w:type="fixed"/>
        <w:tblCellMar>
          <w:top w:w="28" w:type="dxa"/>
          <w:left w:w="28" w:type="dxa"/>
          <w:bottom w:w="28" w:type="dxa"/>
          <w:right w:w="28" w:type="dxa"/>
        </w:tblCellMar>
      </w:tblPr>
      <w:tblGrid>
        <w:gridCol w:w="1165"/>
        <w:gridCol w:w="1028"/>
        <w:gridCol w:w="1032"/>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165"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JAKAFI net sales</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816,659 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763,788 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1,574,414 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1,473,200 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OPZELURA net sales</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ICLUSIG net sales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PEMAZYRE net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MINJUVI/MONJUVI net sales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NIKTIMVO net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ZYNYZ net sales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1,488,149 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1,059,414 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2,592,633 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1,981,688 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JAKAVI product royalty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OLUMIANT product royalty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TABRECTA product royalty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product royalty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royalty revenues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Milestone and contract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1,674,039 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1,215,529 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2,946,715 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2,268,427 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10"/>
          <w:shd w:fill="FFFFFF" w:val="clear"/>
        </w:rPr>
        <w:t>1</w:t>
      </w:r>
      <w:r>
        <w:rPr>
          <w:color w:val="000000"/>
          <w:shd w:fill="FFFFFF" w:val="clear"/>
        </w:rPr>
        <w:t xml:space="preserve"> </w:t>
      </w:r>
      <w:r>
        <w:rPr>
          <w:rFonts w:ascii="Times New Roman;serif" w:hAnsi="Times New Roman;serif"/>
          <w:b w:val="false"/>
          <w:color w:val="000000"/>
          <w:sz w:val="16"/>
          <w:shd w:fill="FFFFFF" w:val="clear"/>
        </w:rPr>
        <w:t>Second quarter 2026 JAKAFI net sales include JAKAFI and JAKAFI XR following the launch of JAKAFI XR in the second quarter of 2026.</w:t>
      </w:r>
    </w:p>
    <w:p>
      <w:pPr>
        <w:pStyle w:val="TextBody"/>
        <w:bidi w:val="0"/>
        <w:spacing w:lineRule="auto" w:line="288" w:before="240" w:after="283"/>
        <w:jc w:val="both"/>
        <w:rPr/>
      </w:pPr>
      <w:r>
        <w:rPr>
          <w:rFonts w:ascii="Times New Roman;serif" w:hAnsi="Times New Roman;serif"/>
          <w:b w:val="false"/>
          <w:color w:val="000000"/>
          <w:sz w:val="10"/>
          <w:shd w:fill="FFFFFF" w:val="clear"/>
        </w:rPr>
        <w:t>2</w:t>
      </w:r>
      <w:r>
        <w:rPr>
          <w:color w:val="000000"/>
          <w:shd w:fill="FFFFFF" w:val="clear"/>
        </w:rPr>
        <w:t xml:space="preserve"> </w:t>
      </w:r>
      <w:r>
        <w:rPr>
          <w:rFonts w:ascii="Times New Roman;serif" w:hAnsi="Times New Roman;serif"/>
          <w:b w:val="false"/>
          <w:color w:val="000000"/>
          <w:sz w:val="16"/>
          <w:shd w:fill="FFFFFF" w:val="clear"/>
        </w:rPr>
        <w:t xml:space="preserve">Second quarter 2026 OPZELURA net sales includes </w:t>
      </w:r>
      <w:r>
        <w:rPr>
          <w:rFonts w:ascii="Times New Roman;serif" w:hAnsi="Times New Roman;serif"/>
          <w:b w:val="false"/>
          <w:color w:val="000000"/>
          <w:sz w:val="16"/>
        </w:rPr>
        <w:t>$246.0 million</w:t>
      </w:r>
      <w:r>
        <w:rPr>
          <w:color w:val="000000"/>
          <w:shd w:fill="FFFFFF" w:val="clear"/>
        </w:rPr>
        <w:t xml:space="preserve"> </w:t>
      </w:r>
      <w:r>
        <w:rPr>
          <w:rFonts w:ascii="Times New Roman;serif" w:hAnsi="Times New Roman;serif"/>
          <w:b w:val="false"/>
          <w:color w:val="000000"/>
          <w:sz w:val="16"/>
          <w:shd w:fill="FFFFFF" w:val="clear"/>
        </w:rPr>
        <w:t xml:space="preserve">related to our </w:t>
      </w:r>
      <w:r>
        <w:rPr>
          <w:rFonts w:ascii="Times New Roman;serif" w:hAnsi="Times New Roman;serif"/>
          <w:b w:val="false"/>
          <w:color w:val="000000"/>
          <w:sz w:val="16"/>
        </w:rPr>
        <w:t xml:space="preserve">agreement with </w:t>
      </w:r>
      <w:r>
        <w:rPr>
          <w:rFonts w:ascii="Times New Roman;serif" w:hAnsi="Times New Roman;serif"/>
          <w:b w:val="false"/>
          <w:color w:val="000000"/>
          <w:sz w:val="20"/>
        </w:rPr>
        <w:t>CMS</w:t>
      </w:r>
      <w:r>
        <w:rPr>
          <w:color w:val="000000"/>
        </w:rPr>
        <w:t xml:space="preserve"> </w:t>
      </w:r>
      <w:r>
        <w:rPr>
          <w:rFonts w:ascii="Times New Roman;serif" w:hAnsi="Times New Roman;serif"/>
          <w:b w:val="false"/>
          <w:color w:val="000000"/>
          <w:sz w:val="16"/>
        </w:rPr>
        <w:t>to resolve our litigation related to the application of Medicaid rebate rules to OPZELURA</w:t>
      </w:r>
      <w:r>
        <w:rPr>
          <w:rFonts w:ascii="Times New Roman;serif" w:hAnsi="Times New Roman;serif"/>
          <w:b w:val="false"/>
          <w:color w:val="000000"/>
          <w:sz w:val="16"/>
          <w:shd w:fill="FFFFFF" w:val="clear"/>
        </w:rPr>
        <w:t>. Refer to Note 15 for further information.</w:t>
      </w:r>
    </w:p>
    <w:p>
      <w:pPr>
        <w:pStyle w:val="TextBody"/>
        <w:bidi w:val="0"/>
        <w:spacing w:lineRule="auto" w:line="288" w:before="240" w:after="283"/>
        <w:ind w:left="0" w:right="0" w:firstLine="720"/>
        <w:jc w:val="both"/>
        <w:rPr/>
      </w:pPr>
      <w:r>
        <w:rPr>
          <w:rFonts w:ascii="Times New Roman;serif" w:hAnsi="Times New Roman;serif"/>
          <w:b w:val="false"/>
          <w:color w:val="000000"/>
          <w:sz w:val="20"/>
        </w:rPr>
        <w:t>For further information on our revenue-generating contracts,</w:t>
      </w:r>
      <w:r>
        <w:rPr>
          <w:color w:val="000000"/>
        </w:rPr>
        <w:t xml:space="preserve"> </w:t>
      </w:r>
      <w:r>
        <w:rPr>
          <w:rFonts w:ascii="Times New Roman;serif" w:hAnsi="Times New Roman;serif"/>
          <w:b w:val="false"/>
          <w:color w:val="000000"/>
          <w:sz w:val="20"/>
        </w:rPr>
        <w:t>refer to Note 7.</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4. Fair Value of Financial Instruments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our marketable security portfolio for the periods presented (in thousands):</w:t>
      </w:r>
    </w:p>
    <w:tbl>
      <w:tblPr>
        <w:tblW w:w="8507" w:type="dxa"/>
        <w:jc w:val="left"/>
        <w:tblInd w:w="0" w:type="dxa"/>
        <w:tblLayout w:type="fixed"/>
        <w:tblCellMar>
          <w:top w:w="28" w:type="dxa"/>
          <w:left w:w="28" w:type="dxa"/>
          <w:bottom w:w="28" w:type="dxa"/>
          <w:right w:w="28" w:type="dxa"/>
        </w:tblCellMar>
      </w:tblPr>
      <w:tblGrid>
        <w:gridCol w:w="888"/>
        <w:gridCol w:w="783"/>
        <w:gridCol w:w="789"/>
        <w:gridCol w:w="211"/>
        <w:gridCol w:w="826"/>
        <w:gridCol w:w="109"/>
        <w:gridCol w:w="109"/>
        <w:gridCol w:w="109"/>
        <w:gridCol w:w="109"/>
        <w:gridCol w:w="304"/>
        <w:gridCol w:w="889"/>
        <w:gridCol w:w="157"/>
        <w:gridCol w:w="109"/>
        <w:gridCol w:w="109"/>
        <w:gridCol w:w="109"/>
        <w:gridCol w:w="288"/>
        <w:gridCol w:w="943"/>
        <w:gridCol w:w="148"/>
        <w:gridCol w:w="109"/>
        <w:gridCol w:w="109"/>
        <w:gridCol w:w="109"/>
        <w:gridCol w:w="211"/>
        <w:gridCol w:w="826"/>
        <w:gridCol w:w="154"/>
      </w:tblGrid>
      <w:tr>
        <w:trPr/>
        <w:tc>
          <w:tcPr>
            <w:tcW w:w="88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Fair Value</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(government)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(government)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summarizes the contractual maturities of our available-for-sale debt securities as of June 30, 2026 (in thousands): </w:t>
      </w:r>
    </w:p>
    <w:tbl>
      <w:tblPr>
        <w:tblW w:w="7805" w:type="dxa"/>
        <w:jc w:val="left"/>
        <w:tblInd w:w="0" w:type="dxa"/>
        <w:tblLayout w:type="fixed"/>
        <w:tblCellMar>
          <w:top w:w="28" w:type="dxa"/>
          <w:left w:w="28" w:type="dxa"/>
          <w:bottom w:w="28" w:type="dxa"/>
          <w:right w:w="28" w:type="dxa"/>
        </w:tblCellMar>
      </w:tblPr>
      <w:tblGrid>
        <w:gridCol w:w="1267"/>
        <w:gridCol w:w="1112"/>
        <w:gridCol w:w="1115"/>
        <w:gridCol w:w="211"/>
        <w:gridCol w:w="826"/>
        <w:gridCol w:w="109"/>
        <w:gridCol w:w="109"/>
        <w:gridCol w:w="109"/>
        <w:gridCol w:w="109"/>
        <w:gridCol w:w="243"/>
        <w:gridCol w:w="952"/>
        <w:gridCol w:w="125"/>
        <w:gridCol w:w="109"/>
        <w:gridCol w:w="109"/>
        <w:gridCol w:w="109"/>
        <w:gridCol w:w="211"/>
        <w:gridCol w:w="826"/>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Less than 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1-5 Years</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debt securities (government)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205,695 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Debt security assets were assessed for risk of expected credit losses. As of June 30, 2026 and December 31, 2025, the available-for-sale debt securities were held in U.S.-government backed securities and in Treasury bonds and were assessed on an individual security basis to have a de minimis risk of credit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1—Valuations based on unadjusted quoted prices in active markets for identical assets or 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2—Valuations based on observable inputs and quoted prices in active markets for similar assets and 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3—Valuations based on inputs that are unobservable and models that are significant to the overall fair value measurement.</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marketable securities consist of investments in U.S. government debt securities that are classified as available-for-sale.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our Level 2 U.S. government debt securities were valued using readily available pricing sources which utilize market observable inputs, including the current interest rate and other characteristics for similar types of investments. Our long term equity investments classified as Level 1 were valued using their respective closing stock prices on The Nasdaq Stock Market. We did not experience any transfers of financial instruments between the fair value hierarchy levels during the three and six months ended June 30, 2026.</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fair value hierarchy table presents information about each major category of our financial assets measured at fair value on a recurring basis (in thousands):</w:t>
      </w:r>
    </w:p>
    <w:tbl>
      <w:tblPr>
        <w:tblW w:w="9520" w:type="dxa"/>
        <w:jc w:val="left"/>
        <w:tblInd w:w="0" w:type="dxa"/>
        <w:tblLayout w:type="fixed"/>
        <w:tblCellMar>
          <w:top w:w="28" w:type="dxa"/>
          <w:left w:w="28" w:type="dxa"/>
          <w:bottom w:w="28" w:type="dxa"/>
          <w:right w:w="28" w:type="dxa"/>
        </w:tblCellMar>
      </w:tblPr>
      <w:tblGrid>
        <w:gridCol w:w="1179"/>
        <w:gridCol w:w="1035"/>
        <w:gridCol w:w="1040"/>
        <w:gridCol w:w="241"/>
        <w:gridCol w:w="1119"/>
        <w:gridCol w:w="124"/>
        <w:gridCol w:w="109"/>
        <w:gridCol w:w="109"/>
        <w:gridCol w:w="109"/>
        <w:gridCol w:w="251"/>
        <w:gridCol w:w="984"/>
        <w:gridCol w:w="129"/>
        <w:gridCol w:w="109"/>
        <w:gridCol w:w="109"/>
        <w:gridCol w:w="109"/>
        <w:gridCol w:w="222"/>
        <w:gridCol w:w="759"/>
        <w:gridCol w:w="115"/>
        <w:gridCol w:w="109"/>
        <w:gridCol w:w="109"/>
        <w:gridCol w:w="109"/>
        <w:gridCol w:w="211"/>
        <w:gridCol w:w="976"/>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at Reporting Date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Balance as of </w:t>
              <w:br/>
              <w:t>June 30, 2026</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3,982,375 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3,982,375 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(government)</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553,365 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 term equity investments (Note 7)</w:t>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64,387 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4,046,762 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553,365 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4,640,127 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724" w:type="dxa"/>
        <w:jc w:val="left"/>
        <w:tblInd w:w="0" w:type="dxa"/>
        <w:tblLayout w:type="fixed"/>
        <w:tblCellMar>
          <w:top w:w="28" w:type="dxa"/>
          <w:left w:w="28" w:type="dxa"/>
          <w:bottom w:w="28" w:type="dxa"/>
          <w:right w:w="28" w:type="dxa"/>
        </w:tblCellMar>
      </w:tblPr>
      <w:tblGrid>
        <w:gridCol w:w="1179"/>
        <w:gridCol w:w="1035"/>
        <w:gridCol w:w="1040"/>
        <w:gridCol w:w="241"/>
        <w:gridCol w:w="1119"/>
        <w:gridCol w:w="124"/>
        <w:gridCol w:w="109"/>
        <w:gridCol w:w="109"/>
        <w:gridCol w:w="109"/>
        <w:gridCol w:w="251"/>
        <w:gridCol w:w="984"/>
        <w:gridCol w:w="129"/>
        <w:gridCol w:w="109"/>
        <w:gridCol w:w="109"/>
        <w:gridCol w:w="109"/>
        <w:gridCol w:w="318"/>
        <w:gridCol w:w="612"/>
        <w:gridCol w:w="166"/>
        <w:gridCol w:w="109"/>
        <w:gridCol w:w="109"/>
        <w:gridCol w:w="109"/>
        <w:gridCol w:w="243"/>
        <w:gridCol w:w="1125"/>
        <w:gridCol w:w="177"/>
      </w:tblGrid>
      <w:tr>
        <w:trPr/>
        <w:tc>
          <w:tcPr>
            <w:tcW w:w="117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at Reporting Date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Balance as of</w:t>
              <w:br/>
              <w:t>December 31, 2025</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3,097,817 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3,097,817 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(government)</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482,787 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482,787 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 term equity investments (Note 7)</w:t>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3,145,808 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482,787 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3,628,595 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fair value hierarchy table presents information about each major category of our financial liabilities measured at fair value on a recurring basis (in thousands):</w:t>
      </w:r>
    </w:p>
    <w:tbl>
      <w:tblPr>
        <w:tblW w:w="10205" w:type="dxa"/>
        <w:jc w:val="left"/>
        <w:tblInd w:w="0" w:type="dxa"/>
        <w:tblLayout w:type="fixed"/>
        <w:tblCellMar>
          <w:top w:w="28" w:type="dxa"/>
          <w:left w:w="28" w:type="dxa"/>
          <w:bottom w:w="28" w:type="dxa"/>
          <w:right w:w="28" w:type="dxa"/>
        </w:tblCellMar>
      </w:tblPr>
      <w:tblGrid>
        <w:gridCol w:w="1361"/>
        <w:gridCol w:w="1197"/>
        <w:gridCol w:w="1202"/>
        <w:gridCol w:w="429"/>
        <w:gridCol w:w="828"/>
        <w:gridCol w:w="221"/>
        <w:gridCol w:w="125"/>
        <w:gridCol w:w="125"/>
        <w:gridCol w:w="125"/>
        <w:gridCol w:w="394"/>
        <w:gridCol w:w="760"/>
        <w:gridCol w:w="205"/>
        <w:gridCol w:w="125"/>
        <w:gridCol w:w="125"/>
        <w:gridCol w:w="125"/>
        <w:gridCol w:w="244"/>
        <w:gridCol w:w="958"/>
        <w:gridCol w:w="125"/>
        <w:gridCol w:w="109"/>
        <w:gridCol w:w="109"/>
        <w:gridCol w:w="109"/>
        <w:gridCol w:w="211"/>
        <w:gridCol w:w="826"/>
        <w:gridCol w:w="167"/>
      </w:tblGrid>
      <w:tr>
        <w:trPr/>
        <w:tc>
          <w:tcPr>
            <w:tcW w:w="1361"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at Reporting Date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Liabilities</w:t>
              <w:br/>
              <w:t>(Level 1)</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w:t>
              <w:br/>
              <w:t>Inputs</w:t>
              <w:br/>
              <w:t>(Level 2)</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as of</w:t>
              <w:br/>
              <w:t>June 30, 2026</w:t>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contingent consideration</w:t>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102,000 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102,000 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4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102,000 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102,000 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92"/>
        <w:gridCol w:w="1137"/>
        <w:gridCol w:w="1141"/>
        <w:gridCol w:w="412"/>
        <w:gridCol w:w="794"/>
        <w:gridCol w:w="210"/>
        <w:gridCol w:w="124"/>
        <w:gridCol w:w="124"/>
        <w:gridCol w:w="124"/>
        <w:gridCol w:w="383"/>
        <w:gridCol w:w="737"/>
        <w:gridCol w:w="199"/>
        <w:gridCol w:w="124"/>
        <w:gridCol w:w="124"/>
        <w:gridCol w:w="124"/>
        <w:gridCol w:w="241"/>
        <w:gridCol w:w="946"/>
        <w:gridCol w:w="124"/>
        <w:gridCol w:w="109"/>
        <w:gridCol w:w="109"/>
        <w:gridCol w:w="109"/>
        <w:gridCol w:w="266"/>
        <w:gridCol w:w="1047"/>
        <w:gridCol w:w="205"/>
      </w:tblGrid>
      <w:tr>
        <w:trPr/>
        <w:tc>
          <w:tcPr>
            <w:tcW w:w="129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at Reporting Date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Liabilities</w:t>
              <w:br/>
              <w:t>(Level 1)</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w:t>
              <w:br/>
              <w:t>Inputs</w:t>
              <w:br/>
              <w:t>(Level 2)</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as of</w:t>
              <w:br/>
              <w:t>December 31, 2025</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contingent consideration</w:t>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121,000 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121,000 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4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121,000 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121,000 </w:t>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roll forward of our Level 3 liabilities (in thousands):</w:t>
      </w:r>
    </w:p>
    <w:tbl>
      <w:tblPr>
        <w:tblW w:w="6770" w:type="dxa"/>
        <w:jc w:val="left"/>
        <w:tblInd w:w="0" w:type="dxa"/>
        <w:tblLayout w:type="fixed"/>
        <w:tblCellMar>
          <w:top w:w="28" w:type="dxa"/>
          <w:left w:w="28" w:type="dxa"/>
          <w:bottom w:w="28" w:type="dxa"/>
          <w:right w:w="28" w:type="dxa"/>
        </w:tblCellMar>
      </w:tblPr>
      <w:tblGrid>
        <w:gridCol w:w="2022"/>
        <w:gridCol w:w="1771"/>
        <w:gridCol w:w="1786"/>
        <w:gridCol w:w="211"/>
        <w:gridCol w:w="826"/>
        <w:gridCol w:w="154"/>
      </w:tblGrid>
      <w:tr>
        <w:trPr/>
        <w:tc>
          <w:tcPr>
            <w:tcW w:w="2022"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at January 1,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earned during the period but not yet paid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made during the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initial fair value of the contingent consideration was determined on the date of acquisition, June 1, 2016, using an income approach based on projected future net sales of ICLUSIG in the European Union and other countries for the approved third line treatment over 18 years, and discounted to present value at a rate of 10%. The fair value of the contingent consideration is remeasured each reporting period, with changes in fair value recorded in the condensed consolidated statements of operations. The valuation inputs utilized to estimate the fair value of the contingent consideration as of June 30, 2026 and December 31, 2025 included a discount rate of 10%, updated projections of future net sales of ICLUSIG in the European Union and other countries for the approved third line treatment, and related applicable royalty rates. The change in fair value of the contingent consideration during the three and six months ended June 30, 2026 was due primarily to updated projections of future net sales of ICLUSIG, including the impacts from fluctuations in foreign currency exchange rates, and the passage of time.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generally make payments to Takeda Pharmaceutical Company Limited quarterly based on the royalties earned in the previous quarter. As of June 30, 2026 and December 31, 2025, contingent consideration earned but not yet paid was $10.5 million and $12.1 million, respectively, and was included in accrued and other current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5. Concentration of Credit Risk and Current Expected Credit Losses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In November 2009, we entered into a collaboration and license agreement with Novartis Pharma AG (formerly known as Novartis Pharmaceutical International Ltd.) (“Novartis”). In December 2009, we entered into a license, development and commercialization agreement with Eli Lilly and Company (“Lilly”). The above collaboration partners comprised, in aggregate, 15% and 17% of the accounts receivable balance as of June 30, 2026 and December 31, 2025, respectively. For further information relating to these collaboration and license agreements,</w:t>
      </w:r>
      <w:r>
        <w:rPr>
          <w:color w:val="000000"/>
        </w:rPr>
        <w:t xml:space="preserve"> </w:t>
      </w:r>
      <w:r>
        <w:rPr>
          <w:rFonts w:ascii="Times New Roman;serif" w:hAnsi="Times New Roman;serif"/>
          <w:b w:val="false"/>
          <w:color w:val="000000"/>
          <w:sz w:val="20"/>
        </w:rPr>
        <w:t>refer to Note 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concentration of credit risk related to our JAKAFI and OPZELURA sales is as follows:</w:t>
      </w:r>
    </w:p>
    <w:tbl>
      <w:tblPr>
        <w:tblW w:w="5356" w:type="dxa"/>
        <w:jc w:val="left"/>
        <w:tblInd w:w="0" w:type="dxa"/>
        <w:tblLayout w:type="fixed"/>
        <w:tblCellMar>
          <w:top w:w="28" w:type="dxa"/>
          <w:left w:w="28" w:type="dxa"/>
          <w:bottom w:w="28" w:type="dxa"/>
          <w:right w:w="28" w:type="dxa"/>
        </w:tblCellMar>
      </w:tblPr>
      <w:tblGrid>
        <w:gridCol w:w="391"/>
        <w:gridCol w:w="344"/>
        <w:gridCol w:w="345"/>
        <w:gridCol w:w="180"/>
        <w:gridCol w:w="181"/>
        <w:gridCol w:w="383"/>
        <w:gridCol w:w="154"/>
        <w:gridCol w:w="154"/>
        <w:gridCol w:w="154"/>
        <w:gridCol w:w="180"/>
        <w:gridCol w:w="181"/>
        <w:gridCol w:w="383"/>
        <w:gridCol w:w="109"/>
        <w:gridCol w:w="109"/>
        <w:gridCol w:w="109"/>
        <w:gridCol w:w="180"/>
        <w:gridCol w:w="181"/>
        <w:gridCol w:w="379"/>
        <w:gridCol w:w="152"/>
        <w:gridCol w:w="152"/>
        <w:gridCol w:w="152"/>
        <w:gridCol w:w="180"/>
        <w:gridCol w:w="181"/>
        <w:gridCol w:w="4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 of Total Net</w:t>
              <w:br/>
              <w:t>Sales for the</w:t>
              <w:b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 of Total Net</w:t>
              <w:br/>
              <w:t>Sales for the</w:t>
              <w:br/>
              <w:t>Six Months Ended</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E</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F</w:t>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exposed to risks associated with extending credit to customers related to the sale of products. Customers A, B, C, D, E and F comprised, in the aggregate, 63% and 54% of the accounts receivable balance as of June 30, 2026 and December 31, 2025, respectively. The concentration of credit risk relating to our other sales or accounts receivable is not significant.</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assessed our collaborative and customer receivable assets as of June 30, 2026 according to our accounting policy for applying reserves for expected credit losses, noting minimal history of uncollectible receivables and the continued perceived creditworthiness of our third party sales relationships, upon which the expected credit losses were considered de minimis. As of June 30, 2026 and December 31, 2025, we had a de minimus amount of allowance for doubtful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6. Inventory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inventory balance consists of the following (in thousands):</w:t>
      </w:r>
    </w:p>
    <w:tbl>
      <w:tblPr>
        <w:tblW w:w="4764" w:type="dxa"/>
        <w:jc w:val="left"/>
        <w:tblInd w:w="0" w:type="dxa"/>
        <w:tblLayout w:type="fixed"/>
        <w:tblCellMar>
          <w:top w:w="28" w:type="dxa"/>
          <w:left w:w="28" w:type="dxa"/>
          <w:bottom w:w="28" w:type="dxa"/>
          <w:right w:w="28" w:type="dxa"/>
        </w:tblCellMar>
      </w:tblPr>
      <w:tblGrid>
        <w:gridCol w:w="759"/>
        <w:gridCol w:w="667"/>
        <w:gridCol w:w="674"/>
        <w:gridCol w:w="211"/>
        <w:gridCol w:w="826"/>
        <w:gridCol w:w="109"/>
        <w:gridCol w:w="109"/>
        <w:gridCol w:w="109"/>
        <w:gridCol w:w="109"/>
        <w:gridCol w:w="211"/>
        <w:gridCol w:w="826"/>
        <w:gridCol w:w="154"/>
      </w:tblGrid>
      <w:tr>
        <w:trPr/>
        <w:tc>
          <w:tcPr>
            <w:tcW w:w="75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API and work-in-process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443,292 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Inventories, stated at the lower of cost and net realizable value, consist of raw materials, active pharmaceutical ingredients (“API”), work-in-process, and finished goods, inclusive of freight and inventoriable overhead. At June 30, 2026, $112.5 million of inventory was classified as current on the condensed consolidated balance sheet as we expect this inventory to be consumed for commercial use within the next twelve months. At June 30, 2026, $345.0 million of inventory was classified as non-current on the condensed consolidated balance sheet as we do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capitalize inventory after regulatory approval as the related costs are expected to be recoverable through the commercialization of the product. Costs incurred prior to regulatory approval are recorded as research and development expense in our condensed consolidated statements of operations. At June 30, 2026, inventory with approximately $39.1 million of product costs incurred prior to regulatory approval had not yet been sold. We expect to sell the pre-commercialization inventory over the next 6 to 35 months and, as a result, cost of sales will reflect a lower average per unit cost of materials.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7. Collaborative and Other Relationships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Novartis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this agreement,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were initially eligible to receive up to $174.0 million for the achievement of development milestones, up to $495.0 million for the achievement of regulatory milestones and up to $500.0 million for the achievement of sales milestones. In addition, we were initially eligible to receive up to $75.0 million of additional potential development and regulatory milestones relating to graft-versus-host-disease (“GVHD”). Since the inception of the agreement through June 30, 2026, we have recognized and received, in the aggregate, $157.0 million for the achievement of development milestones, $345.0 million for the achievement of regulatory milestones, and $200.0 million for the achievement of sales milestones.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obligated to pay to Novartis tiered royalties in the low single-digits on future JAKAFI net sales within the United States. On May 11, 2025, we and Novartis entered into a settlement agreement (the “Settlement Agreement”) with respect to litigation initiated by Novartis relating to the duration of royalty payments owed by us to Novartis under the Collaboration and License Agreement. As of March 31, 2025, we had approximately $537.1 million of accrued royalties relating to the dispute with Novartis included in accrued and other current liabilities on our condensed consolidated balance sheet. Under the Settlement Agreement, we paid Novartis $280.0 million as the settlement of disputed royalties on net sales of JAKAFI in the United States through December 31, 2024, and agreed to reduce by 50% the royalty rate payable by us on future net sales of JAKAFI in the United States beginning January 1, 2025 for a period defined in the Settlement Agreement. The reduced royalty paid for the quarter ended March 31, 2025, was approximately $14.9 million. The difference of $242.2 million between the total accrued royalties and the total amount paid by us to Novartis as disclosed above was recorded in Contract dispute settlement on our condensed consolidated statement of operations for three and six months ended June 30, 2025.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such royalties on net sales within the United States totaled $20.0 million and $36.1 million, respectively, and were reflected in cost of sales on the condensed consolidated statements of operations. During the three and six months ended June 30, 2025, such royalties on net sales within the United States totaled $18.7 million and $48.5 million, respectively, and were reflected in cost of sales on the condensed consolidated statements of operations. At June 30, 2026 and December 31, 2025, approximately $20.0 million and $20.3 million, respectively, of accrued royalties were included in accrued and other current liabilities on the condensed consolidated balance sheets.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are eligible to receive tiered, double-digit royalties ranging from the upper-teens to the mid-twenties on future JAKAVI (the trade name used by Novartis for ruxolitinib sales outside of the United States) net sales outside of the United States, and tiered, worldwide royalties on TABRECTA net sales that range from 12% to 14%. Product royalty revenue related to Novartis’ net sales of JAKAVI outside of the United States for the three and six months ended June 30, 2026, was $124.2 million and $229.7 million, respectively. Product royalty revenue related to Novartis’ net sales of JAKAVI outside of the United States for the three and six months ended June 30, 2025, was $109.7 million and $201.9 million, respectively. Product royalty revenue related to Novartis’ net sales of TABRECTA worldwide for the three and six months ended June 30, 2026, was $6.7 million and $12.7 million, respectively. Product royalty revenue related to Novartis’ net sales of TABRECTA worldwide for the three and six months ended June 30, 2025, was $6.6 million and $13.0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Lilly – Baricitinib</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this agreement, we were initially eligible to receive up to $150.0 million for the achievement of development milestones, up to $365.0 million for the achievement of regulatory milestones and up to $150.0 million for the achievement of sales milestones. In October 2025, the parties amended the agreement to enable Lilly to commercialize baricitinib for the treatment of Type 1 diabetes mellitus and to restructure the royalty obligations on net sales of baricitinib, certain developmental and regulatory milestones associated with baricitinib, and the marketing and sales support obligations of Lilly. Beginning in October 2025, we are now eligible to receive either a fixed royalty amount or tiered royalties based on defined levels of quarterly global net sales, with the tiered royalties up to a rate in the mid-teens. Since the inception of the agreement through June 30, 2026, we recognized and received, in aggregate, $149.0 million for the achievement of development milestones, $335.0 million for the achievement of regulatory milestones, $50.0 million for the achievement of sales milestones, and $100.0 million for the functional intellectual property transfer related to Type 1 diabetes mellitus.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Product royalty revenue related to Lilly net sales of OLUMIANT outside of the United States for the three and six months ended June 30, 2026 was $38.5 million and $74.9 million, respectively. Product royalty revenue related to Lilly net sales of OLUMIANT outside of the United States for the three and six months ended June 30, 2025 was $33.5 million and $64.3 million, respectively.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MacroGenics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October 2017, we entered into a Global Collaboration and License Agreement with MacroGenics, Inc. (“MacroGenics”). Under this agreement, we received exclusive development and commercialization rights worldwide to MacroGenics’ INCMGA0012 (formerly MGA012), an investigational monoclonal antibody that inhibits PD-1. Except as set forth in the succeeding sentence, we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Since the inception of the agreement, inclusive of amendments to the agreement, through June 30, 2026, we have paid MacroGenics developmental and regulatory milestones totaling $215.0 million. After these amendments and subsequent payments, MacroGenics will be eligible to receive up to an additional $210.0 million in future contingent development and regulatory milestones, and up to $330.0 million in sales milestones as well as tiered royalties ranging from 15% to 24% of global net sales. In June 2025, MacroGenics sold certain of its rights to such future tiered royalties on and after June 30, 2025 to Sagard Healthcare Partners (Delaware) II LP.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Syndax</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2021, we entered into a Collaboration and License Agreement with Syndax Pharmaceuticals, Inc. (“Syndax”), covering the worldwide development and commercialization of SNDX-6352 (“axatilimab”). Under the terms of our agreement, we received exclusive commercialization rights to axatilimab outside of the United States and share commercialization rights in the United States with Syndax. We are responsible for leading the commercialization strategy and booking all revenue from sales of axatilimab globally. Incyte and Syndax share equally the profits and losses from the co-commercialization efforts in the United States. Sales of axatilimab outside the United States are subject to our royalty payment obligations to Syndax, as set forth below. We and Syndax have agreed to co-develop axatilimab and to share development costs associated with global and U.S.-specific clinical trials, with Incyte responsible for 55% of such costs and Syndax responsible for 45% of such costs. Each company is responsible for funding any independent development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Inclusive of an upfront, non-refundable payment, since the inception of the agreement through June 30, 2026, we have made payments of $129.5 million to Syndax, which were previously recorded in research and development expense or in other intangible assets, as discussed above. Syndax is eligible to receive up to $207.5 million in future contingent development and regulatory milestones and up to $225.0 million in sales milestones as well as tiered royalties ranging in the mid-teens on net sales in Europe and Japan and low double digit percentage on net sales in the rest of the world outside of the United States. Syndax’s right to receive royalties in any particular country will expire upon the last to occur of (a) the expiration of patent rights in that particular country, (b) a specified period of time after the first post-marketing authorization sale of a licensed product comprising axatilimab in that country, and (c) the expiration of any regulatory exclusivity for that licensed product in that country.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we held an investment of approximately 1.4 million shares of Syndax common stock. The fair market value of our long term investment in Syndax as of June 30, 2026 and December 31, 2025 was $31.1 million and $29.9 million, respectively. For the three and six months ended June 30, 2026, we recorded an unrealized loss of $2.1 million and an unrealized gain of $1.2 million, respectively, based on the change in fair value of Syndax’s common stock during the respective periods. For the three and six months ended June 30, 2025, we recorded an unrealized loss of $4.2 million and $5.5 million, respectively, based on the change in fair value of Syndax’s common stock during the respective periods.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three and six months ended June 30, 2026, includes $4.9 million and $10.3 million, respectively, related to our 55% share of the co-development costs for axatilimab. Research and development expenses for the three and six months ended June 30, 2025, includes $5.3 million and $10.0 million, respectively, related to our 55% share of the co-development costs for axatilimab. At June 30, 2026 and December 31, 2025, $1.4 million and $2.4 million, respectively, was included in accrued and other liabilities on the condensed consolidated balance sheet for amounts due to Syndax under the agreement.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United States co-commercialization efforts, Syndax’s 50% share of profit for the three and six months ended June 30, 2026 was $20.2 million and $34.6 million, respectively, which is reflected in cost of sales on the condensed consolidated statement of operations. At June 30, 2026 and December 31, 2025, $26.5 million and $27.6 million, respectively, was included in accrued and other liability on the consolidated balance sheet for amounts due to Syndax related to United States co-commercialization activities.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Prelude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2025, we entered into an exclusive purchase option agreement with Prelude Therapeutics Incorporated (“Prelude”). Under the terms of the agreement, we secured an exclusive option to acquire Prelude’s mutant selective JAK2V617F JH2 inhibitor program, including Prelude’s library of preclinical candidates. We paid Prelude a total of $60.0 million, comprised of an upfront payment of $35.0 million, plus a $25.0 million equity investment in Prelude. The $35.0 million upfront payment was recorded in research and development expense during the fourth quarter of 2025. We purchased 6.25 million shares of Prelude non-voting common stock at a price of $4.00 per share. Of this $25.0 million equity investment, approximately $17.1 million was expensed in research and development during the fourth quarter of 2025 as a premium above fair value of the stock purchase. The remaining $7.9 million is the initial fair value of our investment in Prelude. We are accounting for our shares held in Prelude at fair value whereby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and six months ended June 30, 2026, we recorded an unrealized gain of $11.9 million and $15.2 million, respectively based on the change in fair value of Prelude’s common stock during the period. The fair market value of our total long term investment in Prelude as of June 30, 2026 and December 31, 2025 was $33.3 million and $18.1 million, respectively.</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Prelude expects to advance the JAK2V617F program to pre-defined milestones. We may elect to exercise our exclusive option during the option period to acquire the program and associated assets from Prelude for $100.0 million. In addition, if we exercise our option, Prelude would be eligible to receive up to $775.0 million in additional clinical and regulatory milestones, and single digit royalties on global net sales.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elect to not exercise our option to acquire the program, all JAK2V617F global program rights and interests would remain in the sole ownership and control of Prelude.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Genesis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2026, we entered into a License, Research and Collaboration Agreement with Genesis Molecular AI, Inc. (“Genesis”), covering the building and deployment of artificial intelligence to accelerate the discovery of novel molecules for collaboration targets. Under the terms of the agreement, we will identify targets and Genesis will subsequently use the Genesis Exploration of Molecular Space artificial intelligence platform to identify molecular structures directed at each target. All preclinical costs related to the collaboration are subject to joint research plans. We will be responsible for leading the clinical development and global commercialization efforts.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terms of the agreement, we paid Genesis a total of $120.0 million, comprised of an upfront non-refundable payment of $80.0 million plus a $40.0 million equity investment in Genesis. In addition, Genesis is eligible to receive up to $135.0 million for the achievement of development milestones, up to $475.0 million for the achievement of regulatory milestones and up to $550.0 million for the achievement of sales milestones on the initial target programs.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$80.0 million upfront payment was determined to be a prepayment for future research and development services and thus will be amortized over the five-year term of the agreement. Research and development expenses during the three and six months ended June 30, 2026, includes $2.7 million relating to the amortization of this upfront payment. Additionally, as of June 30, 2026, $16.0 million and $61.3 million were recorded in prepaid expenses and other current assets and other assets, net, respectively, on the condensed consolidated balance sheet relating to this upfront payment.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purchased approximately 4.3 million shares of Genesis Series B-3 Preferred Stock for $40.0 million, at a price of $9.332 per share. As there is no readily determinable fair value for the shares we hold in Genesis, we have elected to account for our investment using the measurement alternative under ASC 321 whereby our investment is measured at cost, less any impairment, and adjusted for observable price changes in orderly transactions for identical or similar securities of Genesis. We monitor the investment for any observable price changes or impairment indicators. Any subsequent changes in fair value of our investment will be recognized within gain (loss) on equity investments on our condensed consolidated statements of operations. Given our intent to hold the investment for the foreseeable future, we have classified the investment within long term equity investments on the accompanying condensed consolidated balance sheets. For the three months ended June 30, 2026, we did not identify any impairment or observable price changes related to our investment in Genesis.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Other Agreements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license and collaboration agreements discussed above, we have various other license and collaboration agreements that are not individually material to our operating results or financial condition at this time. Pursuant to the terms of those agreements, we may be required to pay, or we may receive, additional amounts contingent upon the occurrence of various future events such as future discovery, development, regulatory or commercial milestones, which in the aggregate could be material. In addition, if any products related to these collaborations are approved for sale, we may be required to pay, or we may receive, royalties on future sales. The payment or receipt of these amounts, however, is contingent upon the occurrence of various future events, the likelihood of which cannot presently be determined.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8. Property and Equipment, net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consists of the following (in thousands):</w:t>
      </w:r>
    </w:p>
    <w:tbl>
      <w:tblPr>
        <w:tblW w:w="6713" w:type="dxa"/>
        <w:jc w:val="left"/>
        <w:tblInd w:w="0" w:type="dxa"/>
        <w:tblLayout w:type="fixed"/>
        <w:tblCellMar>
          <w:top w:w="28" w:type="dxa"/>
          <w:left w:w="28" w:type="dxa"/>
          <w:bottom w:w="28" w:type="dxa"/>
          <w:right w:w="28" w:type="dxa"/>
        </w:tblCellMar>
      </w:tblPr>
      <w:tblGrid>
        <w:gridCol w:w="1467"/>
        <w:gridCol w:w="1287"/>
        <w:gridCol w:w="1295"/>
        <w:gridCol w:w="211"/>
        <w:gridCol w:w="826"/>
        <w:gridCol w:w="109"/>
        <w:gridCol w:w="109"/>
        <w:gridCol w:w="109"/>
        <w:gridCol w:w="109"/>
        <w:gridCol w:w="211"/>
        <w:gridCol w:w="82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leasehold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1,113,383 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1,105,951 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709,469 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730,885 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May 2024, we purchased additional property in Wilmington, Delaware, including land, office buildings and parking garages for a purchase price of $48.7 million. Subsequent to the purchase, we incurred additional construction costs of approximately $28.6 million through December 2025. During December 2025, the downtown Wilmington, Delaware properties met the criteria to be classified as assets held for sale. As a result of this classification, we recorded an asset impairment charge of $76.3 million on our consolidated statement of operations for the year ended December 31, 2025 relating to the downtown Wilmington properties in order to reflect the properties at the lower of their carrying amount or estimated fair value less cost to sell as of December 31, 2025. The estimated fair value less cost to sell of the properties was recorded within the Prepaid expenses and other current assets line item on our consolidated balance sheet as of December 31, 2025. During the three months ended March 31, 2026, we sold these downtown properties, and recognized an additional $23.2 million of expenses relating to disposal costs, which are included in Asset impairment and related disposal costs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9. Accrued and Other Current Liabilities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Accrued and other current liabilities consisted of the following (in thousands):</w:t>
      </w:r>
    </w:p>
    <w:tbl>
      <w:tblPr>
        <w:tblW w:w="6423" w:type="dxa"/>
        <w:jc w:val="left"/>
        <w:tblInd w:w="0" w:type="dxa"/>
        <w:tblLayout w:type="fixed"/>
        <w:tblCellMar>
          <w:top w:w="28" w:type="dxa"/>
          <w:left w:w="28" w:type="dxa"/>
          <w:bottom w:w="28" w:type="dxa"/>
          <w:right w:w="28" w:type="dxa"/>
        </w:tblCellMar>
      </w:tblPr>
      <w:tblGrid>
        <w:gridCol w:w="1259"/>
        <w:gridCol w:w="1108"/>
        <w:gridCol w:w="1112"/>
        <w:gridCol w:w="354"/>
        <w:gridCol w:w="388"/>
        <w:gridCol w:w="393"/>
        <w:gridCol w:w="109"/>
        <w:gridCol w:w="109"/>
        <w:gridCol w:w="109"/>
        <w:gridCol w:w="506"/>
        <w:gridCol w:w="402"/>
        <w:gridCol w:w="574"/>
      </w:tblGrid>
      <w:tr>
        <w:trPr/>
        <w:tc>
          <w:tcPr>
            <w:tcW w:w="125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40,678</w:t>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related costs</w:t>
            </w:r>
          </w:p>
        </w:tc>
        <w:tc>
          <w:tcPr>
            <w:tcW w:w="113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164,368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175,932</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allowances</w:t>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526,435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642,468</w:t>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3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60,341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71,248</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4,755</w:t>
            </w:r>
          </w:p>
        </w:tc>
      </w:tr>
      <w:tr>
        <w:trPr/>
        <w:tc>
          <w:tcPr>
            <w:tcW w:w="34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3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5,697</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68,539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90,723</w:t>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and other current liabilities</w:t>
            </w:r>
          </w:p>
        </w:tc>
        <w:tc>
          <w:tcPr>
            <w:tcW w:w="354"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870,306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1,031,501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Note 10. Other Comprehensive Income (Loss)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activity related to each component of accumulated other comprehensive income (loss) during the six months ended June 30, 2026 and 2025: </w:t>
      </w:r>
    </w:p>
    <w:tbl>
      <w:tblPr>
        <w:tblW w:w="10205" w:type="dxa"/>
        <w:jc w:val="left"/>
        <w:tblInd w:w="0" w:type="dxa"/>
        <w:tblLayout w:type="fixed"/>
        <w:tblCellMar>
          <w:top w:w="28" w:type="dxa"/>
          <w:left w:w="28" w:type="dxa"/>
          <w:bottom w:w="28" w:type="dxa"/>
          <w:right w:w="28" w:type="dxa"/>
        </w:tblCellMar>
      </w:tblPr>
      <w:tblGrid>
        <w:gridCol w:w="1251"/>
        <w:gridCol w:w="703"/>
        <w:gridCol w:w="705"/>
        <w:gridCol w:w="321"/>
        <w:gridCol w:w="1099"/>
        <w:gridCol w:w="166"/>
        <w:gridCol w:w="109"/>
        <w:gridCol w:w="109"/>
        <w:gridCol w:w="109"/>
        <w:gridCol w:w="371"/>
        <w:gridCol w:w="1172"/>
        <w:gridCol w:w="192"/>
        <w:gridCol w:w="109"/>
        <w:gridCol w:w="109"/>
        <w:gridCol w:w="109"/>
        <w:gridCol w:w="264"/>
        <w:gridCol w:w="952"/>
        <w:gridCol w:w="136"/>
        <w:gridCol w:w="109"/>
        <w:gridCol w:w="109"/>
        <w:gridCol w:w="109"/>
        <w:gridCol w:w="366"/>
        <w:gridCol w:w="1252"/>
        <w:gridCol w:w="274"/>
      </w:tblGrid>
      <w:tr>
        <w:trPr/>
        <w:tc>
          <w:tcPr>
            <w:tcW w:w="125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2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(Amounts presented net of taxes)</w:t>
            </w:r>
          </w:p>
        </w:tc>
        <w:tc>
          <w:tcPr>
            <w:tcW w:w="1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Gains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Unrealized Gains (Losses) on Marketable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Defined Benefit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r>
      <w:tr>
        <w:trPr/>
        <w:tc>
          <w:tcPr>
            <w:tcW w:w="2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January 1, 2026</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51,433 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(27,965)</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25,462 </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before reclassifications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 reclassified from accumulated other comprehensive income (loss)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(loss) income</w:t>
            </w:r>
          </w:p>
        </w:tc>
        <w:tc>
          <w:tcPr>
            <w:tcW w:w="14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(4,485)</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(5,744)</w:t>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June 30, 2026</w:t>
            </w:r>
          </w:p>
        </w:tc>
        <w:tc>
          <w:tcPr>
            <w:tcW w:w="3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49,710 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(27,501)</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19,718 </w:t>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7"/>
        <w:gridCol w:w="716"/>
        <w:gridCol w:w="719"/>
        <w:gridCol w:w="308"/>
        <w:gridCol w:w="1054"/>
        <w:gridCol w:w="159"/>
        <w:gridCol w:w="109"/>
        <w:gridCol w:w="109"/>
        <w:gridCol w:w="109"/>
        <w:gridCol w:w="373"/>
        <w:gridCol w:w="1091"/>
        <w:gridCol w:w="194"/>
        <w:gridCol w:w="109"/>
        <w:gridCol w:w="109"/>
        <w:gridCol w:w="109"/>
        <w:gridCol w:w="270"/>
        <w:gridCol w:w="979"/>
        <w:gridCol w:w="139"/>
        <w:gridCol w:w="109"/>
        <w:gridCol w:w="109"/>
        <w:gridCol w:w="109"/>
        <w:gridCol w:w="375"/>
        <w:gridCol w:w="1313"/>
        <w:gridCol w:w="287"/>
      </w:tblGrid>
      <w:tr>
        <w:trPr/>
        <w:tc>
          <w:tcPr>
            <w:tcW w:w="124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(Amounts presented net of taxes)</w:t>
            </w:r>
          </w:p>
        </w:tc>
        <w:tc>
          <w:tcPr>
            <w:tcW w:w="15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Unrealized Gains on Marketable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Defined Benefit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r>
      <w:tr>
        <w:trPr/>
        <w:tc>
          <w:tcPr>
            <w:tcW w:w="2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January 1, 2025</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(39,923)</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(13,121)</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reclassifications</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 reclassified from accumulated other comprehensive income</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income</w:t>
            </w:r>
          </w:p>
        </w:tc>
        <w:tc>
          <w:tcPr>
            <w:tcW w:w="13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24,505 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26,560 </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June 30, 2025</w:t>
            </w:r>
          </w:p>
        </w:tc>
        <w:tc>
          <w:tcPr>
            <w:tcW w:w="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50,961 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(38,835)</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13,439 </w:t>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11. Stock Compensation</w:t>
      </w:r>
    </w:p>
    <w:p>
      <w:pPr>
        <w:pStyle w:val="TextBody"/>
        <w:bidi w:val="0"/>
        <w:spacing w:lineRule="auto" w:line="288" w:before="240" w:after="240"/>
        <w:ind w:left="0" w:right="0" w:firstLine="720"/>
        <w:jc w:val="both"/>
        <w:rPr/>
      </w:pPr>
      <w:r>
        <w:rPr>
          <w:rFonts w:ascii="Times New Roman;serif" w:hAnsi="Times New Roman;serif"/>
          <w:b w:val="false"/>
          <w:i/>
          <w:color w:val="000000"/>
          <w:sz w:val="20"/>
        </w:rPr>
        <w:t>2010 Stock Incentive Plan.</w:t>
      </w:r>
      <w:r>
        <w:rPr>
          <w:color w:val="000000"/>
        </w:rPr>
        <w:t xml:space="preserve"> </w:t>
      </w:r>
      <w:r>
        <w:rPr>
          <w:rFonts w:ascii="Times New Roman;serif" w:hAnsi="Times New Roman;serif"/>
          <w:b w:val="false"/>
          <w:color w:val="000000"/>
          <w:sz w:val="20"/>
        </w:rPr>
        <w:t>Under our Amended and Restated 2010 Stock Incentive Plan, as amended (the “2010 Stock Plan”), we may issue common stock to employees, non-employee directors, consultants, and scientific advisors. Awards under the 2010 Stock Plan include stock options, restricted stock units (“RSUs”) and performance shares (“PSUs”). A total of 74,953,475 shares of common stock are reserved for issuance pursuant to the 2010 Stock Plan.</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2024 Inducement Stock Incentive Plan. </w:t>
      </w:r>
      <w:r>
        <w:rPr>
          <w:rFonts w:ascii="Times New Roman;serif" w:hAnsi="Times New Roman;serif"/>
          <w:b w:val="false"/>
          <w:color w:val="000000"/>
          <w:sz w:val="20"/>
        </w:rPr>
        <w:t>Our Board of Directors has adopted the Incyte Corporation 2024 Inducement Stock Incentive Plan, as amended (the “2024 Inducement Plan”). In reliance on Nasdaq Marketplace Rule 5635(c)(4), stockholder approval was not obtained. A total of 2,000,000 shares of common stock are reserved for issuance pursuant to the 2024 Inducement Plan.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recorded $67.3 million and $131.4 million of stock compensation expense on our condensed consolidated statements of operations for the three and six months ended June 30, 2026, respectively. We recorded $64.6 million and $125.6 million of stock compensation expense on our condensed consolidated statements of operations for the three and six months ended June 30, 2025, respectively. Stock compensation expense included within our condensed consolidated statements of operations included research and development expense of $38.2 million, $77.4 million, $37.7 million and $74.4 million for the three and six months ended June 30, 2026 and 2025, respectively. Stock compensation expense included within our condensed consolidated statements of operations also included selling, general and administrative expense of $28.2 million, $52.2 million, $26.1 million and $49.5 million for the three and six months ended June 30, 2026 and 2025, respectively. Stock compensation expense included within our condensed consolidated statements of operations also included cost of sales of $0.9 million, $1.8 million, $0.8 million and $1.7 million, respectively, for the three and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utilized the Black-Scholes valuation model for estimating the fair value of the stock compensation granted, with the following weighted-average assumptions:</w:t>
      </w:r>
    </w:p>
    <w:tbl>
      <w:tblPr>
        <w:tblW w:w="12724" w:type="dxa"/>
        <w:jc w:val="left"/>
        <w:tblInd w:w="0" w:type="dxa"/>
        <w:tblLayout w:type="fixed"/>
        <w:tblCellMar>
          <w:top w:w="28" w:type="dxa"/>
          <w:left w:w="28" w:type="dxa"/>
          <w:bottom w:w="28" w:type="dxa"/>
          <w:right w:w="28" w:type="dxa"/>
        </w:tblCellMar>
      </w:tblPr>
      <w:tblGrid>
        <w:gridCol w:w="971"/>
        <w:gridCol w:w="380"/>
        <w:gridCol w:w="255"/>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316"/>
      </w:tblGrid>
      <w:tr>
        <w:trPr/>
        <w:tc>
          <w:tcPr>
            <w:tcW w:w="97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Employee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Employee Stock Purchase Plan</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3"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8"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risk-free interest rates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expected life (in years)</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fair value (in dollars)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 Nonemployee awards are measured on the grant date by estimating the fair value of the equity instruments to be issued using the expected term, similar to our employee awards.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Option activity under our 2010 Stock Plan and 2024 Inducement Plan was as follows:</w:t>
      </w:r>
    </w:p>
    <w:tbl>
      <w:tblPr>
        <w:tblW w:w="5469" w:type="dxa"/>
        <w:jc w:val="left"/>
        <w:tblInd w:w="0" w:type="dxa"/>
        <w:tblLayout w:type="fixed"/>
        <w:tblCellMar>
          <w:top w:w="28" w:type="dxa"/>
          <w:left w:w="28" w:type="dxa"/>
          <w:bottom w:w="28" w:type="dxa"/>
          <w:right w:w="28" w:type="dxa"/>
        </w:tblCellMar>
      </w:tblPr>
      <w:tblGrid>
        <w:gridCol w:w="939"/>
        <w:gridCol w:w="825"/>
        <w:gridCol w:w="830"/>
        <w:gridCol w:w="348"/>
        <w:gridCol w:w="348"/>
        <w:gridCol w:w="353"/>
        <w:gridCol w:w="109"/>
        <w:gridCol w:w="109"/>
        <w:gridCol w:w="109"/>
        <w:gridCol w:w="291"/>
        <w:gridCol w:w="996"/>
        <w:gridCol w:w="212"/>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Subject to</w:t>
              <w:br/>
              <w:t>Outstanding Options</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Exercise Price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10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10,859,861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83.46 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(2,058,609)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cancelled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104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8,983,500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annual stock option grants generally have a 10-year term and vest over four years, with 25% vesting after one year and the remainder vesting in 36 equal monthly installments, subject to customary retirement provisions that may accelerate the requisite service period for expense recognition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RSU and PSU award activity under the 2010 Stock Plan and 2024 Inducement Plan was as follows:</w:t>
      </w:r>
    </w:p>
    <w:tbl>
      <w:tblPr>
        <w:tblW w:w="5306" w:type="dxa"/>
        <w:jc w:val="left"/>
        <w:tblInd w:w="0" w:type="dxa"/>
        <w:tblLayout w:type="fixed"/>
        <w:tblCellMar>
          <w:top w:w="28" w:type="dxa"/>
          <w:left w:w="28" w:type="dxa"/>
          <w:bottom w:w="28" w:type="dxa"/>
          <w:right w:w="28" w:type="dxa"/>
        </w:tblCellMar>
      </w:tblPr>
      <w:tblGrid>
        <w:gridCol w:w="939"/>
        <w:gridCol w:w="825"/>
        <w:gridCol w:w="830"/>
        <w:gridCol w:w="309"/>
        <w:gridCol w:w="309"/>
        <w:gridCol w:w="313"/>
        <w:gridCol w:w="109"/>
        <w:gridCol w:w="109"/>
        <w:gridCol w:w="109"/>
        <w:gridCol w:w="282"/>
        <w:gridCol w:w="966"/>
        <w:gridCol w:w="206"/>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Subject to</w:t>
              <w:br/>
              <w:t>Outstanding Awards</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 Date Value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9,275,450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66.86 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RSUs granted </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 granted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PSUs earned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released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 released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RSUs cancelled </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 cancelled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93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9,069,230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RSUs and PSUs are granted to our employees at the share price on the date of grant. Each RSU represents the right to acquire one share of our common stock. Each RSU granted in connection with our annual equity awards will vest 25% annually over four years, while each RSU granted as outstanding merit awards or as part of retention award programs will vest in a single installment at the end of four years, subject to customary retirement provisions that may accelerate the requisite service period for expense recognition purposes.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grant PSUs with performance and/or service-based milestones with graded and/or cliff vesting over three to six years. The shares of our common stock into which each PSU may convert is subject to a multiplier based on the level at which the financial, developmental and market performance conditions are achieved over the service period. Compensation expense for PSUs with financial and developmental performance conditions is recorded over the estimated service period for each milestone when the performance conditions are deemed probable of achievement. For PSUs containing performance conditions which were not deemed probable of achievement, no stock compensation expense is recorded. Compensation expense for PSUs with market performance conditions is calculated using a Monte Carlo simulation model as of the date of grant and recorded over the requisite service period. For the three and six months ended June 30, 2026, we recorded $8.4 million and $15.4 million, respectively, of stock compensation expense for PSUs on our condensed consolidated statements of operations. For the three and six months ended June 30, 2025 we recorded $6.9 million and $10.0 million, respectively, of stock compensation expense for PSUs on our condensed consolidated statements of operations.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shares available for grant under the 2010 Stock Plan and 2024 Inducement Plan. Each RSU and PSU grant reduces the available share pool by one share.</w:t>
      </w:r>
    </w:p>
    <w:tbl>
      <w:tblPr>
        <w:tblW w:w="7678" w:type="dxa"/>
        <w:jc w:val="left"/>
        <w:tblInd w:w="0" w:type="dxa"/>
        <w:tblLayout w:type="fixed"/>
        <w:tblCellMar>
          <w:top w:w="28" w:type="dxa"/>
          <w:left w:w="28" w:type="dxa"/>
          <w:bottom w:w="28" w:type="dxa"/>
          <w:right w:w="28" w:type="dxa"/>
        </w:tblCellMar>
      </w:tblPr>
      <w:tblGrid>
        <w:gridCol w:w="2286"/>
        <w:gridCol w:w="2008"/>
        <w:gridCol w:w="2020"/>
        <w:gridCol w:w="399"/>
        <w:gridCol w:w="399"/>
        <w:gridCol w:w="566"/>
      </w:tblGrid>
      <w:tr>
        <w:trPr/>
        <w:tc>
          <w:tcPr>
            <w:tcW w:w="2286"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6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 Available</w:t>
              <w:br/>
              <w:t>for Grant</w:t>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136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9,059,040</w:t>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RSUs and PSUs granted and issuance of shares for services rendered</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(871,896)</w:t>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RSUs and PSUs cancelled</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528,074</w:t>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136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8,715,218</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estimate an annualized forfeiture rate for our options, RSUs and PSUs. Under the true-up provisions of the stock compensation guidance, we will record additional expense if the actual forfeiture rate is lower than we estimated, and will record a recovery of prior expense if the actual forfeiture is higher than we estimated.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Total compensation cost of options granted but not yet vested, as of June 30, 2026, was $20.8 million, which is expected to be recognized over the weighted average period of approximately 1.1 years. Total compensation cost of RSUs granted but not yet vested, as of June 30, 2026, was $177.1 million, which is expected to be recognized over the weighted average period of approximately 1.2 years. Total compensation cost of PSUs granted but not yet vested, as of June 30, 2026, was $28.0 million, which is expected to be recognized over the weighted average period of 1.9 years, should the underlying performance conditions be deemed probable of achievement.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12. Income Taxes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we recorded the following provisions for income taxes and effective tax rates as compared to our income before provision for income taxes (in thousands):</w:t>
      </w:r>
    </w:p>
    <w:tbl>
      <w:tblPr>
        <w:tblW w:w="9239" w:type="dxa"/>
        <w:jc w:val="left"/>
        <w:tblInd w:w="0" w:type="dxa"/>
        <w:tblLayout w:type="fixed"/>
        <w:tblCellMar>
          <w:top w:w="28" w:type="dxa"/>
          <w:left w:w="28" w:type="dxa"/>
          <w:bottom w:w="28" w:type="dxa"/>
          <w:right w:w="28" w:type="dxa"/>
        </w:tblCellMar>
      </w:tblPr>
      <w:tblGrid>
        <w:gridCol w:w="1259"/>
        <w:gridCol w:w="1108"/>
        <w:gridCol w:w="1112"/>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751,514 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558,012 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1,095,114 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792,202 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r>
    </w:tbl>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effective tax rates for the three and six months ended June 30, 2026 were favorably impacted by tax benefits associated with the generation of tax credits and foreign tax effects. This was mostly offset by a net increase in valuation allowances against certain U.S. federal and state deferred tax assets. In addition, our effective tax rate for the six months ended June 30, 2026 was favorably impacted by changes in unrecognized tax benefits. Our effective tax rates for the three and six months ended June 30, 2025 were unfavorably impacted by an increase in valuation allowances against certain U.S. federal and state deferred tax assets. This was partially offset by tax rate benefits associated with the generation of tax credits and the effects of cross-border tax laws.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effective tax rates for the three and six months ended June 30, 2026 were favorable as compared to the three and six months ended June 30, 2025 due to reversals of certain foreign valuation allowances and the impacts of the One Big Beautiful Bill Act (“OBBBA”) discussed below. The effective tax rate for the six months ended June 30, 2026 was also favorably impacted as compared to the prior year due to the recognition of previously unrecognized tax benefits and reversals of certain U.S. valuation allowances.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accrue interest and penalties related to unrecognized tax benefits as a component of the provision for income taxes.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One or more of our legal entities file income tax returns in the U.S. and in certain foreign jurisdictions. Our income tax returns may be examined by tax authorities in those jurisdictions. Significant disputes may arise with tax authorities involving issues such as the timing and amount of deductions, the use of tax credits and allocations of income and expenses among various tax jurisdictions because of differing interpretations of tax laws and regulations and relevant facts. We were under U.S. federal audit for the 2021 tax year; during the first quarter of 2026, the federal audit for tax year 2021 was completed with no material matters identified.</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Organization for Economic Cooperation and Development Pillar 2 guidelines, supported by over 130 countries worldwide, establish a 15% global minimum tax on adjusted financial results. Pillar 2 legislation has been enacted in multiple jurisdictions in which we operate and became effective beginning in 2024. We have evaluated the impact of Pillar 2 on our business, and determined there are no material impacts on our effective tax rate at this time. We will continue to monitor additional enactments and guidance as they occur and assess any future impacts in the period they become effective.</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2025, the U.S. enacted the OBBBA, which modified certain provisions of the Tax Cuts and Jobs Act of 2017, including those related to the expensing of domestic research and development costs, the deduction for foreign-derived intangible income, and the global intangible low-taxed income regime. The OBBBA also introduced multiple elections related to the treatment of domestic research and development expenditures. As a result of these changes, we expect to fully deduct certain expenditures for which deferred tax assets had previously been recorded and, accordingly, no longer maintain a valuation allowance against such amounts. The absence of these deferred tax assets and related valuation allowance continues to have a favorable impact on our effective tax rate for the current period. We will continue to evaluate the application of the OBBBA’s various elections in connection with the preparation of our income tax return.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13. Net Income Per Share</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income per share was calculated as follows for the periods indicated below:</w:t>
      </w:r>
    </w:p>
    <w:tbl>
      <w:tblPr>
        <w:tblW w:w="10205" w:type="dxa"/>
        <w:jc w:val="left"/>
        <w:tblInd w:w="0" w:type="dxa"/>
        <w:tblLayout w:type="fixed"/>
        <w:tblCellMar>
          <w:top w:w="28" w:type="dxa"/>
          <w:left w:w="28" w:type="dxa"/>
          <w:bottom w:w="28" w:type="dxa"/>
          <w:right w:w="28" w:type="dxa"/>
        </w:tblCellMar>
      </w:tblPr>
      <w:tblGrid>
        <w:gridCol w:w="1703"/>
        <w:gridCol w:w="1451"/>
        <w:gridCol w:w="143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03"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888,935 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563,202 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193,853</w:t>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share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563,202 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193,853</w:t>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stock options and awards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shares used to compute diluted net income per share </w:t>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198,526</w:t>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potential common shares that were excluded from the diluted net income per share computation are as follows:</w:t>
      </w:r>
    </w:p>
    <w:tbl>
      <w:tblPr>
        <w:tblW w:w="8511" w:type="dxa"/>
        <w:jc w:val="left"/>
        <w:tblInd w:w="0" w:type="dxa"/>
        <w:tblLayout w:type="fixed"/>
        <w:tblCellMar>
          <w:top w:w="28" w:type="dxa"/>
          <w:left w:w="28" w:type="dxa"/>
          <w:bottom w:w="28" w:type="dxa"/>
          <w:right w:w="28" w:type="dxa"/>
        </w:tblCellMar>
      </w:tblPr>
      <w:tblGrid>
        <w:gridCol w:w="1163"/>
        <w:gridCol w:w="1020"/>
        <w:gridCol w:w="1026"/>
        <w:gridCol w:w="355"/>
        <w:gridCol w:w="355"/>
        <w:gridCol w:w="221"/>
        <w:gridCol w:w="178"/>
        <w:gridCol w:w="178"/>
        <w:gridCol w:w="178"/>
        <w:gridCol w:w="395"/>
        <w:gridCol w:w="395"/>
        <w:gridCol w:w="246"/>
        <w:gridCol w:w="109"/>
        <w:gridCol w:w="109"/>
        <w:gridCol w:w="109"/>
        <w:gridCol w:w="309"/>
        <w:gridCol w:w="309"/>
        <w:gridCol w:w="313"/>
        <w:gridCol w:w="154"/>
        <w:gridCol w:w="154"/>
        <w:gridCol w:w="154"/>
        <w:gridCol w:w="325"/>
        <w:gridCol w:w="325"/>
        <w:gridCol w:w="431"/>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 and awards</w:t>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2,337,323</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12,368,632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2,325,579</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11,955,851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14. Employee Benefit Plans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Defined Contribution Plans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a defined contribution plan qualified under Section 401(k) of the Internal Revenue Code covering all U.S. employees and defined contribution plans for other Incyte employees in Europe and Japan. Employees may contribute a portion of their compensation, which is then matched by us, subject to certain limitations. Defined contribution expense for the three and six months ended June 30, 2026 was $6.3 million and $12.7 million, respectively. Defined contribution expense for the three and six months ended June 30, 2025 was $5.7 million and $11.5 million, respectively.</w:t>
      </w:r>
    </w:p>
    <w:p>
      <w:pPr>
        <w:pStyle w:val="TextBody"/>
        <w:bidi w:val="0"/>
        <w:spacing w:lineRule="auto" w:line="288" w:before="240" w:after="283"/>
        <w:jc w:val="both"/>
        <w:rPr/>
      </w:pPr>
      <w:r>
        <w:rPr>
          <w:rFonts w:ascii="Times New Roman;serif" w:hAnsi="Times New Roman;serif"/>
          <w:b w:val="false"/>
          <w:i/>
          <w:color w:val="000000"/>
          <w:sz w:val="20"/>
        </w:rPr>
        <w:t>Defined Benefit Pension Plans</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net periodic benefit cost was as follows (in thousands):</w:t>
      </w:r>
    </w:p>
    <w:tbl>
      <w:tblPr>
        <w:tblW w:w="7605" w:type="dxa"/>
        <w:jc w:val="left"/>
        <w:tblInd w:w="0" w:type="dxa"/>
        <w:tblLayout w:type="fixed"/>
        <w:tblCellMar>
          <w:top w:w="28" w:type="dxa"/>
          <w:left w:w="28" w:type="dxa"/>
          <w:bottom w:w="28" w:type="dxa"/>
          <w:right w:w="28" w:type="dxa"/>
        </w:tblCellMar>
      </w:tblPr>
      <w:tblGrid>
        <w:gridCol w:w="1025"/>
        <w:gridCol w:w="901"/>
        <w:gridCol w:w="9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actuarial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components of net periodic benefit cost other than the service cost component are included in Other, net on the condensed consolidated statements of operations. We expect to contribute a total of $12.6 million to the pension plans in 2026 inclusive of the amounts contributed to the plan during the current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15. Commitments and Contingencies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Commitments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2021, we entered into a revolving credit and guaranty agreement, which was subsequently amended in May 2023 and June 2024 (as amended, the “Credit Agreement”), among Incyte Corporation, as borrower, our subsidiary Incyte Holdings Corporation, as a guarantor, a group of lenders (the “Lenders”), and J.P. Morgan Chase Bank, N.A., as administrative agent. Under the Credit Agreement, the Lenders have committed to provide an unsecured revolving credit facility in an aggregate principal amount of up to $500.0 million. The June 2024 amendment to the Credit Agreement extended the maturity date of the revolving credit facility from August 2024 to June 2027. We may increase the maximum revolving commitments or add one or more incremental term loan facilities to the Credit Agreement, subject to obtaining commitments from any participating lenders and certain other conditions, in an amount not to exceed (1) $250.0 million plus (2) an additional amount, so long as after giving effect to the incurrence of such additional amount, our pro forma consolidated leverage ratio would not exceed 0.25:1.00 above our consolidated leverage ratio in effect immediately prior to giving effect to such increase.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Loans under the Credit Agreement will bear interest, at our option, at a per annum rate equal to either (a) a base rate (but not less than 1.00%) plus an applicable rate per annum varying from 0.125% to 0.875% depending on our consolidated leverage ratio or (b) a rate based on the secured overnight financing rate (“SOFR”) plus a credit spread adjustment of 0.10% (but not less than 0.00%), plus an applicable rate per annum varying from 1.125% to 1.875% depending on our consolidated leverage ratio. Commitment fees payable on the undrawn commitment range from 0.15% per annum to 0.225% per annum, based on our consolidated leverage ratio. We may, at our option, prepay any borrowings under the Credit Agreement, in whole or in part, at any time and from time to time without premium or penalty, subject to customary exceptions. As of June 30, 2026 and December 31, 2025, we had no outstanding borrowings or letters of credit outstanding and were in compliance with all covenants under this facility.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Contingencies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ordinary course of our business, we may become involved in lawsuits, proceedings, and other disputes, including commercial, intellectual property, regulatory, employment, and other matters. The outcome of these disputes, regardless of the merits, is inherently uncertain and it is possible that an unfavorable resolution of these matters could adversely affect us, our results of operations, financial condition or cash flows. We record a reserve for these matters when it is both probable that a liability has been incurred and the amount of the loss can be reasonably estimated.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entered into the collaboration agreements described in Note 7, as well as various other collaboration agreements that are not individually, or in the aggregate, significant to our operating results or financial condition at this time. We may in the future seek to license additional rights relating to technologies or drug development candidates in connection with our drug discovery and development programs. Under these agreements, we may be required to pay upfront fees, milestone payments, and royalties on sales of future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brought a lawsuit against CMS alleging that a regulation issued by CMS on the definition of “line extension” for purposes of the Medicaid rebate program was too broad and had the unintended consequence of treating OPZELURA as a “line extension” of JAKAFI under this program. In the second quarter of 2026, we reached an agreement with CMS to resolve our litigation related to the application of Medicaid rebate rules to OPZELURA (ruxolitinib) cream. Under the agreement, CMS will not apply the line extension regulation to OPZELURA as if it were a line extension of JAKAFI (ruxolitinib). In the second quarter of 2026, we recorded a one-time, non-cash benefit of $246.0 million in net sales on the condensed consolidated statements of operations, associated with the reversal of previously established accrual balances through March 31, 2026, related to liabilities associated with the potential application of the line extension regulations to OPZELURA. We will no longer accrue for the potential application of the line extension regulations to OPZELURA.</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have various patent disputes and litigation initiated by us related to potential generic or other competition for our products, as described under Part II, Item 1A. “Risk Factors—Risks Relating to Commercialization of Our Products— Competition for our products could harm our business and result in a decrease in our revenue”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16. Segment Information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operate in one operating segment, and therefore one reportable segment, focused on the global discovery, development and commercialization of proprietary therapeutics. We manage business activities on a consolidated basis through the development and commercialization of oncology and dermatology products, which are sold to U.S. and international customers. Our determination that we operate as a single operating segment is consistent with the financial information regularly reviewed by the chief operating decision maker for purposes of evaluating performance, allocating resources, setting incentive compensation targets, and planning and forecasting for future periods. Our chief operating decision maker is the Chief Executive Officer.</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accounting policies for our single operating segment are the same as those described in the summary of significant accounting policies in our Annual Report on Form 10-K for the year ended December 31, 2025. Our single operating segment generates net sales from the development and commercialization of oncology and dermatology pharmaceutical products, which are developed by our research and development department, as well as from product royalties, milestone and contract revenues from the out-licensing of our intellectual property to third parties.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our segment, the chief operating decision maker uses net income or loss, that also is reported on the condensed consolidated statements of operations as consolidated net income, to allocate resources (including employees, property, and financial resources), predominantly during the annual budget and forecasting process. The chief operating decision maker also uses consolidated net income or loss, along with non-financial inputs and qualitative information, to evaluate our performance, establish compensation, monitor budget versus actual results, and decide the level of investment in our various operating activities and other capital allocation activities. The measure of segment assets is reported on the condensed consolidated balance sheet as total consolidated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income for our segment was as follows (in thousands):</w:t>
      </w:r>
    </w:p>
    <w:tbl>
      <w:tblPr>
        <w:tblW w:w="10205" w:type="dxa"/>
        <w:jc w:val="left"/>
        <w:tblInd w:w="0" w:type="dxa"/>
        <w:tblLayout w:type="fixed"/>
        <w:tblCellMar>
          <w:top w:w="28" w:type="dxa"/>
          <w:left w:w="28" w:type="dxa"/>
          <w:bottom w:w="28" w:type="dxa"/>
          <w:right w:w="28" w:type="dxa"/>
        </w:tblCellMar>
      </w:tblPr>
      <w:tblGrid>
        <w:gridCol w:w="1699"/>
        <w:gridCol w:w="1137"/>
        <w:gridCol w:w="1158"/>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69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88" w:type="dxa"/>
            <w:gridSpan w:val="15"/>
            <w:tcBorders/>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1,488,149 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1,059,414 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2,592,633 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1,981,688 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royalty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Milestone and contract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1,674,039 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1,215,529 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2,946,715 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2,268,427 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expenses and other:</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(including definite-lived intangible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dispute settlement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(242,251)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 - internal</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 - external</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research and development</w:t>
            </w:r>
            <w:r>
              <w:rPr>
                <w:rFonts w:ascii="Times New Roman;serif" w:hAnsi="Times New Roman;serif"/>
                <w:b w:val="false"/>
                <w:color w:val="000000"/>
                <w:sz w:val="13"/>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and related disposal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change in fair value of acquisition-related contingent consideration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888,935 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563,202 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3"/>
        </w:rPr>
        <w:t>1.</w:t>
      </w:r>
      <w:r>
        <w:rPr>
          <w:rFonts w:ascii="Times New Roman;serif" w:hAnsi="Times New Roman;serif"/>
          <w:b w:val="false"/>
          <w:color w:val="000000"/>
          <w:sz w:val="20"/>
        </w:rPr>
        <w:t>Research and development - internal is comprised of internally generated costs such as salaries, travel, regulatory costs, lab costs, contracting, etc.</w:t>
      </w:r>
    </w:p>
    <w:p>
      <w:pPr>
        <w:pStyle w:val="TextBody"/>
        <w:bidi w:val="0"/>
        <w:spacing w:lineRule="auto" w:line="288" w:before="0" w:after="0"/>
        <w:ind w:left="0" w:right="0" w:hanging="180"/>
        <w:jc w:val="both"/>
        <w:rPr/>
      </w:pPr>
      <w:r>
        <w:rPr>
          <w:rFonts w:ascii="Times New Roman;serif" w:hAnsi="Times New Roman;serif"/>
          <w:b w:val="false"/>
          <w:color w:val="000000"/>
          <w:sz w:val="13"/>
        </w:rPr>
        <w:t>2.</w:t>
      </w:r>
      <w:r>
        <w:rPr>
          <w:rFonts w:ascii="Times New Roman;serif" w:hAnsi="Times New Roman;serif"/>
          <w:b w:val="false"/>
          <w:color w:val="000000"/>
          <w:sz w:val="20"/>
        </w:rPr>
        <w:t>Research and development - external is comprised of specific program spend with external vendors (i.e. contract manufacturing organizations, contract research organizations and lab vendors for clinical, technical operations and toxicology services).</w:t>
      </w:r>
    </w:p>
    <w:p>
      <w:pPr>
        <w:pStyle w:val="TextBody"/>
        <w:bidi w:val="0"/>
        <w:spacing w:lineRule="auto" w:line="288" w:before="0" w:after="0"/>
        <w:ind w:left="0" w:right="0" w:hanging="180"/>
        <w:jc w:val="both"/>
        <w:rPr/>
      </w:pPr>
      <w:r>
        <w:rPr>
          <w:rFonts w:ascii="Times New Roman;serif" w:hAnsi="Times New Roman;serif"/>
          <w:b w:val="false"/>
          <w:color w:val="000000"/>
          <w:sz w:val="13"/>
        </w:rPr>
        <w:t>3.</w:t>
      </w:r>
      <w:r>
        <w:rPr>
          <w:rFonts w:ascii="Times New Roman;serif" w:hAnsi="Times New Roman;serif"/>
          <w:b w:val="false"/>
          <w:color w:val="000000"/>
          <w:sz w:val="20"/>
        </w:rPr>
        <w:t>Other research and development is comprised of all other costs including certain one-time costs resulting from the acquisition of IPR&amp;D assets and one-time development milestone expenses.</w:t>
      </w:r>
    </w:p>
    <w:p>
      <w:pPr>
        <w:pStyle w:val="TextBody"/>
        <w:bidi w:val="0"/>
        <w:spacing w:lineRule="auto" w:line="288" w:before="0" w:after="0"/>
        <w:ind w:left="0" w:right="0" w:hanging="180"/>
        <w:jc w:val="both"/>
        <w:rPr/>
      </w:pPr>
      <w:r>
        <w:rPr>
          <w:rFonts w:ascii="Times New Roman;serif" w:hAnsi="Times New Roman;serif"/>
          <w:b w:val="false"/>
          <w:color w:val="000000"/>
          <w:sz w:val="13"/>
        </w:rPr>
        <w:t>4.</w:t>
      </w:r>
      <w:r>
        <w:rPr>
          <w:rFonts w:ascii="Times New Roman;serif" w:hAnsi="Times New Roman;serif"/>
          <w:b w:val="false"/>
          <w:color w:val="000000"/>
          <w:sz w:val="20"/>
        </w:rPr>
        <w:t>Other segment items is comprised of interest income, interest expense, realized and unrealized gain (loss) on equity investments, other, net, and provision for income taxes.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Total Revenues by Geographic Location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revenues by geographic region consisted of the following (in thousands):</w:t>
      </w:r>
    </w:p>
    <w:tbl>
      <w:tblPr>
        <w:tblW w:w="7575" w:type="dxa"/>
        <w:jc w:val="left"/>
        <w:tblInd w:w="0" w:type="dxa"/>
        <w:tblLayout w:type="fixed"/>
        <w:tblCellMar>
          <w:top w:w="28" w:type="dxa"/>
          <w:left w:w="28" w:type="dxa"/>
          <w:bottom w:w="28" w:type="dxa"/>
          <w:right w:w="28" w:type="dxa"/>
        </w:tblCellMar>
      </w:tblPr>
      <w:tblGrid>
        <w:gridCol w:w="495"/>
        <w:gridCol w:w="434"/>
        <w:gridCol w:w="436"/>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49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1,560,110 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1,132,353 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2,731,578 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2,113,910 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countries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1,674,039 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1,215,529 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2,946,715 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2,268,427 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both"/>
        <w:rPr>
          <w:rFonts w:ascii="Times New Roman;serif" w:hAnsi="Times New Roman;serif"/>
          <w:b w:val="false"/>
          <w:i/>
          <w:color w:val="000000"/>
          <w:sz w:val="20"/>
        </w:rPr>
      </w:pPr>
      <w:r>
        <w:rPr>
          <w:rFonts w:ascii="Times New Roman;serif" w:hAnsi="Times New Roman;serif"/>
          <w:b w:val="false"/>
          <w:i/>
          <w:color w:val="000000"/>
          <w:sz w:val="20"/>
        </w:rPr>
        <w:t>Property and Equipment, Net by Geographic Location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by geographic location was as follows (in thousands):</w:t>
      </w:r>
    </w:p>
    <w:tbl>
      <w:tblPr>
        <w:tblW w:w="5559" w:type="dxa"/>
        <w:jc w:val="left"/>
        <w:tblInd w:w="0" w:type="dxa"/>
        <w:tblLayout w:type="fixed"/>
        <w:tblCellMar>
          <w:top w:w="28" w:type="dxa"/>
          <w:left w:w="28" w:type="dxa"/>
          <w:bottom w:w="28" w:type="dxa"/>
          <w:right w:w="28" w:type="dxa"/>
        </w:tblCellMar>
      </w:tblPr>
      <w:tblGrid>
        <w:gridCol w:w="1050"/>
        <w:gridCol w:w="920"/>
        <w:gridCol w:w="925"/>
        <w:gridCol w:w="211"/>
        <w:gridCol w:w="826"/>
        <w:gridCol w:w="109"/>
        <w:gridCol w:w="109"/>
        <w:gridCol w:w="109"/>
        <w:gridCol w:w="109"/>
        <w:gridCol w:w="211"/>
        <w:gridCol w:w="826"/>
        <w:gridCol w:w="154"/>
      </w:tblGrid>
      <w:tr>
        <w:trPr/>
        <w:tc>
          <w:tcPr>
            <w:tcW w:w="105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406,829 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countries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709,469 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730,885 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17. Subsequent Event</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8, 2026, we entered into an agreement with Star Therapeutics LLC (“Star”) to acquire Vega Therapeutics, Inc. (“Vega”), a wholly owned subsidiary of Star. We completed the acquisition of Vega on July 6, 2026. Vega is a clinical-stage drug development company developing novel antibody therapies for rare blood disorders, focusing on von Willebrand disease. Based on the terms of the agreement, we acquired Vega for cash consideration of $1.25 billion, with up to $750.0 million in additional payments due to Star upon achievement of specified sales milestones. We expect to account for the acquisition as an asset acquisition, as substantially all of the fair value of the assets acquired is concentrated in a single in-process research and development asset. We expect to allocate substantially all of the upfront consideration to the in-process research and development asset and to record the expense within Research and development expense in our condensed consolidated statements of operations during the third quarter of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of our financial condition and results of operations as of and for the three and six months ended June 30, 2026 should be read in conjunction with the unaudited condensed consolidated financial statements and notes to those statements included elsewhere in this Quarterly Report on Form 10-Q and our audited consolidated financial statements as of and for the year ended December 31, 2025 included in our Annual Report on Form 10-K for the year ended December 31, 2025 previously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among other things, statements as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discovery, development, formulation, manufacturing and commercialization of our compounds, our drug candidates and JAKAFI</w:t>
      </w:r>
      <w:r>
        <w:rPr>
          <w:rFonts w:ascii="Times New Roman;serif" w:hAnsi="Times New Roman;serif"/>
          <w:b w:val="false"/>
          <w:i/>
          <w:color w:val="000000"/>
          <w:sz w:val="13"/>
        </w:rPr>
        <w:t>®</w:t>
      </w:r>
      <w:r>
        <w:rPr>
          <w:rFonts w:ascii="Times New Roman;serif" w:hAnsi="Times New Roman;serif"/>
          <w:b w:val="false"/>
          <w:i/>
          <w:color w:val="000000"/>
          <w:sz w:val="20"/>
        </w:rPr>
        <w:t>/JAKAFI XR</w:t>
      </w:r>
      <w:r>
        <w:rPr>
          <w:rFonts w:ascii="Times New Roman;serif" w:hAnsi="Times New Roman;serif"/>
          <w:b w:val="false"/>
          <w:i/>
          <w:color w:val="000000"/>
          <w:sz w:val="13"/>
        </w:rPr>
        <w:t>TM</w:t>
      </w:r>
      <w:r>
        <w:rPr>
          <w:rFonts w:ascii="Times New Roman;serif" w:hAnsi="Times New Roman;serif"/>
          <w:b w:val="false"/>
          <w:i/>
          <w:color w:val="000000"/>
          <w:sz w:val="20"/>
        </w:rPr>
        <w:t>/JAKAVI</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(ruxolitinib), PEMAZYRE</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(pemigatinib), ICLUSIG</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(ponatinib), MONJUVI</w:t>
      </w:r>
      <w:r>
        <w:rPr>
          <w:rFonts w:ascii="Times New Roman;serif" w:hAnsi="Times New Roman;serif"/>
          <w:b w:val="false"/>
          <w:i/>
          <w:color w:val="000000"/>
          <w:sz w:val="13"/>
        </w:rPr>
        <w:t xml:space="preserve">® </w:t>
      </w:r>
      <w:r>
        <w:rPr>
          <w:rFonts w:ascii="Times New Roman;serif" w:hAnsi="Times New Roman;serif"/>
          <w:b w:val="false"/>
          <w:i/>
          <w:color w:val="000000"/>
          <w:sz w:val="20"/>
        </w:rPr>
        <w:t>(tafasitamab-cxix)</w:t>
      </w:r>
      <w:r>
        <w:rPr>
          <w:color w:val="000000"/>
        </w:rPr>
        <w:t xml:space="preserve"> </w:t>
      </w:r>
      <w:r>
        <w:rPr>
          <w:rFonts w:ascii="Times New Roman;serif" w:hAnsi="Times New Roman;serif"/>
          <w:b w:val="false"/>
          <w:i/>
          <w:color w:val="000000"/>
          <w:sz w:val="20"/>
        </w:rPr>
        <w:t>/ MINJUVI</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(tafasitamab), OPZELURA</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(ruxolitinib) cream, ZYNYZ</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(retifanlimab-dlwr) and NIKTIMVO</w:t>
      </w:r>
      <w:r>
        <w:rPr>
          <w:rFonts w:ascii="Times New Roman;serif" w:hAnsi="Times New Roman;serif"/>
          <w:b w:val="false"/>
          <w:i/>
          <w:color w:val="000000"/>
          <w:sz w:val="13"/>
        </w:rPr>
        <w:t>TM</w:t>
      </w:r>
      <w:r>
        <w:rPr>
          <w:color w:val="000000"/>
        </w:rPr>
        <w:t xml:space="preserve"> </w:t>
      </w:r>
      <w:r>
        <w:rPr>
          <w:rFonts w:ascii="Times New Roman;serif" w:hAnsi="Times New Roman;serif"/>
          <w:b w:val="false"/>
          <w:i/>
          <w:color w:val="000000"/>
          <w:sz w:val="20"/>
        </w:rPr>
        <w:t>(axatilimab);</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collaboration and strategic relationship strategy, and anticipated benefits and disadvantages of entering into collaboration agreements;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licensing, investment and commercialization strategies, including our plans to commercialize our drug products and drug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regulatory approval process, including obtaining U.S. Food and Drug Administration and other international regulatory authorities’ approval for our products in the United States and abroad;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safety, effectiveness and potential benefits and indications of our drug candidates and other compounds under development;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timing, structure and size of our clinical trials; the compounds expected to enter clinical trials; the nature and timing of clinical trial results;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manage expansion of our drug discovery and development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future required expertise relating to clinical trials, manufacturing, sales and marketing;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obtaining and terminating licenses to products, drug candidates or technology, or other intellectual property rights;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receipt from or payments pursuant to collaboration or license agreements resulting from milestones or royalties;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plans to develop and commercialize products on our own;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plans for our manufacturing operations, including plans relating to the use of third-party manufacturers;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expected expenses and expenditure levels; expected uses of cash; expected revenues and sources of revenues; expectations with respect to inventory;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expectations with respect to reimbursement for our products; expectations with respect to the impact on our revenues of U.S. or other government proposals regarding drug pricing;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expected impact of recent accounting pronouncements and changes in tax laws;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expected losses, the fluctuation of losses and the currency translation impact associated with non-U.S. operations and collaboration royalties;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profitability, the adequacy of our capital resources to continue operations and our expectations with respect to the need or ability to raise additional capital;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costs and other financial impacts associated with resolving matters in litigation and governmental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expectations regarding competition;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investments, including anticipated expenditures, losses and expenses;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patent prosecution and maintenance efforts.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These forward-looking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our ability to discover, develop, formulate, manufacture and successfully commercialize our drug products and drug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obtain, or maintain at anticipated levels, coverage and reimbursement for our products from government health administration authorities, private health insurers and other organizations;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changes in drug pricing and reimbursement in the markets in which we or our collaborators and licensees commercialize our drug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establish and maintain effective sales, marketing and distribution capabilities;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obtain and maintain regulatory approvals to market our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achieve a significant market share in order to achieve or maintain profitability;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civil or criminal penalties if we market our products in a manner that violates healthcare fraud and abuse and other applicable laws, rules and regulations;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unanticipated delays in, or discontinuations of, research and development efforts;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that previous preclinical testing or clinical trial results are not necessarily indicative of future clinical trial results;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conduct of our clinical trials, including geopolitical risks;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changing regulatory requirements;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adverse safety findings;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that results of our clinical trials do not support submission of a marketing approval application for our drug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reliance on third-party manufacturers, collaborators, and clinical research organizations;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development of new products and their use by us and our current and potential collaborators;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maintain or obtain adequate product liability and other insurance coverage;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impact of technological advances and competition to develop and commercialize drug products similar to our own, including potential generic competition;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obtain and maintain patent protection and freedom to operate for our discoveries and to continue to be effective in prosecuting, maintaining, defending and enforcing patent claims and other intellectual property rights;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impact of changing laws on our patent portfolio;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developments in, and expenses relating to, litigation and governmental proceedings;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in-license drug candidates or other technology;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unanticipated delays or changes in plans or regulatory agency interactions or other issues relating to our large molecule production facility;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impact of tariffs and trade conflicts and the effects of any economic slowdown;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integrate successfully acquired businesses, development programs or technology;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obtain additional capital when needed;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fluctuations in net cash provided and used by operating, financing and investing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changes in tax laws and regulations and our ability to analyze the effects of new accounting pronouncements and apply new accounting rules;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our ability to sustain profitability;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public health pandemics such as the COVID-19 pandemic, natural disasters, or geopolitical events such as the Russian invasion of Ukraine and conflicts in the Middle East;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risks set forth under “Risk Factors” in Item 1A of this Quarterly Report on Form 10-Q.</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 this report all references to “Incyte,” “we,” “us,” “our” or the “Company” mean Incyte Corporation and our subsidiaries, except where it is made clear that such term means only the parent company.</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Incyte, JAKAFI, MINJUVI, MONJUVI, OPZELURA, PEMAZYRE and ZYNYZ are our registered trademarks and NIKTIMVO and JAKAFI XR are our trademarks. We also refer to trademarks of other corporations and organizations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Summary Risk Factors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that could affect our ability to successfully implement our business strategy and affect our financial results. You should carefully consider all of the information in this report and, in particular, the following principal risks and all of the other specific factors described in Item 1A. “Risk Factors” of this report before deciding whether to invest in our company.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We depend heavily on our lead product, JAKAFI (ruxolitinib), which is marketed as JAKAVI outside the United States. If we are unable to maintain revenues from JAKAFI/JAKAVI or those revenues decrease, our business may be materially harmed.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or our collaborators are unable to obtain, or maintain at anticipated levels, coverage and reimbursement for our products from government health administration authorities, private health insurers and other organizations, our pricing may be affected and our product sales, results of operations and financial condition could be harmed.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depend upon a limited number of specialty pharmacies and wholesalers for a significant portion of any revenues from JAKAFI and most of our other drug products, and the loss of, or significant reduction in sales to, any one of these specialty pharmacies or wholesalers could adversely affect our operations and financial condition.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are unable to establish and maintain effective sales, marketing and distribution capabilities, or to enter into agreements with third parties to do so, we will not be able to successfully commercialize our products.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fail to comply with applicable laws and regulations, we could lose our approval to market our products or be subject to other governmental enforcement activity, and we could face increased costs, penalties and a loss of business.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market our products in a manner that violates various laws and regulations, we may be subject to civil or criminal penalties.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Competition for our products could harm our business and result in a decrease in our revenue.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or our collaborators may be unsuccessful in our efforts to discover and develop drug candidates and commercialize drug products.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or our collaborators are unable to obtain regulatory approval for our drug candidates in the United States or foreign jurisdictions, we or our collaborators will not be permitted to commercialize products resulting from our research.</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Healthcare reform measures could impact the pricing and profitability of pharmaceuticals, and adversely affect the commercial viability of our or our collaborators’ products and drug candidates.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are unable to establish collaborations to fully exploit our drug discovery and development capabilities or if such collaborations are unsuccessful, our research, development and commercialization efforts may be unsuccessful, which could adversely affect our results of operations, financial condition and future revenue prospects.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fail to enter into additional licensing agreements or if these arrangements are unsuccessful, our business and operations may be adversely affected.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Even if a drug candidate that we develop receives regulatory approval, we may decide not to commercialize it if we determine that commercialization of that product would require more money and time than we are willing to invest.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have limited capacity to conduct preclinical testing and clinical trials, and our resulting dependence on other parties could result in delays in and additional costs for our drug development efforts.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reliance on third parties for manufacture of certain of our drug products and drug candidates could result in short supply of the drugs, delays in clinical trials or drug development, increased costs, and withdrawal or denial of a regulatory authority’s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illegal distribution and sale by third parties of counterfeit or unfit versions of our or our collaborators’ products or stolen products could harm our business and reputation.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As most of our drug discovery and development operations are conducted at our headquarters in Wilmington, Delaware, the loss of access to this facility would negatively impact our business.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loss of the services of any of our key employees or our inability to attract and retain additional personnel would affect our ability to expand our drug discovery and development programs and achieve our objectives.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fail to manage our growth effectively, our ability to develop and commercialize products could suffer.</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may acquire businesses or assets, form joint ventures or make investments in other companies that may be unsuccessful, divert our management’s attention and harm our operating results and prospects.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Risks associated with our operations outside of the United States could adversely affect our business.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product liability lawsuits are brought against us, we could face substantial liabilities and may be required to limit commercialization of our products and our results of operations could be harmed.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Because our activities involve the use of hazardous materials, we may be subject to claims relating to improper handling, storage or disposal of these materials that could be time consuming and costly.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may incur losses in the future, and we expect to continue to incur significant expenses to discover and develop drugs, which may make it difficult for us to achieve sustained profitability on a quarterly or annual basis in the future.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marketable securities and equity investments are subject to risks that could adversely affect our overall financial position, and changes in tax laws or regulations could adversely affect our results of operations, business and financial condition.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are unable to achieve milestones, develop product candidates to license or renew or enter into new collaborations, our revenues may decrease, and future milestone and royalty payments may not contribute significantly to revenues for several years, and may never result in revenues.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are subject to arbitration, litigation and infringement claims, they could be costly and disrupt our drug discovery and development efforts.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the effective term of our patents is decreased or if we need to refile some of our patent applications, the value of our patent portfolio and the revenues we derive from it may be decreased.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International patent protection is particularly uncertain and costly, and our involvement in opposition proceedings may result in the expenditure of substantial sums and management resources.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Significant disruptions of information technology systems, breaches of data security or unauthorized disclosures of personal information (including sensitive personal information) could adversely affect our business, and could subject us to liability or reputational damage.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Increasing use of social media could give rise to liability, breaches of data security, or reputational damage.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Increasing use of artificial intelligence-based software and tools creates new risks and challenges that could adversely affect our business or cause reputational harm.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Incyte is a global biopharmaceutical company engaged in the discovery, development and commercialization of proprietary therapeutics. Our global headquarters is located in Wilmington, Delaware, where we conduct discovery, clinical development and commercial operations. We also conduct clinical development and commercial operations from our European headquarters in Morges, Switzerland, and our other offices across Europe, as well as our Japanese headquarters in Tokyo and our Canadian headquarters in Montreal.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focused in three therapeutic areas that are defined by the indications of our approved medicines and the diseases for which our clinical candidates are being developed. These therapeutic areas are: Hematology, Oncology, and Inflammation and Autoimmunity (“IAI”).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Hematology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hematology franchise includes five approved products, JAKAFI (ruxolitinib), JAKAFI XR (ruxolitinib), ICLUSIG (ponatinib), MONJUVI (tafasitamab-cxix)/MINJUVI (tafasitamab) and NIKTIMVO (axatilimab-csfr), as well as multiple clinical development programs.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Approved Products</w:t>
      </w:r>
    </w:p>
    <w:p>
      <w:pPr>
        <w:pStyle w:val="TextBody"/>
        <w:bidi w:val="0"/>
        <w:spacing w:lineRule="auto" w:line="288" w:before="24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JAKAFI (ruxolitinib)</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JAKAFI (ruxolitinib) was approved by the U.S. Food and Drug Administration (“FDA”) in November 2011 for the treatment of adults with intermediate or high-risk myelofibrosis (“MF”); in December 2014 for the treatment of adults with polycythemia vera (“PV”) who have had an inadequate response to or are intolerant of hydroxyurea; in May 2019 </w:t>
      </w:r>
      <w:r>
        <w:rPr>
          <w:rFonts w:ascii="Times New Roman;serif" w:hAnsi="Times New Roman;serif"/>
          <w:b w:val="false"/>
          <w:color w:val="000000"/>
          <w:sz w:val="20"/>
          <w:shd w:fill="FFFFFF" w:val="clear"/>
        </w:rPr>
        <w:t>for the treatment of steroid-refractory acute graft-versus-host disease (</w:t>
      </w:r>
      <w:r>
        <w:rPr>
          <w:color w:val="000000"/>
        </w:rPr>
        <w:t>“</w:t>
      </w:r>
      <w:r>
        <w:rPr>
          <w:rFonts w:ascii="Times New Roman;serif" w:hAnsi="Times New Roman;serif"/>
          <w:b w:val="false"/>
          <w:color w:val="000000"/>
          <w:sz w:val="20"/>
          <w:shd w:fill="FFFFFF" w:val="clear"/>
        </w:rPr>
        <w:t>GVHD</w:t>
      </w:r>
      <w:r>
        <w:rPr>
          <w:color w:val="000000"/>
        </w:rPr>
        <w:t>”</w:t>
      </w:r>
      <w:r>
        <w:rPr>
          <w:rFonts w:ascii="Times New Roman;serif" w:hAnsi="Times New Roman;serif"/>
          <w:b w:val="false"/>
          <w:color w:val="000000"/>
          <w:sz w:val="20"/>
          <w:shd w:fill="FFFFFF" w:val="clear"/>
        </w:rPr>
        <w:t>) in adult and pediatric patients 12 years and older; and in September 2021 for the treatment of chronic GVHD after failure of one or two lines of systemic therapy in adult and pediatric patients 12 years and older</w:t>
      </w:r>
      <w:r>
        <w:rPr>
          <w:rFonts w:ascii="Times New Roman;serif" w:hAnsi="Times New Roman;serif"/>
          <w:b w:val="false"/>
          <w:color w:val="000000"/>
          <w:sz w:val="20"/>
        </w:rPr>
        <w:t xml:space="preserve">. MF and PV are both myeloproliferative neoplasms (“MPNs”), a group of rare blood cancers, and GVHD is an adverse immune response to an allogeneic hematopoietic stem cell transplant (“HSCT”).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has granted JAKAFI orphan drug status for MF, PV and GVHD. Because of these orphan designations, the ORPHAN Cures Act extended the period before ruxolitinib phosphate becomes eligible for selection for Medicare drug price negotiation under the Inflation Reduction Act.</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Myelofibrosis.</w:t>
      </w:r>
      <w:r>
        <w:rPr>
          <w:color w:val="000000"/>
        </w:rPr>
        <w:t xml:space="preserve"> </w:t>
      </w:r>
      <w:r>
        <w:rPr>
          <w:rFonts w:ascii="Times New Roman;serif" w:hAnsi="Times New Roman;serif"/>
          <w:b w:val="false"/>
          <w:color w:val="000000"/>
          <w:sz w:val="20"/>
        </w:rPr>
        <w:t>MF, a rare, life-threatening condition, is considered the most serious of the MPNs and can occur either as primary MF or as secondary MF in patients who previously had PV or essential thrombocythemia (“ET”). In November 2011, the FDA approved JAKAFI for the treatment of adults with intermediate or high-risk MF, including primary MF, post-PV MF and post-ET MF. There were no FDA approved therapies for MF until the approval of JAKAFI.</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Polycythemia Vera.</w:t>
      </w:r>
      <w:r>
        <w:rPr>
          <w:color w:val="000000"/>
        </w:rPr>
        <w:t xml:space="preserve"> </w:t>
      </w:r>
      <w:r>
        <w:rPr>
          <w:rFonts w:ascii="Times New Roman;serif" w:hAnsi="Times New Roman;serif"/>
          <w:b w:val="false"/>
          <w:color w:val="000000"/>
          <w:sz w:val="20"/>
        </w:rPr>
        <w:t xml:space="preserve">PV is an MPN typically characterized by elevated hematocrit, the volume percentage of red blood cells in whole blood, which can lead to a thickening of the blood and an increased risk of blood clots, as well as an elevated white blood cell and platelet count. In December 2014, the FDA approved JAKAFI for the treatment of patients with PV who have had an inadequate response to or are intolerant of hydroxyurea.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Graft-versus-host disease.</w:t>
      </w:r>
      <w:r>
        <w:rPr>
          <w:color w:val="000000"/>
        </w:rPr>
        <w:t xml:space="preserve"> </w:t>
      </w:r>
      <w:r>
        <w:rPr>
          <w:rFonts w:ascii="Times New Roman;serif" w:hAnsi="Times New Roman;serif"/>
          <w:b w:val="false"/>
          <w:color w:val="000000"/>
          <w:sz w:val="20"/>
        </w:rPr>
        <w:t>GVHD is a condition that can occur after an allogeneic HSCT (the transfer of genetically dissimilar stem cells or tissue) where the donated bone marrow or peripheral blood stem cells view the recipient’s body as foreign and attack various tissues. In May 2019, the FDA approved JAKAFI for the treatment of steroid-refractory acute GVHD in adult and pediatric patients 12 years and older. In September 2021, the FDA approved JAKAFI for the treatment of chronic GVHD after failure of one or two lines of systemic therapy in adult and pediatric patients 12 years and older.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our collaboration agreement with Novartis Pharmaceutical International Ltd. (“Novartis”), Novartis received exclusive development and commercialization rights to ruxolitinib outside of the United States for all hematologic and oncologic indications and sells ruxolitinib outside of the United States under the name JAKAVI. We are eligible to receive development and sales milestones as well as royalties from product sales outside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retained all development and commercialization rights to JAKAFI in the United States. We market JAKAFI in the United States through our own specialty sales force and commercial team. JAKAFI is distributed primarily through a network of specialty pharmacy providers and wholesalers that allow for efficient delivery of the medication by mail directly to patients or direct delivery to the patient’s pharmacy.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hold patents that cover the composition of matter and use of ruxolitinib and its salt. These patents, including applicable extensions, currently expire in mid and late 2028, respectively.</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JAKAFI XR (ruxolitinib)</w:t>
      </w:r>
    </w:p>
    <w:p>
      <w:pPr>
        <w:pStyle w:val="TextBody"/>
        <w:bidi w:val="0"/>
        <w:spacing w:lineRule="auto" w:line="288" w:before="240" w:after="283"/>
        <w:ind w:left="0" w:right="0" w:firstLine="720"/>
        <w:jc w:val="both"/>
        <w:rPr/>
      </w:pPr>
      <w:r>
        <w:rPr>
          <w:rFonts w:ascii="Times New Roman;serif" w:hAnsi="Times New Roman;serif"/>
          <w:b w:val="false"/>
          <w:color w:val="000000"/>
          <w:sz w:val="20"/>
        </w:rPr>
        <w:t>In May 2026, the FDA approved JAKAFI XR (ruxolitinib) extended release tablets</w:t>
      </w:r>
      <w:r>
        <w:rPr>
          <w:color w:val="000000"/>
          <w:shd w:fill="FFFFFF" w:val="clear"/>
        </w:rPr>
        <w:t xml:space="preserve"> </w:t>
      </w:r>
      <w:r>
        <w:rPr>
          <w:rFonts w:ascii="Times New Roman;serif" w:hAnsi="Times New Roman;serif"/>
          <w:b w:val="false"/>
          <w:color w:val="000000"/>
          <w:sz w:val="20"/>
          <w:shd w:fill="FFFFFF" w:val="clear"/>
        </w:rPr>
        <w:t>for the treatment of adults with intermediate- or high-risk MF, adults with PV who have had an inadequate response to or are intolerant to hydroxyurea, as well as adults and children aged 12 years and older with steroid-refractory acute GVHD or chronic GVHD after failure of one or two lines of systemic therapy.</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ICLUSIG (ponatinib)</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June 2016, we acquired the European operations of ARIAD Pharmaceuticals, Inc. and obtained an exclusive license to develop and commercialize ICLUSIG (ponatinib), a kinase inhibitor, in Europe and other select countries. The primary target for ICLUSIG is BCR-ABL, an abnormal tyrosine kinase that is expressed in chronic myeloid leukemia (“CML”) and Philadelphia-chromosome positive acute lymphoblastic leukemia (“Ph+ ALL”).</w:t>
      </w:r>
    </w:p>
    <w:p>
      <w:pPr>
        <w:pStyle w:val="TextBody"/>
        <w:bidi w:val="0"/>
        <w:spacing w:lineRule="auto" w:line="288" w:before="240" w:after="240"/>
        <w:ind w:left="0" w:right="0" w:firstLine="720"/>
        <w:jc w:val="both"/>
        <w:rPr>
          <w:rFonts w:ascii="Times New Roman;serif" w:hAnsi="Times New Roman;serif"/>
          <w:b w:val="false"/>
          <w:color w:val="000000"/>
          <w:sz w:val="20"/>
        </w:rPr>
      </w:pPr>
      <w:bookmarkStart w:id="0" w:name="i721aa055c410442d9053a84429df8557_45664"/>
      <w:bookmarkEnd w:id="0"/>
      <w:r>
        <w:rPr>
          <w:rFonts w:ascii="Times New Roman;serif" w:hAnsi="Times New Roman;serif"/>
          <w:b w:val="false"/>
          <w:color w:val="000000"/>
          <w:sz w:val="20"/>
        </w:rPr>
        <w:t>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In the European Union, ICLUSIG also is approved for the treatment of adult patients with Ph+ ALL who are resistant to dasatinib; who are intolerant to dasatinib and for whom subsequent treatment with imatinib is not clinically appropriate; or who have the T315I mutation. In July 2026, the European Union approved ICLUSIG for the treatment of pediatric patients 6 years of age or older with chronic phase CML who are resistant to dasatinib or nilotinib; who are intolerant to dasatinib or nilotinib and for whom subsequent treatment with imatinib is not clinically appropriate; or who have the T315I mutation.</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MONJUVI (tafasitamab-cxix) / MINJUVI (tafasitamab)</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January 2020, we and MorphoSys AG (“MorphoSys”) entered into a collaboration and license agreement to further develop and commercialize MorphoSys’ proprietary anti-CD19 antibody tafasitamab (formerly MOR208) globally. In February 2024, we entered into a purchase agreement with MorphoSys relating to tafasitamab. As a result, we now hold exclusive global rights for tafasitamab, and the collaboration and license agreement was terminated.</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Diffuse Large B-cell Lymphoma. </w:t>
      </w:r>
      <w:r>
        <w:rPr>
          <w:rFonts w:ascii="Times New Roman;serif" w:hAnsi="Times New Roman;serif"/>
          <w:b w:val="false"/>
          <w:color w:val="000000"/>
          <w:sz w:val="20"/>
        </w:rPr>
        <w:t xml:space="preserve">In July 2020, the FDA approved MONJUVI (tafasitamab-cxix), in combination with lenalidomide, for the treatment of adult patients with relapsed or refractory (“r/r”) diffuse large B-cell lymphoma (“DLBCL”) not otherwise specified, including DLBCL arising from low grade lymphoma, and who are not eligible for autologous stem cell transplant (“ASCT”). In August 2021, the European Commission granted conditional marketing authorization for MINJUVI (tafasitamab) in combination with lenalidomide, followed by MINJUVI monotherapy, for the treatment of adult patients with r/r DLBCL who are not eligible for ASCT. In June 2026, MINJUVI was approved by Japan’s Ministry of Health, Labour and Welfare (“MHLW”) for the treatment of adults with r/r DLBCL in combination with lenalidomide.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Follicular Lymphoma. </w:t>
      </w:r>
      <w:r>
        <w:rPr>
          <w:rFonts w:ascii="Times New Roman;serif" w:hAnsi="Times New Roman;serif"/>
          <w:b w:val="false"/>
          <w:color w:val="000000"/>
          <w:sz w:val="20"/>
        </w:rPr>
        <w:t>In June 2025, MONJUVI (tafasitamab-cxix) was approved by the FDA for the treatment of adult patients with r/r follicular lymphoma (“FL”) in combination with rituximab and lenalidomide. In December 2025, MINJUVI (tafasitamab) was approved by the European Commission in combination with lenalidomide and rituximab for the treatment of adult patients with r/r FL (Grade 1-3a) after at least one line of systemic therapy. Also in December 2025, MINJUVI (tafasitamab) was approved by the MHLW in combination with rituximab and lenalidomide for adult patients with r/r FL (2L+ FL).</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NIKTIMVO (axatilimab-csfr)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2021, we entered into an exclusive worldwide collaboration and license agreement with Syndax Pharmaceuticals, Inc. (“Syndax”) to develop and commercialize axatilimab, Syndax’s anti-CSF-1R monoclonal antibody.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August 2024, the FDA approved NIKTIMVO (axatilimab-csfr) for the treatment of chronic GVHD after failure of at least two prior lines of systemic therapy in adult and pediatric patients. NIKTIMVO is the first approved anti-CSF-1R antibody targeting the drivers of inflammation and fibrosis seen in chronic GVHD. The U.S. commercial launch of NIKTIMVO commenced in January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Clinical Programs in Hematology</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INCA033989 (mutCALR)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INCA033989 is an Incyte-discovered, investigational, novel, anti-mutant calreticulin (“CALR”)-targeted monoclonal antibody in clinical development for the treatment of adults with mutCALR-positive ET and MF.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Essential Thrombocythemia.</w:t>
      </w:r>
      <w:r>
        <w:rPr>
          <w:color w:val="000000"/>
        </w:rPr>
        <w:t xml:space="preserve"> </w:t>
      </w:r>
      <w:r>
        <w:rPr>
          <w:rFonts w:ascii="Times New Roman;serif" w:hAnsi="Times New Roman;serif"/>
          <w:b w:val="false"/>
          <w:color w:val="000000"/>
          <w:sz w:val="20"/>
        </w:rPr>
        <w:t xml:space="preserve">INCA033989 is being evaluated for the treatment of adults with mutCALR-positive ET who are resistant or intolerant to at least one cytoreductive therapy. In 2025, we presented data from our Phase 1 study demonstrating a rapid and durable normalization of platelet counts and a reduction in peripheral blood mutCALR variant allele frequency (“VAF”) correlating with hematologic response with INCA033989 treatment. INCA033989 was well tolerated with no dose limiting toxicities reported. In December 2025, </w:t>
      </w:r>
      <w:r>
        <w:rPr>
          <w:rFonts w:ascii="Times New Roman;serif" w:hAnsi="Times New Roman;serif"/>
          <w:b w:val="false"/>
          <w:color w:val="000000"/>
          <w:sz w:val="20"/>
          <w:shd w:fill="FFFFFF" w:val="clear"/>
        </w:rPr>
        <w:t>we announced that the FDA granted Breakthrough Therapy designation to INCA033989 for the treatment of patients with ET harboring a Type 1 CALR mutation who are resistant or intolerant to at least one cytoreductive therapy. Based on positive feedback received from the FDA, a Phase 3 registrational study evaluating INCA033989 in Type 1 and non-Type 1 mutCALR positive patients with ET was initiated in mid-2026.</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Myelofibrosis. </w:t>
      </w:r>
      <w:r>
        <w:rPr>
          <w:rFonts w:ascii="Times New Roman;serif" w:hAnsi="Times New Roman;serif"/>
          <w:b w:val="false"/>
          <w:color w:val="000000"/>
          <w:sz w:val="20"/>
        </w:rPr>
        <w:t xml:space="preserve">INCA033989 is being evaluated for the treatment of adults with mutCALR-positive MF. </w:t>
      </w:r>
      <w:r>
        <w:rPr>
          <w:rFonts w:ascii="Times New Roman;serif" w:hAnsi="Times New Roman;serif"/>
          <w:b w:val="false"/>
          <w:color w:val="000000"/>
          <w:sz w:val="20"/>
          <w:shd w:fill="FFFFFF" w:val="clear"/>
        </w:rPr>
        <w:t xml:space="preserve">In December 2025, at the 2025 American Society of Hematology Annual Meeting, we presented data from our Phase 1 studies evaluating INCA033989 as a monotherapy and in combination with ruxolitinib in patients with mutCALR positive MF. The data demonstrated rapid and robust reductions in spleen volume and symptoms, and improvements in anemia with INCA033989 treatment, and a favorable safety profile with no dose limiting toxicities reported. Additionally, exploratory analyses from clinical studies demonstrate the potential for disease modifying activity by directly inhibiting and eliminating oncogenic mutCALR cells, while sparing healthy cells and restoring normal blood cell production in MF patients with a CALR mutation. The planned initiation of a Phase 3 trial evaluating INCA033989 in MF is anticipated in the second half of 2026.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In October 2025, we announced an agreement with Enable Injections, Inc. (“Enable”) to develop for use with specific assets in our portfolio, including INCA033989, Enable’s enFuse on-body delivery system. Under the terms of the agreement, we obtained a worldwide, exclusive license to use the enFuse technology with INCA033989 in ET and MF, with the potential to expand to additional assets and indications</w:t>
      </w:r>
      <w:r>
        <w:rPr>
          <w:rFonts w:ascii="Times New Roman;serif" w:hAnsi="Times New Roman;serif"/>
          <w:b w:val="false"/>
          <w:color w:val="000000"/>
          <w:sz w:val="20"/>
          <w:shd w:fill="FFFFFF" w:val="clear"/>
        </w:rPr>
        <w:t>. In the first quarter of 2026, a</w:t>
      </w:r>
      <w:r>
        <w:rPr>
          <w:color w:val="000000"/>
        </w:rPr>
        <w:t xml:space="preserve"> </w:t>
      </w:r>
      <w:r>
        <w:rPr>
          <w:rFonts w:ascii="Times New Roman;serif" w:hAnsi="Times New Roman;serif"/>
          <w:b w:val="false"/>
          <w:color w:val="000000"/>
          <w:sz w:val="20"/>
        </w:rPr>
        <w:t>Phase 1 study evaluating the pharmacokinetics, safety and tolerability of INCA033989 as a subcutaneous (“SC”) administration in healthy adult participants was initiated and completed. A Phase 1 study evaluating INCA033989 as a SC administration in mutCALR positive patients was initiated in the second quarter of 2026.</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INCA035784 (mutCALRxCD3 bispecific)</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INCA035784 is a novel, equipotent T-cell redirecting mutCALR x CD3 bispecific antibody developed by Incyte using Merus N.V.’s licensed bispecific platform and is being evaluated for patients with mutCALR positive MPNs. Phase 1 data evaluating INCA035784 in MF and ET patients with a CALR mutation are anticipated in 2027.</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INCB160058 (JAK2V617Fi)</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INCB160058 is an Incyte-discovered, novel JAK2V617F mutant-specific inhibitor for patients with MPNs harboring a JAK2V617F mutation. Following a comprehensive review of available data, we discontinued further development of INCB160058 to prioritize our next-generation JAK2V617F-targeted pipeline.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Axatilimab-csfr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Axatilimab is a colony stimulating factor-1 receptor (CSF-1R)-blocking antibody targeting monocytes and macrophages, reducing inflammation and fibrosis associated with chronic GVHD. A Phase 2 trial evaluating axatilimab in combination with ruxolitinib in patients with newly diagnosed chronic GVHD is ongoing, with results anticipated in the second half of 2026. A Phase 3 trial evaluating axatilimab in combination with corticosteroids as an initial treatment in patients with chronic GVHD is ongoing, with results anticipated in early 2028.</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Tafasitamab</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Tafasitamab is a humanized Fc-modified cytolytic CD19 targeting monoclonal antibody that is being evaluated in combination with lenalidomide added to rituximab plus chemotherapy as a first-line therapy for patients with DLBCL.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January 2026, we announced positive topline results from the pivotal Phase 3 frontMIND trial evaluating tafasitamab and lenalidomide in combination with R-CHOP as a first-line therapy for patients with DLBCL. The trial met the primary endpoint of progression free survival by investigator assessment and also met the key secondary endpoint of event-free survival by investigator assessment. No new safety signals were observed. Additional frontMIND data will be presented at an upcoming scientific meeting. Global regulatory submissions for tafasitamab and lenalidomide in addition to R-CHOP for the first-line treatment of adult patients with newly diagnosed DLBCL we submitted and accepted in the second quarter of 2026. A potential approval and launch in the U.S. is anticipated in the first quarter of 2027.</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Latarcibart (formerly VGA039)</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2026, we completed the acquisition of Vega Therapeutics, a wholly owned subsidiary of Star Therapeutics, which has been developing latarcibart, a novel investigational monoclonal antibody that modulates Protein S to restore hemostasis. Latarcibart has received Breakthrough Therapy, Fast Track, orphan drug and rare pediatric disease designations from the FDA and is currently in Phase 3 development for patients with von Willebrand disease (“VWD”)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2026, data from the Phase 1/2 multidose study of latarcibart in patients with VWD were presented at the 2026 International Society on Thrombosis and Haemostasis (ISTH) Congress, demonstrating that once-monthly SC treatment with latarcibart resulted in an 81% median reduction in annualized bleeding rate (“ABR”) across all bleeding categories and VWD types. Latarcibart is currently being evaluated in a global, Phase 3, single-arm crossover study (VIVID-6) assessing the safety and efficacy of once-monthly SC administration of latarcibart as prophylaxis for bleeding in patients with all types of VWD. Topline data from the VIVID-6 study are anticipated in early 2029.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Oncology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oncology franchise includes two approved products, PEMAZYRE (pemigatinib) and ZYNYZ (retifanlimab-dlwr), as well as several clinical development programs.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Approved Products</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PEMAZYRE (pemigatinib)</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Cholangiocarcinoma. </w:t>
      </w:r>
      <w:r>
        <w:rPr>
          <w:rFonts w:ascii="Times New Roman;serif" w:hAnsi="Times New Roman;serif"/>
          <w:b w:val="false"/>
          <w:color w:val="000000"/>
          <w:sz w:val="20"/>
        </w:rPr>
        <w:t xml:space="preserve">In April 2020, the FDA approved PEMAZYRE (pemigatinib), a selective fibroblast growth factor receptor kinase inhibitor, for the treatment of adults with previously treated, unresectable locally advanced or metastatic cholangiocarcinoma with a fibroblast growth factor receptor 2 (“FGFR2”) fusion or other rearrangement as detected by an FDA-approved test. Cholangiocarcinoma is a rare cancer that arises from the cells within the bile ducts. PEMAZYRE is the first FDA-approved treatment for this indication.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2021, PEMAZYRE was approved by the MHLW for the treatment of patients with unresectable biliary tract cancer with an FGFR2 fusion gene, worsening after cancer chemotherapy. Also in March 2021, PEMAZYRE was approved by the European Commission for the treatment of adults with locally advanced or metastatic cholangiocarcinoma with an FGFR2 fusion or rearrangement that has progressed after at least one prior line of systemic therapy.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2021, the U.K.’s National Institute for Health and Care Excellence (“NICE”) recommended PEMAZYRE for patients with cholangiocarcinoma with an FGFR2 fusion or rearrangement that have progressed after at least one prior line of systemic therapy. NICE’s guidance enables all eligible patients in England and Wales to have access to PEMAZYRE through the National Health Service.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2022, PEMAZYRE was approved by the National Medical Products Administration of the People’s Republic of China for the treatment of adults with locally advanced or metastatic cholangiocarcinoma with an FGFR2 fusion or rearrangement as confirmed by a validated diagnostic test that has progressed after at least one prior line of systemic therapy.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Myeloid/Lymphoid Neoplasms</w:t>
      </w:r>
      <w:r>
        <w:rPr>
          <w:rFonts w:ascii="Times New Roman;serif" w:hAnsi="Times New Roman;serif"/>
          <w:b w:val="false"/>
          <w:color w:val="000000"/>
          <w:sz w:val="20"/>
        </w:rPr>
        <w:t xml:space="preserve">. In August 2022, PEMAZYRE was approved by the FDA as the first and only targeted treatment for myeloid/lymphoid neoplasms (“MLNs”) with a fibroblast growth factor receptor 1 (“FGFR1”) rearrangement. MLNs with FGFR1 rearrangements are a group of extremely rare but aggressive blood cancers. In March 2023, PEMAZYRE was approved by the MHLW for the treatment of MLNs with FGFR1 rearrangement. </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ZYNYZ (retifanlimab-dlwr)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2017, we and MacroGenics, Inc. (“MacroGenics”), announced an exclusive global collaboration and license agreement for MacroGenics’ retifanlimab (formerly INCMGA0012), a humanized monoclonal antibody targeting programmed death receptor-1 (“PD-1”). Under this collaboration, we obtained exclusive worldwide rights for the development and commercialization of retifanlimab in all indications.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Merkel Cell Carcinoma.</w:t>
      </w:r>
      <w:r>
        <w:rPr>
          <w:color w:val="000000"/>
        </w:rPr>
        <w:t xml:space="preserve"> </w:t>
      </w:r>
      <w:r>
        <w:rPr>
          <w:rFonts w:ascii="Times New Roman;serif" w:hAnsi="Times New Roman;serif"/>
          <w:b w:val="false"/>
          <w:color w:val="000000"/>
          <w:sz w:val="20"/>
        </w:rPr>
        <w:t>In March 2023, the FDA approved ZYNYZ (retifanlimab-dlwr) under accelerated approval for the treatment of adults with metastatic or recurrent locally advanced Merkel cell carcinoma (“MCC”). In April 2024, the European Commission approved ZYNYZ (retifanlimab) as a monotherapy for the first-line treatment of adult patients with metastatic or recurrent locally advanced MCC not amenable to curative surgery or radiation therapy.</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Squamous Cell Carcinoma of the Anal Canal.</w:t>
      </w:r>
      <w:r>
        <w:rPr>
          <w:color w:val="000000"/>
        </w:rPr>
        <w:t xml:space="preserve"> </w:t>
      </w:r>
      <w:r>
        <w:rPr>
          <w:rFonts w:ascii="Times New Roman;serif" w:hAnsi="Times New Roman;serif"/>
          <w:b w:val="false"/>
          <w:color w:val="000000"/>
          <w:sz w:val="20"/>
        </w:rPr>
        <w:t>In May 2025, the FDA approved ZYNYZ for the treatment of adult patients with advanced squamous cell carcinoma of the anal canal (“SCAC”) in combination with chemotherapy and as a single agent. In December 2025, the MHLW approved ZYNYZ in combination with carboplatin and paclitaxel (platinum-based chemotherapy) for the first-line treatment of advanced SCAC. In March 2026, the European Commission approved ZYNYZ in combination with carboplatin and paclitaxel (platinum-based chemotherapy) for the first-line treatment of adult patients with metastatic or with inoperable locally recurrent SCAC.</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Clinical Programs in Oncology</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INCB123667 (CDK2)</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INCB123667 is a novel, potent and selective oral small molecule inhibitor of serine threonine kinase (CDK2) in clinical development for the treatment of ovarian cancer in patients with Cyclin E1 overexpression.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fourth quarter of 2025, we initiated MAESTRA-1, a Phase 2 single-arm study of INCB123667 in patients with platinum-resistant ovarian cancer (“PROC”) with Cyclin E1 overexpression, and MAESTRA-2, a Phase 3, randomized, open-label study of INCB123667 versus investigator’s choice chemotherapy in patients with PROC with Cyclin E1 overexpression. The initiation of a Phase 3 study evaluating INCB123667 in first-line maintenance ovarian cancer is anticipated in the second half of 2026.</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INCB161734 (KRAS G12D)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INCB161734 is a potent, selective and orally bioavailable KRAS G12D inhibitor that is currently being evaluated in patients with locally advanced or metastatic solid tumors with KRASG12D mutation.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pPr>
      <w:r>
        <w:rPr>
          <w:rFonts w:ascii="Times New Roman;serif" w:hAnsi="Times New Roman;serif"/>
          <w:b w:val="false"/>
          <w:i/>
          <w:color w:val="000000"/>
          <w:sz w:val="20"/>
        </w:rPr>
        <w:t>Pancreatic Ductal Adenocarcinoma.</w:t>
      </w:r>
      <w:r>
        <w:rPr>
          <w:color w:val="000000"/>
        </w:rPr>
        <w:t xml:space="preserve"> </w:t>
      </w:r>
      <w:r>
        <w:rPr>
          <w:rFonts w:ascii="Times New Roman;serif" w:hAnsi="Times New Roman;serif"/>
          <w:b w:val="false"/>
          <w:color w:val="000000"/>
          <w:sz w:val="20"/>
        </w:rPr>
        <w:t>In October 2025, we presented preliminary data from the ongoing Phase 1 study at the 2025 ESMO Congress. In the study, INCB161734 demonstrated a manageable safety profile and clinical efficacy in heavily pretreated pancreatic ductal adenocarcinoma (“PDAC”) patients with a KRASG12D mutation. In the first quarter of 2026, a Phase 3 study (DAWN-303) was initiated, evaluating INCB161734 as a first-line treatment in patients with metastatic PDAC in combination with standard-of-care chemotherapy (mFOLFIRINOX or GEMNabP) versus chemotherapy alone. Additional data from the ongoing Phase 1 trial evaluating INCB161734 in combination with standard-of-care chemotherapy as a first-line treatment in patients with metastatic PDAC is anticipated in the second half of 2026.</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INCA33890 (TGFβR2xPD-1)</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INCA33890 is a TGFβR2xPD-1 bispecific antibody developed by Incyte using Merus N.V.’s licensed bispecific platform to avoid the known toxicity of broad TGFβ pathway blockade by specifically blocking TGFβ signaling in cells co-expressing PD-1.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Microsatellite Stable Colorectal Cancer.</w:t>
      </w:r>
      <w:r>
        <w:rPr>
          <w:color w:val="000000"/>
        </w:rPr>
        <w:t xml:space="preserve"> </w:t>
      </w:r>
      <w:r>
        <w:rPr>
          <w:rFonts w:ascii="Times New Roman;serif" w:hAnsi="Times New Roman;serif"/>
          <w:b w:val="false"/>
          <w:color w:val="000000"/>
          <w:sz w:val="20"/>
        </w:rPr>
        <w:t xml:space="preserve">In October 2025, we presented data from the ongoing Phase 1 study at the 2025 ESMO Congress. INCA33890 demonstrated clinical efficacy across multiple tumor types, including microsatellite stable colorectal cancer (“MSS CRC”) in patients with and without active liver metastases. INCA33890 was generally well tolerated as monotherapy and in combination with standard-of-care treatments in patients with metastatic CRC.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fourth quarter of 2025, a Phase 3 study evaluating INCA33890 in combination with standard-of-care chemotherapy and bevacizumab as a first-line treatment in patients with MSS CRC was initiated. Additional data from the ongoing Phase 1 study evaluating INCA33890 in combination with bevacizumab and/or chemotherapy in patients with solid tumors is anticipated in the second half of 2026.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Inflammation and Autoimmunity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Inflammation and Autoimmunity franchise is comprised of one approved product, OPZELURA (ruxolitinib) cream, with several clinical programs in development.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Approved Products</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OPZELURA (ruxolitinib) cream</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Atopic Dermatitis</w:t>
      </w:r>
      <w:r>
        <w:rPr>
          <w:rFonts w:ascii="Times New Roman;serif" w:hAnsi="Times New Roman;serif"/>
          <w:b w:val="false"/>
          <w:color w:val="000000"/>
          <w:sz w:val="20"/>
        </w:rPr>
        <w:t>. In September 2021, the FDA approved OPZELURA (ruxolitinib) cream for the topical short-term and non-continuous chronic treatment of mild to moderate atopic dermatitis (“AD”) in non-immunocompromised patients 12 years of age and older whose disease is not adequately controlled with topical prescription therapies, or when those therapies are not advisable. AD is a skin disorder that causes long term inflammation of the skin resulting in itchy, red, swollen and cracked skin.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2025, the FDA approved the supplemental New Drug Application (“NDA”) for OPZELURA for the short-term and non-continuous chronic treatment of mild to moderate AD in non-immunocompromised children two years of age and older whose disease is not well controlled with topical prescription therapies, or when those therapies are not advisable.</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Vitiligo. </w:t>
      </w:r>
      <w:r>
        <w:rPr>
          <w:rFonts w:ascii="Times New Roman;serif" w:hAnsi="Times New Roman;serif"/>
          <w:b w:val="false"/>
          <w:color w:val="000000"/>
          <w:sz w:val="20"/>
        </w:rPr>
        <w:t>In July 2022, the FDA approved OPZELURA for the topical treatment of nonsegmental vitiligo in adult and pediatric patients 12 years of age and older. Vitiligo is a chronic autoimmune depigmenting skin disease characterized by patches of the skin losing their pigment. OPZELURA is the first and only FDA approved treatment for repigmentation of vitiligo lesions. OPZELURA was approved for continuous use and no limits to duration as a treatment for nonsegmental vitiligo.</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April 2023, the European Commission approved OPZELURA for the topical treatment of nonsegmental vitiligo with facial involvement in adults and adolescents 12 years and older following a positive opinion from the Committee for Medicinal Products for Human Use (“CHMP”). In October 2024, OPZELURA cream 1.5% was granted a Notice of Compliance by Health Canada for the topical treatment of both mild to moderate AD and nonsegmental vitiligo in patients 12 years of age and older.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Clinical Programs in IAI</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Ruxolitinib cream</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Ruxolitinib cream is a potent, selective inhibitor of JAK1 and JAK2 that provides the opportunity to directly target diverse pathogenic pathways that underlie certain immune-mediated dermatologic conditions.</w:t>
      </w:r>
    </w:p>
    <w:p>
      <w:pPr>
        <w:pStyle w:val="TextBody"/>
        <w:bidi w:val="0"/>
        <w:spacing w:lineRule="auto" w:line="288" w:before="240" w:after="240"/>
        <w:ind w:left="0" w:right="0" w:firstLine="720"/>
        <w:jc w:val="left"/>
        <w:rPr/>
      </w:pPr>
      <w:r>
        <w:rPr>
          <w:rFonts w:ascii="Times New Roman;serif" w:hAnsi="Times New Roman;serif"/>
          <w:b w:val="false"/>
          <w:i/>
          <w:color w:val="000000"/>
          <w:sz w:val="20"/>
        </w:rPr>
        <w:t xml:space="preserve">Atopic Dermatitis. </w:t>
      </w:r>
      <w:r>
        <w:rPr>
          <w:rFonts w:ascii="Times New Roman;serif" w:hAnsi="Times New Roman;serif"/>
          <w:b w:val="false"/>
          <w:color w:val="000000"/>
          <w:sz w:val="20"/>
        </w:rPr>
        <w:t xml:space="preserve">In July 2025, we announced positive topline results from the Phase 3 (TRuE-AD4) study evaluating ruxolitinib cream in adult patients with moderate AD. The study met the co-primary endpoints at Week 8, with a statistically significant proportion of patients achieving both Investigator’s Global Assessment Treatment Success and EASI75, which is defined as a 75% or greater improvement in the Eczema Area Severity Index score from baseline. In addition, the study met all key secondary endpoints. Ruxolitinib cream was well tolerated with no new safety signals. In June 2026, the CHMP issued a positive opinion recommending the approval of Opzelura (ruxolitinib) cream for the treatment of moderate AD in adult patients for whom topical corticosteroids and topical calcineurin inhibitors are inadequate or inappropriate. We anticipate a regulatory decision from the European Commission in the third quarter of 2026. </w:t>
      </w:r>
    </w:p>
    <w:p>
      <w:pPr>
        <w:pStyle w:val="TextBody"/>
        <w:bidi w:val="0"/>
        <w:spacing w:lineRule="auto" w:line="288" w:before="240" w:after="240"/>
        <w:ind w:left="0" w:right="0" w:firstLine="720"/>
        <w:jc w:val="both"/>
        <w:rPr/>
      </w:pPr>
      <w:r>
        <w:rPr>
          <w:rFonts w:ascii="Times New Roman;serif" w:hAnsi="Times New Roman;serif"/>
          <w:b w:val="false"/>
          <w:i/>
          <w:color w:val="000000"/>
          <w:sz w:val="20"/>
        </w:rPr>
        <w:t xml:space="preserve">Hidradenitis Suppurativa. </w:t>
      </w:r>
      <w:r>
        <w:rPr>
          <w:rFonts w:ascii="Times New Roman;serif" w:hAnsi="Times New Roman;serif"/>
          <w:b w:val="false"/>
          <w:color w:val="000000"/>
          <w:sz w:val="20"/>
        </w:rPr>
        <w:t>In January 2024, we announced positive topline results from a randomized controlled Phase 2 study evaluating ruxolitinib cream in hidradenitis suppurativa (“HS”). Ruxolitinib 1.5% cream twice daily met the primary efficacy endpoint as measured by a change from baseline in abscess and nodule count at Week 16 versus placebo in patients with mild to moderate HS. Ruxolitinib cream was well tolerated and consistent with its known safety profile. In June 2025, two Phase 3 studies (TRuE-HS1 and TRuE-HS2) evaluating ruxolitinib cream in mild to moderate HS were initiated, with topline results anticipated in the fourth quarter of 2026.</w:t>
      </w:r>
    </w:p>
    <w:p>
      <w:pPr>
        <w:pStyle w:val="TextBody"/>
        <w:bidi w:val="0"/>
        <w:spacing w:lineRule="auto" w:line="288" w:before="24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Povorcitinib</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Povorcitinib, an oral small molecule selective JAK1 inhibitor, is being evaluated for the treatment of HS, nonsegmental vitiligo, PN and asthma.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Hidradenitis Suppurativa. </w:t>
      </w:r>
      <w:r>
        <w:rPr>
          <w:rFonts w:ascii="Times New Roman;serif" w:hAnsi="Times New Roman;serif"/>
          <w:b w:val="false"/>
          <w:color w:val="000000"/>
          <w:sz w:val="20"/>
        </w:rPr>
        <w:t>In March 2025, we shared positive results from two Phase 3 studies (STOP-HS1 and STOP-HS2) evaluating povorcitinib in patients with moderate to severe HS. Both studies met their primary endpoint of Hidradenitis Suppurativa Clinical Response (“HiSCR”) at Week 12 and at both tested doses (45mg and 75mg). In addition, at Week 12, patients treated with povorcitinib achieved deep levels of clinical response with a greater proportion achieving HiSCR75, reduction in flares, and a greater than 3-point decrease in the Skin Pain NRS score and Skin Pain NRS30. Furthermore, povorcitinib demonstrated rapid onset of response, including rapid skin pain reduction</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submitted an MAA for povorcitinib to the EMA at the end of 2025 and we anticipate a potential approval in late 2026. The NDA submission for povorcitinib in HS was accepted by the FDA in the first quarter of 2026 and we anticipate a potential approval in the U.S. by the first quarter of 2027.</w:t>
      </w:r>
    </w:p>
    <w:p>
      <w:pPr>
        <w:pStyle w:val="TextBody"/>
        <w:bidi w:val="0"/>
        <w:spacing w:lineRule="auto" w:line="288" w:before="240" w:after="283"/>
        <w:ind w:left="0" w:right="0" w:firstLine="720"/>
        <w:jc w:val="both"/>
        <w:rPr/>
      </w:pPr>
      <w:r>
        <w:rPr>
          <w:rFonts w:ascii="Times New Roman;serif" w:hAnsi="Times New Roman;serif"/>
          <w:b w:val="false"/>
          <w:i/>
          <w:color w:val="000000"/>
          <w:sz w:val="20"/>
          <w:shd w:fill="FFFFFF" w:val="clear"/>
        </w:rPr>
        <w:t xml:space="preserve">Nonsegmental Vitiligo. </w:t>
      </w:r>
      <w:r>
        <w:rPr>
          <w:rFonts w:ascii="Times New Roman;serif" w:hAnsi="Times New Roman;serif"/>
          <w:b w:val="false"/>
          <w:color w:val="000000"/>
          <w:sz w:val="20"/>
          <w:shd w:fill="FFFFFF" w:val="clear"/>
        </w:rPr>
        <w:t xml:space="preserve">In March and October 2023, we presented results from the Phase 2b clinical study evaluating povorcitinib in patients with extensive nonsegmental vitiligo. The results demonstrated that treatment with oral povorcitinib was associated with substantial total body and facial repigmentation, as measured by Total Vitiligo Area Scoring Index. Based on these results, two Phase 3 studies (STOP-V1 and STOP-V2) evaluating povorcitinib (30mg) in participants with extensive nonsegmental vitiligo were initiated in late 2023. In April 2026, we announced positive results from the Phase 3 program. In both STOP-V1 and STOP-V2, povorcitinib achieved the primary endpoint of </w:t>
      </w:r>
      <w:r>
        <w:rPr>
          <w:rFonts w:ascii="Times New Roman;serif" w:hAnsi="Times New Roman;serif"/>
          <w:b w:val="false"/>
          <w:color w:val="000000"/>
          <w:sz w:val="20"/>
          <w:u w:val="single"/>
          <w:shd w:fill="FFFFFF" w:val="clear"/>
        </w:rPr>
        <w:t>&gt;</w:t>
      </w:r>
      <w:r>
        <w:rPr>
          <w:rFonts w:ascii="Times New Roman;serif" w:hAnsi="Times New Roman;serif"/>
          <w:b w:val="false"/>
          <w:color w:val="000000"/>
          <w:sz w:val="20"/>
          <w:shd w:fill="FFFFFF" w:val="clear"/>
        </w:rPr>
        <w:t xml:space="preserve">75% reduction in Facial Vitiligo Area Scoring Index from baseline at Week 52. Across both studies, statistically significant and clinically meaningful differences were also observed in key secondary endpoints, including a </w:t>
      </w:r>
      <w:r>
        <w:rPr>
          <w:rFonts w:ascii="Times New Roman;serif" w:hAnsi="Times New Roman;serif"/>
          <w:b w:val="false"/>
          <w:color w:val="000000"/>
          <w:sz w:val="20"/>
          <w:u w:val="single"/>
          <w:shd w:fill="FFFFFF" w:val="clear"/>
        </w:rPr>
        <w:t>&gt;</w:t>
      </w:r>
      <w:r>
        <w:rPr>
          <w:rFonts w:ascii="Times New Roman;serif" w:hAnsi="Times New Roman;serif"/>
          <w:b w:val="false"/>
          <w:color w:val="000000"/>
          <w:sz w:val="20"/>
          <w:shd w:fill="FFFFFF" w:val="clear"/>
        </w:rPr>
        <w:t>50% reduction in Total Vitiligo Area Scoring Index at Week 52. The overall safety and tolerability profile of povorcitinib through 52 weeks was consistent with prior studies, with no new safety signals observed. We expect to share additional data from STOP-V1 and STOP-V2 in the second half of 2026. Positive results from these studies will support regulatory applications for povorcitinib in vitiligo which are planned for the first quarter of 2027.</w:t>
      </w:r>
    </w:p>
    <w:p>
      <w:pPr>
        <w:pStyle w:val="TextBody"/>
        <w:bidi w:val="0"/>
        <w:spacing w:lineRule="auto" w:line="288" w:before="240" w:after="283"/>
        <w:ind w:left="0" w:right="0" w:firstLine="720"/>
        <w:jc w:val="both"/>
        <w:rPr/>
      </w:pPr>
      <w:r>
        <w:rPr>
          <w:rFonts w:ascii="Times New Roman;serif" w:hAnsi="Times New Roman;serif"/>
          <w:b w:val="false"/>
          <w:i/>
          <w:color w:val="000000"/>
          <w:sz w:val="20"/>
          <w:shd w:fill="FFFFFF" w:val="clear"/>
        </w:rPr>
        <w:t xml:space="preserve">Prurigo Nodularis. </w:t>
      </w:r>
      <w:r>
        <w:rPr>
          <w:rFonts w:ascii="Times New Roman;serif" w:hAnsi="Times New Roman;serif"/>
          <w:b w:val="false"/>
          <w:color w:val="000000"/>
          <w:sz w:val="20"/>
          <w:shd w:fill="FFFFFF" w:val="clear"/>
        </w:rPr>
        <w:t>In October 2023, we announced that the Phase 2, randomized, double-blind, placebo-controlled, dose ranging study evaluating the efficacy and safety of povorcitinib in participants with PN had met its primary endpoint. In October 2024, following the positive Phase 2 results, two Phase 3 studies (STOP-PN1 and STOP-PN2) evaluating povorcitinib in patients with moderate to severe PN were initiated</w:t>
      </w:r>
      <w:r>
        <w:rPr>
          <w:rFonts w:ascii="Times New Roman;serif" w:hAnsi="Times New Roman;serif"/>
          <w:b w:val="false"/>
          <w:color w:val="000000"/>
          <w:sz w:val="20"/>
        </w:rPr>
        <w:t>. Data from the Phase 3 studies are anticipated in the fourth quarter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pPr>
      <w:r>
        <w:rPr>
          <w:rFonts w:ascii="Times New Roman;serif" w:hAnsi="Times New Roman;serif"/>
          <w:b w:val="false"/>
          <w:i/>
          <w:color w:val="000000"/>
          <w:sz w:val="20"/>
          <w:shd w:fill="FFFFFF" w:val="clear"/>
        </w:rPr>
        <w:t xml:space="preserve">Asthma. </w:t>
      </w:r>
      <w:r>
        <w:rPr>
          <w:rFonts w:ascii="Times New Roman;serif" w:hAnsi="Times New Roman;serif"/>
          <w:b w:val="false"/>
          <w:color w:val="000000"/>
          <w:sz w:val="20"/>
          <w:shd w:fill="FFFFFF" w:val="clear"/>
        </w:rPr>
        <w:t>In July 2023, we initiated a Phase 2 study evaluating povorcitinib in patients with moderate to severe uncontrolled asthma. Proof-of-concept data from this study is anticipated in the second half of 2026</w:t>
      </w:r>
      <w:r>
        <w:rPr>
          <w:rFonts w:ascii="Times New Roman;serif" w:hAnsi="Times New Roman;serif"/>
          <w:b w:val="false"/>
          <w:color w:val="000000"/>
          <w:sz w:val="2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Collaborative Partnered Programs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below under “License Agreements and Business Relationships,” we are eligible for milestone payments and royalties on certain products that we license to third parties. These include OLUMIANT (baricitinib), which is licensed to our collaborative partner Eli Lilly and Company (“Lilly”), and JAKAVI (ruxolitinib) and TABRECTA (capmatinib), which are licensed to Novartis. </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Baricitinib</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second JAK1 and JAK2 inhibitor, baricitinib, which is subject to our collaboration agreement with Lilly, in which Lilly received exclusive worldwide development and commercialization rights to the compound for inflammatory and autoimmune diseases.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Rheumatoid Arthritis.</w:t>
      </w:r>
      <w:r>
        <w:rPr>
          <w:color w:val="000000"/>
        </w:rPr>
        <w:t xml:space="preserve"> </w:t>
      </w:r>
      <w:r>
        <w:rPr>
          <w:rFonts w:ascii="Times New Roman;serif" w:hAnsi="Times New Roman;serif"/>
          <w:b w:val="false"/>
          <w:color w:val="000000"/>
          <w:sz w:val="20"/>
        </w:rPr>
        <w:t>Rheumatoid arthritis is an autoimmune disease characterized by aberrant or abnormal immune mechanisms that lead to joint inflammation and swelling and, in some patients, the progressive destruction of joints. In February 2017, the European Commission approved baricitinib as OLUMIANT for the treatment of moderate-to-severe rheumatoid arthritis in adult patients who have responded inadequately to, or who are intolerant to, one or more disease-modifying antirheumatic drugs. In July 2017, the MHLW granted marketing approval for OLUMIANT 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who have had an inadequate response to one or more tumor necrosis factor inhibitor therapies.</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Atopic Dermatitis. </w:t>
      </w:r>
      <w:r>
        <w:rPr>
          <w:rFonts w:ascii="Times New Roman;serif" w:hAnsi="Times New Roman;serif"/>
          <w:b w:val="false"/>
          <w:color w:val="000000"/>
          <w:sz w:val="20"/>
        </w:rPr>
        <w:t xml:space="preserve">In October 2020, the European Commission approved baricitinib as OLUMIANT for the treatment of moderate-to-severe AD in adult patients who are candidates for systemic therapy. In December 2020, baricitinib was approved by the MHLW for the treatment of patients with moderate-to-severe AD.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Alopecia Areata</w:t>
      </w:r>
      <w:r>
        <w:rPr>
          <w:rFonts w:ascii="Times New Roman;serif" w:hAnsi="Times New Roman;serif"/>
          <w:b w:val="false"/>
          <w:color w:val="000000"/>
          <w:sz w:val="20"/>
        </w:rPr>
        <w:t>. Alopecia areata is an autoimmune disorder in which the immune system attacks the hair follicles, causing hair loss in patches. In June 2022, the FDA approved 2mg and 4mg doses of OLUMIANT for the treatment of adults with severe alopecia areata, becoming the first and only systemic treatment in the indication. Also in June 2022, OLUMIANT was approved as a treatment for alopecia areata in Europe and Japan.</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COVID-19.</w:t>
      </w:r>
      <w:r>
        <w:rPr>
          <w:color w:val="000000"/>
        </w:rPr>
        <w:t xml:space="preserve"> </w:t>
      </w:r>
      <w:r>
        <w:rPr>
          <w:rFonts w:ascii="Times New Roman;serif" w:hAnsi="Times New Roman;serif"/>
          <w:b w:val="false"/>
          <w:color w:val="000000"/>
          <w:sz w:val="20"/>
        </w:rPr>
        <w:t>In May 2020, we amended our agreement with Lilly to enable Lilly to commercialize baricitinib for the treatment of COVID-19. The FDA’s Emergency Use Authorization provides for the use of baricitinib for the treatment of COVID-19 in hospitalized adults and pediatric patients two years of age or older requiring supplemental oxygen, non-invasive or invasive mechanical ventilation or extracorporeal membrane oxygenation (“ECMO”). In June 2022, the FDA approved baricitinib as OLUMIANT for the treatment of COVID-19 in hospitalized adults requiring supplemental oxygen, non-invasive or invasive mechanical ventilation or ECMO.</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Type 1 Diabetes</w:t>
      </w:r>
      <w:r>
        <w:rPr>
          <w:rFonts w:ascii="Times New Roman;serif" w:hAnsi="Times New Roman;serif"/>
          <w:b w:val="false"/>
          <w:color w:val="000000"/>
          <w:sz w:val="20"/>
        </w:rPr>
        <w:t>. In October 2025, we amended our agreement with Lilly to enable Lilly to commercialize baricitinib for the treatment of Type 1 diabetes mellitus.</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Capmatinib</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Capmatinib is a potent and highly selective mesenchymal-epithelial-transition factor gene (“MET”) inhibitor. Under our agreement, Novartis received worldwide exclusive development and commercialization rights to capmatinib and certain back-up compounds in all indications. Capmatinib is being evaluated in patients with hepatocellular carcinoma, non-small cell lung cancer (“NSCLC”) and other solid tumors, and may have potential utility as a combination agent.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May 2020, the FDA approved capmatinib as TABRECTA for the treatment of adult patients with metastatic NSCLC whose tumors have a mutation that leads to MET exon 14 (“METex14”) skipping as detected by an FDA-approved test. TABRECTA is the first and only treatment approved to specifically target NSCLC with this driver mutation and is approved for first-line and previously treated patients regardless of prior treatment type. In June 2020, the MHLW approved TABRECTA for METex14 mutation-positive advanced and/or recurrent unresectable NSCLC. In June 2022, the European Commission approved capmatinib as TABRECTA as a monotherapy treatment of adults with advanced NSCLC harboring alterations leading to METex14 skipping who require systemic therapy following prior treatment with immunotherapy and/or platinum-based chemotherapy.</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Ruxolitinib</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Graft-versus-host disease.</w:t>
      </w:r>
      <w:r>
        <w:rPr>
          <w:color w:val="000000"/>
        </w:rPr>
        <w:t xml:space="preserve"> </w:t>
      </w:r>
      <w:r>
        <w:rPr>
          <w:rFonts w:ascii="Times New Roman;serif" w:hAnsi="Times New Roman;serif"/>
          <w:b w:val="false"/>
          <w:color w:val="000000"/>
          <w:sz w:val="20"/>
        </w:rPr>
        <w:t>In May 2022, the European Commission approved ruxolitinib as JAKAVI for the treatment of acute or chronic GVHD in patients aged 12 years and older who have an inadequate response to corticosteroids or other systemic therapies. In August 2023, Novartis announced that JAKAVI had been approved in Japan for use in GVHD after HSCT</w:t>
      </w:r>
      <w:r>
        <w:rPr>
          <w:rFonts w:ascii="Times New Roman;serif" w:hAnsi="Times New Roman;serif"/>
          <w:b w:val="false"/>
          <w:color w:val="000000"/>
          <w:sz w:val="20"/>
          <w:shd w:fill="FFFFFF" w:val="clear"/>
        </w:rPr>
        <w:t>.</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License Agreements and Business Relationships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Below is a brief description of our significant business relationships and collaborations and related license agreements that expand our pipeline and provide us with certain rights to existing and potential new products and technologies. Additional information regarding our collaboration agreements, including their financial and accounting impact on our business and results of operations, can be found in Note 5 and Note 7 of Notes to the Consolidated Financial Statements.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Out-License Agreements</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Mirum</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2026, we entered into an exclusive license agreement with Mirum Pharmaceuticals, Inc. granting Mirum worldwide rights to zilurgisertib, an ALK2 inhibitor in development for fibrodysplasia ossificans progressiva. Under the terms of the agreement, we received an upfront payment and are eligible to receive a Priority Review Voucher, and additional development and regulatory milestone payments, as well as sales-based milestones and tiered royalties in the mid-to-high single digit percent range on worldwide net sales. </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Novartis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2009, we entered into a Collaboration and License Agreement with Novartis. Under the terms of the agreement, Novartis received exclusive development and commercialization rights outside of the United States to ruxolitinib and certain back 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 up compounds in all indications. We retained options to co-develop and to co-promote capmatinib in the United States. In April 2016, we amended this agreement to provide that Novartis has exclusive research, development and commercialization rights outside of the United States to ruxolitinib (excluding topical formulations) in the GVHD field.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Lilly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2009, we entered into a License, Development and Commercialization Agreement with Lilly. Under the terms of the agreement, Lilly received exclusive worldwide development and commercialization rights to baricitinib and certain back up compounds for inflammatory and autoimmune diseases. In March 2016, we entered into an amendment to the agreement with Lilly that allows us to engage in the development and commercialization of ruxolitinib in the GVHD field. In May 2020, we amended our agreement with Lilly to enable Lilly to commercialize baricitinib for the treatment of COVID-19 and, in October 2025, we further amended the agreement to enable Lilly to commercialize baricitinib for the treatment of Type 1 diabetes mellitus. We received an upfront payment of $100.0 million in connection with the 2025 amendment, which amendment also restructured the royalty obligations on net sales of baricitinib, certain developmental and regulatory milestones associated with baricitinib, and the marketing and sales support obligations of Lilly. On baricitinib sales for any indication, we are now eligible to receive either a fixed royalty amount or tiered royalties based on a defined level of quarterly global net sales, with the tiered royalties up to a rate in the mid-teens. Additionally, for the treatment of COVID-19, we still receive a premium on royalties.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In-License Agreements</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Syndax</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2021, we entered into a Collaboration and License Agreement with Syndax covering the worldwide development and commercialization of NIKTIMVO (axatilimab-csfr), Syndax’s anti-CSF-1R monoclonal antibody. Under the terms of this agreement, we received exclusive commercialization rights to axatilimab outside of the United States, and co-commercialization rights in the United States.</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Other Collaborators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also entered into certain agreements with other collaboration partners for the rights to develop and commercialize other assets in our pipeline.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Policies and Significant Estimates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 discussion of our critical accounting policies, refer to “Item 7. Management’s Discussion and Analysis of Financial Condition and Results of Operations” in our Annual Report on Form 10-K for the year ended December 31, 2025. There have been no significant changes to our critical accounting policies or estimates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 Accounting Pronouncements and Regulatory Updates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 discussion of recently issued accounting standards, refer to Note 2 in the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recorded net income of $585.6 million and basic net income per share of $2.92 and diluted net income per share of $2.81 for the three months ended June 30, 2026, as compared to net income of $405.0 million and basic net income per share of $2.09 and diluted net income per share of $2.04 in the corresponding period in 2025. We recorded net income of $888.9 million and basic net income per share of $4.45 and diluted net income per share of $4.28 for the six months ended June 30, 2026, as compared to net income of $563.2 million and basic net income per share of $2.91 and diluted net income per share of $2.84 in the corresponding period in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Revenues</w:t>
      </w:r>
    </w:p>
    <w:tbl>
      <w:tblPr>
        <w:tblW w:w="8595" w:type="dxa"/>
        <w:jc w:val="left"/>
        <w:tblInd w:w="0" w:type="dxa"/>
        <w:tblLayout w:type="fixed"/>
        <w:tblCellMar>
          <w:top w:w="28" w:type="dxa"/>
          <w:left w:w="28" w:type="dxa"/>
          <w:bottom w:w="28" w:type="dxa"/>
          <w:right w:w="28" w:type="dxa"/>
        </w:tblCellMar>
      </w:tblPr>
      <w:tblGrid>
        <w:gridCol w:w="1165"/>
        <w:gridCol w:w="1028"/>
        <w:gridCol w:w="1032"/>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165"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JAKAFI net sales</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OPZELURA net sales</w:t>
            </w:r>
            <w:r>
              <w:rPr>
                <w:rFonts w:ascii="Times New Roman;serif" w:hAnsi="Times New Roman;serif"/>
                <w:b w:val="false"/>
                <w:color w:val="000000"/>
                <w:sz w:val="13"/>
              </w:rPr>
              <w:t>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ICLUSIG net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PEMAZYRE net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MINJUVI/MONJUVI net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NIKTIMVO net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ZYNYZ net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1,981.7 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JAKAVI product royalty revenues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OLUMIANT product royalty revenues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TABRECTA product royalty revenues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product royalty revenues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royalty revenues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Milestone and contract revenues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2,268.4 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10"/>
          <w:shd w:fill="FFFFFF" w:val="clear"/>
        </w:rPr>
        <w:t>1</w:t>
      </w:r>
      <w:r>
        <w:rPr>
          <w:color w:val="000000"/>
          <w:shd w:fill="FFFFFF" w:val="clear"/>
        </w:rPr>
        <w:t xml:space="preserve"> </w:t>
      </w:r>
      <w:r>
        <w:rPr>
          <w:rFonts w:ascii="Times New Roman;serif" w:hAnsi="Times New Roman;serif"/>
          <w:b w:val="false"/>
          <w:color w:val="000000"/>
          <w:sz w:val="16"/>
          <w:shd w:fill="FFFFFF" w:val="clear"/>
        </w:rPr>
        <w:t>Second quarter 2026 net sales include JAKAFI and JAKAFI XR following the launch of JAKAFI XR in the second quarter of 2026.</w:t>
      </w:r>
    </w:p>
    <w:p>
      <w:pPr>
        <w:pStyle w:val="TextBody"/>
        <w:bidi w:val="0"/>
        <w:spacing w:lineRule="auto" w:line="288" w:before="120" w:after="283"/>
        <w:jc w:val="both"/>
        <w:rPr/>
      </w:pPr>
      <w:r>
        <w:rPr>
          <w:rFonts w:ascii="Times New Roman;serif" w:hAnsi="Times New Roman;serif"/>
          <w:b w:val="false"/>
          <w:color w:val="000000"/>
          <w:sz w:val="10"/>
          <w:shd w:fill="FFFFFF" w:val="clear"/>
        </w:rPr>
        <w:t>2</w:t>
      </w:r>
      <w:r>
        <w:rPr>
          <w:color w:val="000000"/>
          <w:shd w:fill="FFFFFF" w:val="clear"/>
        </w:rPr>
        <w:t xml:space="preserve"> </w:t>
      </w:r>
      <w:r>
        <w:rPr>
          <w:rFonts w:ascii="Times New Roman;serif" w:hAnsi="Times New Roman;serif"/>
          <w:b w:val="false"/>
          <w:color w:val="000000"/>
          <w:sz w:val="16"/>
          <w:shd w:fill="FFFFFF" w:val="clear"/>
        </w:rPr>
        <w:t xml:space="preserve">Second quarter 2026 OPZELURA net sales includes </w:t>
      </w:r>
      <w:r>
        <w:rPr>
          <w:rFonts w:ascii="Times New Roman;serif" w:hAnsi="Times New Roman;serif"/>
          <w:b w:val="false"/>
          <w:color w:val="000000"/>
          <w:sz w:val="16"/>
        </w:rPr>
        <w:t>$246.0 million</w:t>
      </w:r>
      <w:r>
        <w:rPr>
          <w:color w:val="000000"/>
          <w:shd w:fill="FFFFFF" w:val="clear"/>
        </w:rPr>
        <w:t xml:space="preserve"> </w:t>
      </w:r>
      <w:r>
        <w:rPr>
          <w:rFonts w:ascii="Times New Roman;serif" w:hAnsi="Times New Roman;serif"/>
          <w:b w:val="false"/>
          <w:color w:val="000000"/>
          <w:sz w:val="16"/>
          <w:shd w:fill="FFFFFF" w:val="clear"/>
        </w:rPr>
        <w:t xml:space="preserve">related to our </w:t>
      </w:r>
      <w:r>
        <w:rPr>
          <w:rFonts w:ascii="Times New Roman;serif" w:hAnsi="Times New Roman;serif"/>
          <w:b w:val="false"/>
          <w:color w:val="000000"/>
          <w:sz w:val="16"/>
        </w:rPr>
        <w:t xml:space="preserve">agreement with </w:t>
      </w:r>
      <w:r>
        <w:rPr>
          <w:rFonts w:ascii="Times New Roman;serif" w:hAnsi="Times New Roman;serif"/>
          <w:b w:val="false"/>
          <w:color w:val="000000"/>
          <w:sz w:val="16"/>
          <w:shd w:fill="FFFFFF" w:val="clear"/>
        </w:rPr>
        <w:t>CMS</w:t>
      </w:r>
      <w:r>
        <w:rPr>
          <w:color w:val="000000"/>
        </w:rPr>
        <w:t xml:space="preserve"> </w:t>
      </w:r>
      <w:r>
        <w:rPr>
          <w:rFonts w:ascii="Times New Roman;serif" w:hAnsi="Times New Roman;serif"/>
          <w:b w:val="false"/>
          <w:color w:val="000000"/>
          <w:sz w:val="16"/>
        </w:rPr>
        <w:t>to resolve our litigation related to the application of Medicaid rebate rules to OPZELURA</w:t>
      </w:r>
      <w:r>
        <w:rPr>
          <w:rFonts w:ascii="Times New Roman;serif" w:hAnsi="Times New Roman;serif"/>
          <w:b w:val="false"/>
          <w:color w:val="000000"/>
          <w:sz w:val="16"/>
          <w:shd w:fill="FFFFFF" w:val="clear"/>
        </w:rPr>
        <w:t>. Refer below for further information.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JAKAFI net sales for the three months ended June 30, 2026 as compared to the corresponding period in 2025 was comprised of a volume increase of $66.3 million, offset in part by a price decrease of $13.4 million. The increase in JAKAFI net sales for the six months ended June 30, 2026 as compared to the corresponding period in 2025 reflected a volume increase of $128.8 million, offset in part by a price decrease of $27.6 million. The volume increase was primarily driven by an increase in paid demand of 9% and 8% for the three and six months ended June 30, 2026, respectively, reflecting continued demand growth across all indications. JAKAFI inventory levels were within normal range at the end of the second quarter of 2026.</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brought a lawsuit against CMS alleging that a regulation issued by CMS on the definition of “line extension” for purposes of the Medicaid rebate program was too broad and had the unintended consequence of treating OPZELURA as a “line extension” of JAKAFI under this program. In the second quarter of 2026, we reached an agreement with CMS to resolve our litigation related to the application of Medicaid rebate rules to OPZELURA (ruxolitinib) cream. Under the agreement, CMS will not apply the line extension regulation to OPZELURA as if it were a line extension of JAKAFI (ruxolitinib). In the second quarter of 2026, we recorded a one-time, non-cash benefit of $246.0 million in net sales on the condensed consolidated statements of operations, associated with the reversal of previously established accrual balances through March 31, 2026, related to liabilities associated with the potential application of the line extension regulations to OPZELURA. We will no longer accrue for the potential application of the line extension regulations to OPZELURA and we expect an improvement to OPZELURA’s gross-to-net on a go-forward basis.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Excluding this $246.0 million impact discussed above, the increase in OPZELURA net sales for the three months ended June 30, 2026 as compared to the corresponding period in 2025 was comprised of a volume increase of $48.2 million, offset in part by a price decrease of $9.0 million. Excluding this $246.0 million impact discussed above, the increase in OPZELURA net sales for the six months ended June 30, 2026 as compared to the corresponding period in 2025 reflected a volume increase of $93.1 million, offset in part by a price decrease of $29.5 million. The volume increase was primarily due to increased patient demand in the U.S. in both atopic dermatitis and vitiligo. Additionally, OPZELURA net sales from outside the U.S. were $42.9 million and $79.6 million during the three and six months ended June 30, 2026, respectively, as compared to $32.3 million and $55.8 million for the three and six months ended June 30, 2025, respectively, with the increase in both periods primarily driven by continued uptake in Canada and Italy, as well as entry into new markets. OPZELURA inventory levels were within normal range at the end of the second quarter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other hematology and oncology net sales for the three and six months ended June 30, 2026 as compared to the corresponding period in 2025 was primarily driven by increased demand of NIKTIMVO, MONJUVI/MINJUVI and ZYNYZ, reflecting continued strong uptake of these products in the U.S. and their entry into new markets outside of the U.S. The impact from changes in price was not material.</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total royalty revenues for the three and six months ended June 30, 2026 as compared to the corresponding period in 2025 was primarily driven by growth in JAKAVI royalty revenue.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net sales may fluctuate from quarter to quarter due to our customers’ purchasing patterns over the course of the year, including as a result of increased inventory building by customers in advance of expected or announced price increases. Net sales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activity with respect to our sales allowances and accruals (in thousands):</w:t>
      </w:r>
    </w:p>
    <w:tbl>
      <w:tblPr>
        <w:tblW w:w="10205" w:type="dxa"/>
        <w:jc w:val="left"/>
        <w:tblInd w:w="0" w:type="dxa"/>
        <w:tblLayout w:type="fixed"/>
        <w:tblCellMar>
          <w:top w:w="28" w:type="dxa"/>
          <w:left w:w="28" w:type="dxa"/>
          <w:bottom w:w="28" w:type="dxa"/>
          <w:right w:w="28" w:type="dxa"/>
        </w:tblCellMar>
      </w:tblPr>
      <w:tblGrid>
        <w:gridCol w:w="992"/>
        <w:gridCol w:w="724"/>
        <w:gridCol w:w="730"/>
        <w:gridCol w:w="109"/>
        <w:gridCol w:w="109"/>
        <w:gridCol w:w="109"/>
        <w:gridCol w:w="224"/>
        <w:gridCol w:w="767"/>
        <w:gridCol w:w="115"/>
        <w:gridCol w:w="109"/>
        <w:gridCol w:w="109"/>
        <w:gridCol w:w="109"/>
        <w:gridCol w:w="320"/>
        <w:gridCol w:w="1254"/>
        <w:gridCol w:w="166"/>
        <w:gridCol w:w="109"/>
        <w:gridCol w:w="109"/>
        <w:gridCol w:w="109"/>
        <w:gridCol w:w="211"/>
        <w:gridCol w:w="721"/>
        <w:gridCol w:w="109"/>
        <w:gridCol w:w="109"/>
        <w:gridCol w:w="109"/>
        <w:gridCol w:w="109"/>
        <w:gridCol w:w="211"/>
        <w:gridCol w:w="721"/>
        <w:gridCol w:w="109"/>
        <w:gridCol w:w="109"/>
        <w:gridCol w:w="109"/>
        <w:gridCol w:w="109"/>
        <w:gridCol w:w="211"/>
        <w:gridCol w:w="826"/>
        <w:gridCol w:w="159"/>
      </w:tblGrid>
      <w:tr>
        <w:trPr/>
        <w:tc>
          <w:tcPr>
            <w:tcW w:w="99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Discounts and </w:t>
              <w:br/>
              <w:t>Distribution</w:t>
              <w:br/>
              <w:t>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Commercial &amp; Government</w:t>
              <w:br/>
              <w:t>Rebates and</w:t>
              <w:br/>
              <w:t>Chargebacks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Co-Pay</w:t>
              <w:br/>
              <w:t>Assistance</w:t>
              <w:br/>
              <w:t>and Other</w:t>
              <w:br/>
              <w:t>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Product</w:t>
              <w:br/>
              <w:t>Returns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38,780 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562,167 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646,091 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Allowances for current period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116,119 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1,058,348 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1,289,331 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Allowances for prior period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(222,619)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(226,225)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Credits/payments for current period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(73,712)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(737,743)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(905,396)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Credits/payments for prior period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(35,203)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(214,767)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(270,046)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42,409 </w:t>
            </w:r>
          </w:p>
        </w:tc>
        <w:tc>
          <w:tcPr>
            <w:tcW w:w="11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445,386 </w:t>
            </w:r>
          </w:p>
        </w:tc>
        <w:tc>
          <w:tcPr>
            <w:tcW w:w="16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13,822 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32,138 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533,755 </w:t>
            </w:r>
          </w:p>
        </w:tc>
        <w:tc>
          <w:tcPr>
            <w:tcW w:w="15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U.S. government rebates and chargebacks are the most significant component of our sales allowances. Increases in certain U.S.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product price increases greater than the rate of inflation, and any such increase in these government rebates and chargebacks will have a negative impact on our reported net sales. We adjust our estimates for government rebates and chargebacks based on new information regarding actual rebates as it becomes available.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Claims by third-party payors for rebates and chargebacks are frequently submitted after the period in which the related sales occurred, which may result in adjustments to prior period accrual balances in the period in which the new information becomes available. Our company-sponsored patient savings program in which we provide financial assistance to enable commercially-insured patients to afford their insurance premium and co-pays may fluctuate as the commercial insurance landscape evolves and may impact net sales, particularly for drugs like OPZELURA. We also adjust our allowance for product returns based on new information regarding actual returns as it becomes available.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our sales allowances to fluctuate from quarter to quarter as a result of the volume of purchases eligible for government mandated discounts and rebates as well as changes in discount percentages which are impacted by potential future price increases, rate of inflation, and other factors.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Product royalty revenues on commercial sales of JAKAVI and TABRECTA by Novartis are based on net sales of licensed products in licensed territories as provided by Novartis. Product royalty revenues on commercial sales of OLUMIANT by Lilly are based on net sales of licensed products in licensed territories as provided by Lilly.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milestone and contract revenues for the three and six months ended June 30, 2026 were primarily derived from developmental milestones received from our third party collaborators, as well as out-licensing arrangements with our third party collaborators. Our milestone and contract revenues for the three and six months ended June 30, 2025, was derived from a $5.0 million development milestone upon approval of tafasitamab in treating follicular lymphoma.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Sales</w:t>
      </w:r>
    </w:p>
    <w:tbl>
      <w:tblPr>
        <w:tblW w:w="8624" w:type="dxa"/>
        <w:jc w:val="left"/>
        <w:tblInd w:w="0" w:type="dxa"/>
        <w:tblLayout w:type="fixed"/>
        <w:tblCellMar>
          <w:top w:w="28" w:type="dxa"/>
          <w:left w:w="28" w:type="dxa"/>
          <w:bottom w:w="28" w:type="dxa"/>
          <w:right w:w="28" w:type="dxa"/>
        </w:tblCellMar>
      </w:tblPr>
      <w:tblGrid>
        <w:gridCol w:w="1434"/>
        <w:gridCol w:w="1261"/>
        <w:gridCol w:w="1264"/>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143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costs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Salary and benefits related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Royalty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Profit share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definite-lived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pPr>
      <w:r>
        <w:rPr>
          <w:rFonts w:ascii="Times New Roman;serif" w:hAnsi="Times New Roman;serif"/>
          <w:b w:val="false"/>
          <w:color w:val="000000"/>
          <w:sz w:val="20"/>
        </w:rPr>
        <w:t>Cost of sales includes all product related costs, reserves for obsolescence, employee personnel costs, including stock compensation, for those employees dedicated to the production of our commercial products, royalties and profit sharing under our collaborative agreements and amortization of our licensed intellectual property rights for ICLUSIG and capitalized milestone payments</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The increase in cost of sales for the three and six months ended June 30, 2026 as compared to the corresponding period in 2025 was primarily driven by growth in net sales and NIKTIMVO profit share.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Contract Dispute Settlement</w:t>
      </w:r>
    </w:p>
    <w:p>
      <w:pPr>
        <w:pStyle w:val="TextBody"/>
        <w:bidi w:val="0"/>
        <w:spacing w:lineRule="auto" w:line="288" w:before="24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further in Note 7 of Notes to the Condensed Consolidated Financial Statements, during May 2025, we and Novartis entered into a settlement agreement with respect to litigation initiated by Novartis relating to the duration of royalty payments owed by us to Novartis under the our Collaboration and License Agreement. As of March 31, 2025, we had approximately $537.1 million of accrued royalties relating to the dispute with Novartis included in accrued and other current liabilities on our condensed consolidated balance sheet. Under the settlement agreement, we paid Novartis $280.0 million as the settlement of disputed royalties on net sales of JAKAFI in the United States through December 31, 2024, and agreed to reduce by 50% the royalty rate payable by us on future net sales of JAKAFI in the United States beginning January 1, 2025. The reduced royalty paid for the quarter ending March 31, 2025, was approximately $14.9 million. The difference of $242.2 million between the total accrued royalties and the total amount paid by us to Novartis as disclosed above was recorded in contract dispute settlement on our condensed consolidated statement of operations for the three and six months ended June 30, 2025.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tbl>
      <w:tblPr>
        <w:tblW w:w="8414" w:type="dxa"/>
        <w:jc w:val="left"/>
        <w:tblInd w:w="0" w:type="dxa"/>
        <w:tblLayout w:type="fixed"/>
        <w:tblCellMar>
          <w:top w:w="28" w:type="dxa"/>
          <w:left w:w="28" w:type="dxa"/>
          <w:bottom w:w="28" w:type="dxa"/>
          <w:right w:w="28" w:type="dxa"/>
        </w:tblCellMar>
      </w:tblPr>
      <w:tblGrid>
        <w:gridCol w:w="1264"/>
        <w:gridCol w:w="1113"/>
        <w:gridCol w:w="1117"/>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54"/>
      </w:tblGrid>
      <w:tr>
        <w:trPr/>
        <w:tc>
          <w:tcPr>
            <w:tcW w:w="126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Salary and benefits related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research and outside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all other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932.2 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account for research and development costs by natural expense line and not costs by project. The increase in salary and benefits related expense for the three and six months ended June 30, 2026 as compared to the corresponding period in 2025 was due primarily to increased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clinical research and outside services expense for the three and six months ended June 30, 2026 as compared to the corresponding period in 2025, was primarily due to continued investment in our late-stage development assets. Research and development expenses include upfront and milestone expenses related to our collaborative agreements of $0.0 million and $12.6 million, respectively, for the three and six months ended June 30, 2026. Research and development expenses include upfront and milestone expenses related to our collaborative agreements of $12.6 million and $28.1 million, respectively, for the three and six months ended June 30, 2025. Research and development expenses for the three and six months ended June 30, 2026 and 2025 were net of $4.4 million, $8.8 million, $3.9 million and $6.5 million, respectively, of costs reimbursed by our collaborative partners.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one-time expenses resulting from upfront fees in connection with the entry into any new or amended collaboration agreements and payment of milestones under those agreements, research and development expenses may fluctuate from period to period depending upon the stage of certain projects and the level of preclinical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timing of drug supply, including API,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tbl>
      <w:tblPr>
        <w:tblW w:w="8954" w:type="dxa"/>
        <w:jc w:val="left"/>
        <w:tblInd w:w="0" w:type="dxa"/>
        <w:tblLayout w:type="fixed"/>
        <w:tblCellMar>
          <w:top w:w="28" w:type="dxa"/>
          <w:left w:w="28" w:type="dxa"/>
          <w:bottom w:w="28" w:type="dxa"/>
          <w:right w:w="28" w:type="dxa"/>
        </w:tblCellMar>
      </w:tblPr>
      <w:tblGrid>
        <w:gridCol w:w="1514"/>
        <w:gridCol w:w="1332"/>
        <w:gridCol w:w="133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514"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Salary and benefits related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contract services and outside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salary and benefits related expense for the three and six months ended June 30, 2026 as compared to the corresponding period in 2025 was due primarily to increased headcount. Stock compensation expense may fluctuate from period to period based on the number of awards granted, stock price volatility and expected award lives, as well as expected award forfeiture rates which are used to value equity-based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Asset impairment and related disposal costs</w:t>
      </w:r>
    </w:p>
    <w:p>
      <w:pPr>
        <w:pStyle w:val="TextBody"/>
        <w:bidi w:val="0"/>
        <w:spacing w:lineRule="auto" w:line="288" w:before="24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described further in Note 8 of Notes to the Condensed Consolidated Financial Statements, during December 2025, the downtown Wilmington, Delaware properties that we acquired in May 2024 met the criteria to be classified as assets held for sale. As a result of this classification, we recorded an asset impairment charge of $76.3 million on our consolidated statement of operations for the year ended December 31, 2025 relating to the downtown Wilmington properties in order to reflect the properties at the lower of their carrying amount or estimated fair value less cost to sell as of December 31, 2025. The estimated fair value less cost to sell of the properties was recorded within the Prepaid expenses and other current assets line item on our consolidated balance sheet as of December 31, 2025. During the three months ended March 31, 2026, we sold these downtown properties, and recognized an additional $23.2 million of expenses relating to disposal costs, which are included in Asset impairment and related disposal costs in the condensed consolidated statements of operations.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Loss on change in fair value of acquisition-related contingent consideration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Acquisition-related contingent consideration, which consists of our future royalty obligations to ARIAD/Takeda, was recorded on the acquisition date, June 1, 2016, at the estimated fair value of the obligation, in accordance with the acquisition method of accounting. The change in fair value of the acquisition-related contingent consideration for the three and six months ended June 30, 2026 was a loss of $2.5 million and $2.3 million, respectively, which is recorded in loss on change in fair value of acquisition-related contingent consideration on the condensed consolidated statements of operations. The change in fair value of the acquisition-related contingent consideration for the three and six months ended June 30, 2025 was a loss of $22.8 million and $34.3 million, respectively, which is recorded in loss on change in fair value of acquisition-related contingent consideration on the condensed consolidated statements of operations. The change in fair value of the contingent consideration during the three and six months ended June 30, 2026 and 2025 was due primarily to updated projections of future net sales of Iclusig, including the impacts from fluctuations in foreign currency exchange rates, and the passage of time.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Non-operating Income and Expenses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income for the three and six months ended June 30, 2026 was $38.1 million and $71.8 million, respectively. Interest income for the three and six months ended June 30, 2025 was $25.1 million and $48.1 million, respectively. The increase in Interest income for the three and six months ended June 30, 2026 is primarily due to higher cash and cash equivalent balances in the first half of 2026 as compared to the corresponding periods in 2025.</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Gain (loss) on equity investments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Gains and losses on equity investments will fluctuate from period to period, based on sales of securities and the change in fair value of the securities we hold in our publicly held collaboration partners. The following table provides a summary of those gains (losses): </w:t>
      </w:r>
    </w:p>
    <w:tbl>
      <w:tblPr>
        <w:tblW w:w="7551" w:type="dxa"/>
        <w:jc w:val="left"/>
        <w:tblInd w:w="0" w:type="dxa"/>
        <w:tblLayout w:type="fixed"/>
        <w:tblCellMar>
          <w:top w:w="28" w:type="dxa"/>
          <w:left w:w="28" w:type="dxa"/>
          <w:bottom w:w="28" w:type="dxa"/>
          <w:right w:w="28" w:type="dxa"/>
        </w:tblCellMar>
      </w:tblPr>
      <w:tblGrid>
        <w:gridCol w:w="1187"/>
        <w:gridCol w:w="1043"/>
        <w:gridCol w:w="1055"/>
        <w:gridCol w:w="228"/>
        <w:gridCol w:w="439"/>
        <w:gridCol w:w="118"/>
        <w:gridCol w:w="118"/>
        <w:gridCol w:w="118"/>
        <w:gridCol w:w="118"/>
        <w:gridCol w:w="316"/>
        <w:gridCol w:w="262"/>
        <w:gridCol w:w="218"/>
        <w:gridCol w:w="109"/>
        <w:gridCol w:w="109"/>
        <w:gridCol w:w="109"/>
        <w:gridCol w:w="211"/>
        <w:gridCol w:w="511"/>
        <w:gridCol w:w="109"/>
        <w:gridCol w:w="109"/>
        <w:gridCol w:w="109"/>
        <w:gridCol w:w="109"/>
        <w:gridCol w:w="211"/>
        <w:gridCol w:w="481"/>
        <w:gridCol w:w="154"/>
      </w:tblGrid>
      <w:tr>
        <w:trPr/>
        <w:tc>
          <w:tcPr>
            <w:tcW w:w="118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Syndax</w:t>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Prelude</w:t>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gain (loss) on equity investments</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for the three and six months ended June 30, 2026 was $165.9 million and $206.2 million, respectively. The provision for income taxes for the three and six months ended June 30, 2025 was $153.0 million and $229.0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effective tax rates for the three and six months ended June 30, 2026 were favorably impacted by tax benefits associated with the generation of tax credits and foreign tax effects. This was mostly offset by a net increase in valuation allowances against certain U.S. federal and state deferred tax assets. In addition, our effective tax rate for the six months ended June 30, 2026 was favorably impacted by changes in unrecognized tax benefits. Our effective tax rates for the three and six months ended June 30, 2025 were unfavorably impacted by an increase in valuation allowances against certain U.S. federal and state deferred tax assets. This was partially offset by tax rate benefits associated with the generation of tax credits and the effects of cross-border tax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2026, we had available cash, cash equivalents and marketable securities of $4.5 billion. Subsequently, in July 2026, we paid cash consideration of $1.25 billion to acquire Vega Therapeutics, Inc. Our cash and marketable securities balances are primarily held in a variety of interest-bearing instruments, including money market accounts and U.S. government debt securities. Available cash is invested in accordance with our investment policy’s primary objectives of liquidity, safety of principal and diversity of investments.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six months ended June 30, 2026 and 2025 was $877.0 million and $310.8 million, respectively. The increase in cash provided by operating activities was due primarily to the increased net income for the 2026 period.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investing activities, other than purchases and maturities of marketable securities, have consisted predominantly of capital expenditures and purchases of long term investments. Net cash used in investing activities was $140.0 million for the six months ended June 30, 2026, which primarily represented purchases of marketable securities of $174.1 million, purchases of long term investments of $40.0 million and capital expenditures of $22.6 million, offset in part by maturities of marketable securities of $101.7 million. Net cash used in investing activities was $17.8 million for the six months ended June 30, 2025, which primarily represented by purchases of marketable securities of $97.3 million and capital expenditures of $22.2 million, offset in part by maturities of marketable securities of $101.8 million. In the future, net cash used by investing activities may fluctuate significantly from period to period due to the timing of strategic equity investments, acquisitions, and capital expenditures and maturities/sales and purchases of marketable securities.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$150.3 million for the six months ended June 30, 2026, primarily representing proceeds from issuance of common stock under our stock plans. Net cash used in financing activities was $23.9 million for the six months ended June 30, 2025, primarily representing the $19.1 million paid for excise taxes relating to the June 2024 share repurchase, cash paid for tax withholdings related to restricted and performance share vesting and cash paid to ARIAD/Takeda for contingent consideration, partially offset by proceeds from issuance of common stock under our stock plans.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August 2021, we entered into a $500.0 million, senior unsecured revolving credit facility, which was subsequently amended in May 2023 and June 2024 (as amended, the “Credit Agreement”). The June 2024 amendment to the Credit Agreement extended the maturity date of the revolving credit facility from August 2024 to June 2027. We may increase the maximum revolving commitments or add one or more incremental term loan facilities, subject to obtaining commitments from any participating lenders and certain other conditions, in an amount not to exceed $250.0 million plus a contingent additional amount that is dependent on our pro forma consolidated leverage ratio. As of June 30, 2026, we had no outstanding borrowings and were in compliance with all covenants under this facility. The Credit Agreement is described further in Note 15 of Notes to the Condensed Consolidated Financial Statements.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enactment of the One Big Beautiful Bill Act in July 2025 modified key provisions of the Tax Cuts and Jobs Act of 2017. The change related to the expensing of domestic research costs materially reduced our U.S. tax liabilities in 2025 and we expect a similar impact in 2026. We intend to continue to evaluate the impacts of these provisions for our tax return filing.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our cash flow from operations, together with our cash, cash equivalents and marketable securities and funds available under our revolving credit facility,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and expenditures for future strategic equity investments or potential acquisitions. 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These contingent future payments are discussed in detail in Note 7 of Notes to the Condensed Consolidated Financial Statements.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investments in marketable securities, which are composed primarily of U.S. government debt securities, are subject to default, changes in credit rating and changes in market value. These investments are also subject to interest rate risk and will decrease in value if market interest rates increase. As of June 30, 2026, marketable securities were $553.4 million. Due to the nature of these investments, if market interest rates were to increase immediately and uniformly by 10% from levels as of June 30, 2026, the decline in fair value would not be material.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that we continue to hold strategic equity investments in publicly traded companies, we expect that due to the volatility of the stock price of biotechnology companies, our (gain) loss on equity investments will fluctuate in future periods based on increases or decreases in the fair value of our strategic equity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ind w:left="0" w:right="0" w:firstLine="720"/>
        <w:jc w:val="both"/>
        <w:rPr/>
      </w:pPr>
      <w:r>
        <w:rPr>
          <w:rFonts w:ascii="Times New Roman;serif" w:hAnsi="Times New Roman;serif"/>
          <w:b/>
          <w:i/>
          <w:color w:val="000000"/>
          <w:sz w:val="20"/>
        </w:rPr>
        <w:t>Evaluation of disclosure controls and procedures.</w:t>
      </w:r>
      <w:r>
        <w:rPr>
          <w:color w:val="000000"/>
        </w:rPr>
        <w:t xml:space="preserve"> </w:t>
      </w:r>
      <w:r>
        <w:rPr>
          <w:rFonts w:ascii="Times New Roman;serif" w:hAnsi="Times New Roman;serif"/>
          <w:b w:val="false"/>
          <w:color w:val="000000"/>
          <w:sz w:val="20"/>
        </w:rPr>
        <w:t>We maintain “disclosure controls and procedures,” as such term is defined in Rule 13a-15(e)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their evaluation as of the end of the period covered by this Quarterly Report on Form 10-Q, our Chief Executive Officer and Chief Financial Officer concluded that, as of such date, our disclosure controls and procedures were effective at the reasonable assurance level.</w:t>
      </w:r>
    </w:p>
    <w:p>
      <w:pPr>
        <w:pStyle w:val="TextBody"/>
        <w:bidi w:val="0"/>
        <w:spacing w:lineRule="auto" w:line="288" w:before="240" w:after="283"/>
        <w:ind w:left="0" w:right="0" w:firstLine="720"/>
        <w:jc w:val="both"/>
        <w:rPr/>
      </w:pPr>
      <w:r>
        <w:rPr>
          <w:rFonts w:ascii="Times New Roman;serif" w:hAnsi="Times New Roman;serif"/>
          <w:b/>
          <w:i/>
          <w:color w:val="000000"/>
          <w:sz w:val="20"/>
        </w:rPr>
        <w:t>Changes in internal control over financial reporting</w:t>
      </w:r>
      <w:r>
        <w:rPr>
          <w:rFonts w:ascii="Times New Roman;serif" w:hAnsi="Times New Roman;serif"/>
          <w:b w:val="false"/>
          <w:color w:val="000000"/>
          <w:sz w:val="20"/>
        </w:rPr>
        <w:t>. There were no changes in our internal control over financial reporting (as defined in Rules 13a-15(f) and 15d-15(f) under the Exchange Act) for the three months ended June 30, 2026,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PART II:</w:t>
      </w:r>
      <w:r>
        <w:rPr>
          <w:color w:val="000000"/>
        </w:rPr>
        <w:t xml:space="preserve"> </w:t>
      </w:r>
      <w:r>
        <w:rPr>
          <w:rFonts w:ascii="Times New Roman;serif" w:hAnsi="Times New Roman;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called for by this item is incorporated herein by reference to the information set forth in Note 15 to our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RELATING TO COMMERCIALIZATION OF OUR PRODUCTS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depend heavily on our lead product, JAKAFI (ruxolitinib), which is marketed as JAKAVI outside the United States. If we are unable to maintain revenues from JAKAFI/JAKAVI or those revenues decrease, our business may be materially harmed.</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JAKAFI is the first product marketed by us to be approved for sale in the United States. While we also sell our and our licensors’ other approved products ICLUSIG, PEMAZYRE, MONJUVI/MINJUVI, OPZELURA, ZYNYZ and NIKTIMVO and our exclusive licensees sell OLUMIANT and TABRECTA, we anticipate that JAKAFI product sales will continue to contribute a significant percentage of our total revenues over the next several years. However, we expect that JAKAFI product sales will begin to decline upon the expiration of our patent exclusivity in 2028.</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continued commercial success of JAKAFI and our ability to maintain and continue to increase revenues from the sale of JAKAFI will depend on a number of factors, including: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number of patients diagnosed with intermediate or high-risk myelofibrosis, uncontrolled polycythemia vera or steroid-refractory graft-versus-host disease and the number of such patients that may be treated with JAKAFI;</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acceptance of JAKAFI by patients and the healthcare community;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whether physicians, patients and healthcare payors view JAKAFI as therapeutically effective and safe relative to cost and any alternative therapies, as well as whether patients will continue to use JAKAFI;</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ability to obtain and maintain sufficient coverage or reimbursement by third-party payors and pricing;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ability of our third-party manufacturers to manufacture JAKAFI in sufficient quantities that meet all applicable quality standards;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ability of our company and our third-party providers to provide marketing and distribution support for JAKAFI;</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label and promotional claims allowed by the U.S. Food and Drug Administration (FDA);</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maintenance of regulatory approval for the approved indications in the United States;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develop, obtain regulatory approval for and commercialize JAKAFI in the United States for additional indications or in combination with other therapeutic modalities;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effects of a public health pandemic or epidemic such as the COVID-19 pandemic or of adverse geopolitical events, regulatory, legislative or administrative developments.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are not able to maintain revenues from JAKAFI in the United States, or our revenues from JAKAFI decrease, our business may be materially harmed and we may need to delay other drug discovery, development and commercialization initiatives or even significantly curtail operations, and our ability to license or acquire new products to diversify our revenue base could be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revenues from our other products and our receipt of royalties under our collaboration agreements, including our agreement with Novartis Pharmaceutical International Ltd. for sales of JAKAVI outside the United States and TABRECTA globally and our agreement with Eli Lilly and Company for worldwide sales of OLUMIANT, will depend on factors similar to those listed above, with similar regulatory, pricing and reimbursement issues driven by applicable regulatory authorities and governmental and third-party payors affecting jurisdictions outside the United States.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are unable to obtain, or maintain at anticipated levels, coverage and reimbursement for our products from government health administration authorities, private health insurers and other organizations, our pricing may be affected and our product sales, results of operations and financial condition could be harmed.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commercialize our current and any future approved products successfully will depend in part on the prices we are able to charge for these products and the extent to which adequate coverage and reimbursement levels for the cost of our products and related treatment are obtained from third-party payors, such as private insurers, government insurance programs, including Medicare and Medicaid, health maintenance organizations and other healthcare related organizations in the United States and abroad. We may not be able to sell our products on a profitable basis or our profitability may be reduced if we are required to sell our products at lower than anticipated prices or reimbursement is unavailable or limited in scope or amount. The costs of the drug products marketed by us are not insignificant and almost all patients will require some form of third-party coverage to afford their cost. Our future revenues and profitability will be adversely affected if we cannot depend on government and other third-party payors to defray the cost of our products to the patient.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Governments and other third-party payors continue to pursue initiatives to manage drug costs. Pricing and reimbursement for our products may be adversely affected by a number of factors, including;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actions of federal, state and foreign governments and other third-party payors to implement or modify laws, regulations or policies addressing payment and reimbursement for drugs;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pressure by employers on private health insurance plans to reduce costs or moderate cost increases, as well as continued public scrutiny of the price of drugs and other healthcare costs;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consolidation of third-party payors and continued initiatives of government and other third-party payors to reduce costs by seeking price discounts or rebates, reducing reimbursement rates or imposing restrictions on access to or coverage of particular drugs based on perceived value;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pressure on healthcare budgets resulting from macroeconomic factors such as inflation, rising interest rates and the economic effects of geopolitical conflicts;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increasing number of hospitals and other covered entities that are eligible to participate in the U.S. 340B drug pricing program, which requires drug manufacturers such as our company to sell drugs to those entities at discounted prices in order for those drugs to be covered by Medicaid.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many markets outside of the United States, including countries of the European Union (EU), drug pricing and reimbursement are subject to government control, and government authorities are making greater efforts to limit or regulate the price of drug products. Reimbursement systems in international markets vary significantly by country and by region, and reimbursement approvals must be obtained on a country-by-country basis. Reimbursement in the EU must be negotiated on a country-by-country basis and in many countries a drug product cannot be commercially launched until reimbursement is approved. The timing to complete the negotiation process in each country is highly uncertain, and in some countries, we expect that it may exceed 12 months. Some countries set prices by reference to prices in other countries, and countries may refuse to reimburse or may restrict the reimbursed population for a drug product based on their national health technology assessments and cost effectiveness thresholds. In addition, governmental authorities in many countries may reduce prices for approved drug products from previously established prices.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Third-party payors are increasingly challenging the prices charged for medical products and services, and payors and employers are adopting benefit plan changes that shift a greater portion of prescription drug costs to patients. </w:t>
      </w:r>
      <w:r>
        <w:rPr>
          <w:rFonts w:ascii="Times New Roman;serif" w:hAnsi="Times New Roman;serif"/>
          <w:b w:val="false"/>
          <w:color w:val="000000"/>
          <w:sz w:val="20"/>
          <w:shd w:fill="FFFFFF" w:val="clear"/>
        </w:rPr>
        <w:t xml:space="preserve">Third party pharmacy benefit managers </w:t>
      </w:r>
      <w:r>
        <w:rPr>
          <w:rFonts w:ascii="Times New Roman;serif" w:hAnsi="Times New Roman;serif"/>
          <w:b w:val="false"/>
          <w:color w:val="000000"/>
          <w:sz w:val="20"/>
        </w:rPr>
        <w:t>(PBMs)</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other similar organizations </w:t>
      </w:r>
      <w:r>
        <w:rPr>
          <w:rFonts w:ascii="Times New Roman;serif" w:hAnsi="Times New Roman;serif"/>
          <w:b w:val="false"/>
          <w:color w:val="000000"/>
          <w:sz w:val="20"/>
          <w:shd w:fill="FFFFFF" w:val="clear"/>
        </w:rPr>
        <w:t xml:space="preserve">and payors can limit coverage to specific products on an approved list, or formulary, which might not include all of the approved products for a particular indication, and they can exclude drugs from their formularies in favor of competitor drugs or alternative treatments, place drugs on formulary tiers with higher patient co-pay obligations, and mandate stricter utilization criteria. Formulary exclusion effectively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pPr>
      <w:r>
        <w:rPr>
          <w:rFonts w:ascii="Times New Roman;serif" w:hAnsi="Times New Roman;serif"/>
          <w:b w:val="false"/>
          <w:color w:val="000000"/>
          <w:sz w:val="20"/>
          <w:shd w:fill="FFFFFF" w:val="clear"/>
        </w:rPr>
        <w:t>encourages patients and providers to seek alternative treatments, make a complex and time-intensive request for medical exemptions, or pay 100% of the cost of a drug. In addition, in many instances, certain PBMs, other similar organizations and third party payors may exert negotiating leverage by requiring incremental rebates, discounts or other concessions from manufacturers in order to maintain formulary positions, which could continue to result in higher gross to net deductions for affected products.</w:t>
      </w:r>
      <w:r>
        <w:rPr>
          <w:color w:val="000000"/>
        </w:rPr>
        <w:t xml:space="preserve"> </w:t>
      </w:r>
      <w:r>
        <w:rPr>
          <w:rFonts w:ascii="Times New Roman;serif" w:hAnsi="Times New Roman;serif"/>
          <w:b w:val="false"/>
          <w:color w:val="000000"/>
          <w:sz w:val="20"/>
        </w:rPr>
        <w:t>There has been significant consolidation in the health insurance industry, resulting in large insurers and PBMs exerting greater pressure and leverage in pricing and usage negotiations with drug manufacturers. P</w:t>
      </w:r>
      <w:r>
        <w:rPr>
          <w:rFonts w:ascii="Times New Roman;serif" w:hAnsi="Times New Roman;serif"/>
          <w:b w:val="false"/>
          <w:color w:val="000000"/>
          <w:sz w:val="20"/>
          <w:shd w:fill="FFFFFF" w:val="clear"/>
        </w:rPr>
        <w:t>ayors could decide to exclude</w:t>
      </w:r>
      <w:r>
        <w:rPr>
          <w:color w:val="000000"/>
          <w:shd w:fill="FFFFFF" w:val="clear"/>
        </w:rPr>
        <w:t xml:space="preserve"> </w:t>
      </w:r>
      <w:r>
        <w:rPr>
          <w:rFonts w:ascii="Times New Roman;serif" w:hAnsi="Times New Roman;serif"/>
          <w:b w:val="false"/>
          <w:color w:val="000000"/>
          <w:sz w:val="20"/>
          <w:shd w:fill="FFFFFF" w:val="clear"/>
        </w:rPr>
        <w:t>our products from formulary coverage lists, impose step edits that require patients to try alternative, including generic, treatments before authorizing payment for our products, limit the types of diagnoses for which coverage will be provided or impose a moratorium on coverage for products while the payor makes a coverage decision.</w:t>
      </w:r>
      <w:r>
        <w:rPr>
          <w:color w:val="000000"/>
        </w:rPr>
        <w:t xml:space="preserve"> </w:t>
      </w:r>
      <w:r>
        <w:rPr>
          <w:rFonts w:ascii="Times New Roman;serif" w:hAnsi="Times New Roman;serif"/>
          <w:b w:val="false"/>
          <w:color w:val="000000"/>
          <w:sz w:val="20"/>
          <w:shd w:fill="FFFFFF" w:val="clear"/>
        </w:rPr>
        <w:t>An inability to maintain adequate formulary positions could increase patient cost-sharing for our products and cause some patients to determine not to use our products. Any delays or unforeseen difficulties in reimbursement approvals could limit patient access, depress therapy adherence rates, and adversely impact our ability to successfully commercialize our products.</w:t>
      </w:r>
      <w:r>
        <w:rPr>
          <w:color w:val="000000"/>
        </w:rPr>
        <w:t xml:space="preserve"> </w:t>
      </w:r>
      <w:r>
        <w:rPr>
          <w:rFonts w:ascii="Times New Roman;serif" w:hAnsi="Times New Roman;serif"/>
          <w:b w:val="false"/>
          <w:color w:val="000000"/>
          <w:sz w:val="20"/>
          <w:shd w:fill="FFFFFF" w:val="clear"/>
        </w:rPr>
        <w:t>If we are unsuccessful in obtaining and maintaining broad coverage and reimbursement for our products, our anticipated revenue from and growth prospects for our products could be negatively affected.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third parties institute high co-payment amounts or other benefit limits for our products, the demand for our products and, accordingly, our revenues and results of operations, could be adversely affected. Our patient assistance programs have provided support for non-profit organizations that provide financial assistance to eligible patients or in some cases, we have provided our products without charge to eligible patients who have no insurance coverage or are underinsured. Substantial support in this manner could harm our profitability in the future. Further, the ability of non-profit organizations to provide assistance to patients is dependent on funding from external sources, and we cannot guarantee that such funding will be provided at adequate levels, or at all.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Risks related to proposed changes in government regulations and healthcare reform measures are described below under “Other Risks Relating to our Business—Healthcare reform measures could impact the pricing and profitability of pharmaceuticals, and adversely affect the commercial viability of our or our collaborators’ products and drug candidates. If recent proposals for changes to Medicare and Medicaid reimbursement of drug prices are adopted into law, our results of operations and financial condition could be harmed.” If government and other third-party payors refuse to provide coverage and reimbursement with respect to our products, determine to provide a lower level of coverage and reimbursement than anticipated, reduce previously approved levels of coverage and reimbursement, or delay reimbursement payments, then our pricing or reimbursement for our products may be affected and our product sales, results of operations or financial condition could be harmed. Our collaborators Novartis and Lilly are affected by similar considerations for the drugs that they market and for which we may receive royalties.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depend upon a limited number of specialty pharmacies and wholesalers for a significant portion of any revenues from JAKAFI and most of our other drug products, and the loss of, or significant reduction in sales to, any one of these specialty pharmacies or wholesalers could adversely affect our operations and financial condition.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sell JAKAFI and our other drug products other than OPZELURA primarily to specialty pharmacies and wholesalers. Specialty pharmacies dispense JAKAFI and our other drug products to patients in fulfillment of prescriptions and wholesalers sell JAKAFI and our other drug products to hospitals and physician offices. We do not promote JAKAFI or our other drug products to specialty pharmacies or wholesalers, and they do not set or determine demand for JAKAFI or our other drug products. Our ability to successfully commercialize JAKAFI and our other drug products will depend, in part, on the extent to which we are able to provide adequate distribution of JAKAFI and our other drug products to patients. Although we have contracted with a number of specialty pharmacies and wholesalers, they are expected generally to carry a very limited inventory and may be reluctant to be part of our distribution network in the future if demand for our products does not increase. Further, it is possible that these specialty pharmacies and wholesalers could decide to change their policies or fees, or both, at some time in the future. This could result in their refusal to carry smaller volume products such as JAKAFI and our other drug products, or lower margins or the need to find alternative methods of distributing our product. Although we believe we can find alternative channels to distribute JAKAFI or our other drug products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are unable to establish and maintain effective sales, marketing and distribution capabilities, or to enter into agreements with third parties to do so, we will not be able to successfully commercialize our products.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established commercial capabilities in the United States and outside of the United States, but cannot guarantee that we will be able to enter into and maintain any marketing, distribution or third-party logistics agreements with third-party providers on acceptable terms, if at all. We may not be able to correctly judge the size and experience of the sales and marketing force and the scale of distribution capabilities necessary to successfully market and sell any new products. Establishing and maintaining sales, marketing and distribution capabilities are expensive and time-consuming. Competition for personnel with experience in sales and marketing can be high. Our expenses associated with building and maintaining the sales force and distribution capabilities may be disproportional compared to the revenues we may be able to generate on sales of our products.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continuing to establish and maintain sales, marketing and distribution capabilities for our products. Successful commercialization of our drug candidates requires us to establish new physician and payor relationships, PBM and pharmacy network relationships, reimbursement strategies and governmental interactions, separate from our existing capabilities. Our inability to successfully commercialize our products could harm our business and operating results.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fail to comply with applicable laws and regulations, we could lose our approval to market our products or be subject to other governmental enforcement activity, and we could face increased costs, penalties and a loss of business.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cannot guarantee that we will be able to maintain regulatory approval to market our products in the jurisdictions in which they are currently marketed. If we do not maintain our regulatory approval to market our products, our results of operations will be materially harmed. We and our collaborators, third-party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and assurance, labeling, advertising, promotion, risk mitigation, and adverse event reporting requirements.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commercialization of our products is subject to post-regulatory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 In addition, in September 2021, the FDA updated labeling for JAKAFI and other JAK inhibitor drugs to include warnings of increased risk of major adverse cardiovascular events, thrombosis, and secondary malignancies related to another JAK-inhibitor treating rheumatoid arthritis, a condition for which JAKAFI is not indicated. As part of the FDA labeling update for oral JAK inhibitors in treating inflammatory conditions, class “boxed” warnings were also included in the OPZELURA label. It is possible that future sales of JAKAFI and OPZELURA could be negatively affected as a result of the “boxed” warnings, which could have a material and adverse effect on our business, results of operations and prospects.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Failure to comply with the laws and regulations administered by the FDA or other agencies could result in: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administrative and judicial sanctions, including warning letters;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fines and other civil penalties;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suspension or withdrawal of regulatory approval to market or manufacture our products;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interruption of production;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operating restrictions;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product recall or seizure;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54"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injunctions;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criminal prosecution.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occurrence of any such event may have a material adverse effect on our business.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disruptions at the FDA and other regulatory agencies could prevent those agencies from performing normal business functions on which the operation of our business relies, which could negatively impact our business.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The testing, manufacturing, marketing and sale of our products could expose us to product liability and other risks. Side effects and other problems experienced by patients from the use of our products</w:t>
      </w:r>
      <w:r>
        <w:rPr>
          <w:color w:val="000000"/>
        </w:rPr>
        <w:t xml:space="preserve"> </w:t>
      </w:r>
      <w:r>
        <w:rPr>
          <w:rFonts w:ascii="Times New Roman;serif" w:hAnsi="Times New Roman;serif"/>
          <w:b w:val="false"/>
          <w:color w:val="000000"/>
          <w:sz w:val="20"/>
        </w:rPr>
        <w:t>could: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lessen the frequency with which physicians decide to prescribe our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encourage physicians to stop prescribing our products to their patients who previously had been prescribed our products;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cause serious harm to patients that may give rise to product liability claims against us;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result in our need to withdraw or recall our products from the marketplace.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our products are used by a wide patient population, new risks and side effects may be discovered, the rate of known risks or side effects may increase, and risks previously viewed as less significant could be determined to be significant.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Previously unknown risks and adverse effects of our products may also be discovered in connection with unapproved, or off-label, uses of our products. We are prohibited by law from promoting or in any way supporting or encouraging the promotion of our products for off-label uses, but physicians are permitted to use products for off-label purposes. In addition, we are studying and expect to continue to study our approved products in diseases for potential additional indications in controlled clinical settings, and independent investigators are doing so as well. In the event of any new risks or adverse effects discovered as new patients are treated and as our products are studied in or used by patients for off-label indications, regulatory authorities may delay or revoke their approvals, we may be required to conduct additional clinical trials, make changes in labeling of our products, reformulate our products or make changes and obtain new approvals. We may also experience a significant drop in the sales of our products, experience harm to our reputation and the reputation of our products in the marketplace or become subject to lawsuits, including class actions. Any of these results could decrease or prevent sales of our products or substantially increase the costs and expenses of commercializing our products.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Patients who have been enrolled in our clinical trials or who may use our products in the future often have severe and advanced stages of disease and known as well as unknown significant pre-existing and potentially life-threatening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Factors similar to those listed above also apply to our collaborators in the jurisdictions in which they have development and commercialization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945"/>
                <wp:effectExtent l="0" t="0" r="0" b="0"/>
                <wp:wrapNone/>
                <wp:docPr id="55" name="Frame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market our products in a manner that violates various laws and regulations, we may be subject to civil or criminal penalties.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FDA and related regulatory requirements, we are subject to healthcare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or state-financed healthcare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physicians are permitted, based on their medical judgment, to prescribe products for indications other than those approved by the FDA, manufacturers are prohibited from promoting their products for such off-label uses. Although we believe that our promotional materials for physicians do not constitute improper promotion, the FDA or other agencies may disagree. If the FDA or another agency determines that our promotional materials or other activities constitute improper promotion,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EU and member countries, as well as governmental authorities in other countries, impose similar strict restrictions on the promotion and marketing of drug products. The off-label promotion of medicinal products is prohibited in the EU and in other territories, and the EU also maintains strict controls on advertising and promotional materials.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majority of states also have statutes or regulations similar to the federal anti-kickback law and false claims laws, which apply to items and services reimbursed under Medicaid and other state programs, or, in several states, apply regardless of the payor. Numerous states and localities have enacted or are considering enacting legislation requiring pharmaceutical companies to establish marketing compliance programs, file periodic reports or make periodic public disclosures on sales, marketing, pricing, clinical trials, and other activities. Additionally, as part of the Patient Protection and Affordable Care Act, the U.S. federal government has enacted the Physician Payment Sunshine provisions. These provisions and similar laws and regulations in other jurisdictions where we do business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which could be significant in amount or result in exclusion from federal healthcare programs such as Medicare and Medicaid. Any action initiated against us for violation of these laws, even if we successfully defend against it, could require the expenditure of significant resources and generate negative publicity, which could harm our business and operating results, and any settlement of such action initiated against us, regardless of the merits, could result in the payment of significant amounts, which could harm our financial condition and operating results. See also “—Other Risks Relating to our Business—If we fail to comply with the extensive legal and regulatory requirements affecting the healthcare industry, we could face increased costs, penalties and a loss of business”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945"/>
                <wp:effectExtent l="0" t="0" r="0" b="0"/>
                <wp:wrapNone/>
                <wp:docPr id="56" name="Frame5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Competition for our products could harm our business and result in a decrease in our revenue.</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products compete, and our product candidates may in the future compete, with currently existing therapies, including generic drugs, product candidates currently under development by us and others, or future product candidates, including new chemical entities that may be safer or more effective or more convenient than our products. Any products that we develop may be commercialized in competitive markets, and our competitors, which include large global pharmaceutical and biopharmaceutical companies and smaller research-based biotechnology companies, may succeed in developing products that render our products obsolete or noncompetitive. Many of our competitors, particularly large pharmaceutical and biopharmaceutical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See “Item 1. Business—Competition” in our Annual Report on Form 10-K for the year ended December 31, 2025 for additional information regarding the effects of competition. If we are unable to compete successfully, our commercial opportunities will be reduced and our business, results of operations and financial conditions may be materially harmed.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Present and potential competitors for JAKAFI include major pharmaceutical and biotechnology companies, as well as specialty pharmaceutical firms. In addition, JAKAFI could face competition from generic products. As a result of the Drug Price Competition and Patent Term Restoration Act of 1984, commonly known as the Hatch-Waxman Act, in the United States, generic manufacturers may seek approval of a generic or other version of an innovative pharmaceutical by filing with the FDA an Abbreviated New Drug Application (“ANDA”) or a New Drug Application (“NDA”) pursuant to section 505(b)(2) of the Federal Food, Drug, and Cosmetic Act (the “FDCA”). The Hatch-Waxman Act provides significant incentives to generic manufacturers to challenge U.S. patents on successful innovative pharmaceutical products. We have received notice letters from Apotex, Inc., Hikma Pharmaceuticals USA Inc., Sun Pharmaceutical Industries Inc., Granules India Ltd., Dr. Reddy’s Laboratories, Inc., Eugia Pharma Specialties, Ltd., Alkem Laboratories Ltd., Alembic Pharmaceuticals Ltd., and MSN Pharmaceuticals Inc. and MSN Laboratories Pvt. Ltd. (together “MSN”), which we refer to as the Generic JAKAFI Manufacturers, notifying us that each has filed an ANDA requesting approval to market a generic version of JAKAFI and that contain a paragraph IV certification purporting to challenge one or more patents covering ruxolitinib composition of matter and its use that expire (with pediatric extension) in June 2028 and patents covering ruxolitinib phosphate and its use that expire (with pediatric extension) in December 2028. We have also received a separate notice letter from Apotex, Inc. regarding its filing of an NDA pursuant to section 505(b)(2) of the FDCA that requested to rely, in part, on the FDA’s previously published findings of safety and efficacy for JAKAFI and that contains a paragraph IV certification purporting to challenge patents covering ruxolitinib composition of matter and its use that expire (with pediatric extension) in June 2028 and patents covering ruxolitinib phosphate and its use that expire (with pediatric extension) in December 2028. In response, we filed patent infringement actions against each of the Generic JAKAFI Manufacturers (including with respect to both the ANDA and 505(b)(2) NDA for Apotex, Inc.) in the U.S. District Court for the District of New Jersey asserting certain FDA Orange-Book-listed patents for JAKAFI. We subsequently entered into confidential settlement agreements with Hikma Pharmaceuticals USA Inc., Granules India Ltd., Dr. Reddy’s Laboratories, Inc., Eugia Pharma Specialties, Ltd., and Alkem Laboratories Ltd., respectively, settling all outstanding claims in the litigations against those Generic JAKAFI Manufacturers. The actions against the other Generic JAKAFI Manufacturers remain pending.</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ICLUSIG currently competes with existing therapies that are approved for the treatment of patients with chronic myeloid leukemia (“CML”) who are resistant or intolerant to prior tyrosine kinase inhibitor (“TKI”) therapies, on the basis of, among other things, efficacy, cost, breadth of approved use and the safety and side-effect profile. In addition, generic versions of imatinib are available. Given ICLUSIG’s various indication statements globally that are currently focused on resistant or intolerant CML, we currently believe that generic versions of imatinib will not materially impact our commercialization of ICLUSIG but we cannot be certain how physicians, payors, patients, regulatory authorities and other market participants will respond to the availability of generic versions of imatinib.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1945"/>
                <wp:effectExtent l="0" t="0" r="0" b="0"/>
                <wp:wrapNone/>
                <wp:docPr id="57" name="Frame5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MONJUVI/MINJUVI currently competes with existing therapies that are approved for the treatment of patients with diffuse large B-cell lymphoma on the basis of, among other things, efficacy, cost, breadth of approved use and the safety and side-effect profile. These existing therapies are offered by major pharmaceutical and biotechnology companies, as well as specialty pharmaceutical firms. Competitors and potential competitors for PEMAZYRE, ZYNYZ and NIKTIMVO include major pharmaceutical and biotechnology companies, as well as specialty pharmaceutical firms.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Competitors for OPZELURA include existing over-the-counter topical treatments and prescription topical treatments, as well as oral and injectable therapies, from major pharmaceutical and biotechnology companies, and companies that produce generic versions of prescription treatments. We have received notice letters from Padagis Israel Pharmaceuticals Ltd., Taro Pharmaceuticals Inc., Zydus Lifesciences Limited and Encube Ethicals Private Limited, which we refer to as the Generic OPZELURA Manufacturers, notifying us that each has filed an ANDA requesting approval to market a generic version of OPZELURA and that contain a paragraph IV certification purporting to challenge one or more patents covering ruxolitinib phosphate cream and its uses that expire in 2031 and 2040. None of the notice letters challenge the ruxolitinib or ruxolitinib phosphate composition of matter patents, providing patent coverage (with pediatric extension) until December 2028. In response to the notice letters, we filed patent infringement actions against each of the Generic OPZELURA Manufacturers in the U.S. District Court for the District of New Jersey asserting certain FDA Orange Book-listed patents for OPZELURA. Each of these actions remains pending.</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our patents will be upheld or that any litigation in which we might engage with any generic manufacturer will be successful in protecting the exclusivity of our products. The entry of a competitive drug product from another company or a generic version of one of our products could result in a decrease in sales of our products and materially harm our business, operating results and financial condition.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Factors similar to those listed above also apply to our collaborator Novartis for JAKAVI and TABRECTA in the jurisdictions in which it has commercialization rights and to our collaborator Lilly for OLUMIANT in all jurisdictions.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OTHER RISKS RELATING TO OUR BUSINESS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or our collaborators may be unsuccessful in our efforts to discover and develop drug candidates and commercialize drug products.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long-term success, revenue growth and diversification of revenues depends on our ability to obtain regulatory approval for new drug products and additional indications for our existing drug products. Our ability to discover and develop drug candidates and to commercialize additional drug products and indications will depend on our ability to:</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hire and retain key employees;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identify high quality therapeutic targets;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identify potential drug candidates;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develop products internally or license or acquire drug candidates from others;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identify and enroll suitable human subjects, either in the United States or abroad, for our clinical trials;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complete laboratory testing;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commence, conduct and complete safe and effective clinical trials on humans;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obtain and maintain necessary intellectual property rights to our products;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obtain and maintain necessary regulatory approvals for our products, both in the United States and abroad;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enter into arrangements with third parties to provide services or to manufacture our products on our behalf;</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prepare and execute our commercial product launch strategies;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1945"/>
                <wp:effectExtent l="0" t="0" r="0" b="0"/>
                <wp:wrapNone/>
                <wp:docPr id="58" name="Frame5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deploy sales, marketing, distribution and manufacturing resources effectively or enter into arrangements with third parties to provide these functions in compliance with all applicable laws;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obtain appropriate coverage and reimbursement levels for the cost of our products from governmental authorities, private health insurers and other third-party payors;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lease facilities at reasonable rates to support our growth;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enter into arrangements with third parties to license and commercialize our products.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biotechnology and pharmaceutical industries are intensely competitive and subject to rapid and significant technological change. Despite investing significant resources, we may not be successful in discovering, developing, or commercializing additional drug products or our existing drug products in new indications. Discovery and development of drug candidates are expensive, uncertain and time-consuming, and we do not know if our efforts will lead to discovery of any drug candidates that can be successfully developed and marketed. We, and our collaborators and licensees, must continuously decide whether to discontinue development of any or all of our drug candidates at any time for commercial, scientific or other reasons. Even if a drug candidate receives marketing approval, it may not be able to achieve market acceptance or compete successfully with our competitors’ products and we may never realize a return on the significant amount of time and money invested in the drug candidate, which could adversely affect our operating results and financial condition as well as our business plans. Of the compounds or biologics that we identify as potential drug products or that we in-license from other companies, including potential products for which we are conducting clinical trials, only a few, if any, are likely to lead to successful drug development programs and commercialized drug products.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failure of our or our collaborators’ products to gain acceptance in the marketplace could negatively impact demand for our products and could materially and adversely affect our results of operations and financial condition.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Even if our or our collaborators’ drug candidates receive regulatory approval in the United States or foreign jurisdictions, the market success of these products will be adversely affected if they are unable to achieve and maintain market acceptance by patients, providers and payors. Demand for our products could be adversely affected if providers elect a course of treatment which does not include our or our collaborators’ approved products. The market success of our products depends on our ability to successfully communicate the safety and efficacy of our and our collaborator’s products, and the failure to do so could adversely impact our results of operations and financial condition.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or our collaborators are unable to obtain regulatory approval for our drug candidates in the United States or foreign jurisdictions, we or our collaborators will not be permitted to commercialize products resulting from our research.</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or our collaborators’ drug candidates are safe and effective for target indications through preclinical testing (animal testing) and clinical trials (human testing). Preclinical and clinical development are long, expensive and uncertain processes, and we do not know whether the FDA will allow us or our collaborators to undertake clinical trials of any drug candidates in addition to our or our collaborators’ compounds currently in clinical trials. If regulatory approval of a product is granted, this approval will be limited to those disease states and conditions for which the product is demonstrated through clinical trials to be safe and effective.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or our collaborators’ drug candidates may be stopped, due to many potential factors, including: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high degree of risk and uncertainty associated with drug development;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inability to formulate or manufacture sufficient quantities of materials for use in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1945"/>
                <wp:effectExtent l="0" t="0" r="0" b="0"/>
                <wp:wrapNone/>
                <wp:docPr id="59" name="Frame5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variability in the number and types of patients available for each study;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difficulty in maintaining contact with patients after treatment, resulting in incomplete data;</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unforeseen safety issues or side effects;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poor or unanticipated effectiveness of drug candidates during the clinical trials;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government or regulatory delays.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Delays in FDA approval of drug candidates may also result from other factors such as funding limitations, staffing reductions or other resource restrictions, any of which could have an adverse effect on the regulatory approval process. Further, the FDA has in the past required, and could in the future require, that we or our collaborators conduct additional trials of any of our drug candidates, which would result in delays and could result in our termination of a drug development program. From time to time we and our collaborators have experienced events that have resulted in delays, setbacks and terminations of drug development programs. In April 2017, we and our collaborator Lilly announced that the FDA had issued a complete response letter for the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 In addition, in January 2022, we announced that we withdrew the NDA seeking approval of parsaclisib for the treatment of patients with relapsed or refractory follicular lymphoma, marginal zone lymphoma and mantle cell lymphoma. The decision to withdraw the NDA followed discussions with FDA regarding confirmatory clinical trials that we determined cannot be completed within the time period to support the investment. Also, in March 2023, we received a complete response letter for ruxolitinib extended release tablets, which identified additional requirements for approval.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Compounds or biologics developed by us or with or by our collaborators and licensees may not prove to be safe and effective in clinical trials and may not meet all of the applicable regulatory requirements needed to receive marketing approval. For example, in January 2020 we stopped our Phase 3 trial of itacitinib for the treatment of acute graft-versus-host-disease. If clinical trials of any of our or our collaborators’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Even if any of our applications receives an FDA Fast Track or priority review designation (including based on a priority review voucher, one of which we recently acquired and used in connection with our submission seeking FDA approval of ruxolitinib cream for atopic dermatitis), these designations may not result in faster review or approval for our product candidate compared to product candidates considered for approval under conventional FDA procedures and, in any event, do not assure ultimate approval of our product candidate by the FDA. For example, in June 2021 we were informed by the FDA that the FDA had extended by three months the review period for the NDA for ruxolitinib cream for atopic dermatitis. Also, in July 2021, we announced that the FDA issued a complete response letter for the BLA of retifanlimab for the treatment of squamous cell carcinoma of the anal canal, in which the FDA stated it cannot approve the BLA and that additional data are needed. In addition, while the FDA had granted orphan drug designation and Fast Track designation to parsaclisib as a treatment for patients with follicular lymphoma, marginal zone lymphoma and mantle cell lymphoma, as discussed above we withdrew our NDA seeking approval for treatment of patients with those lymphomas. The FDA has recently increased its attention on mandated confirmatory trials for oncology drug candidates with accelerated approvals, and the logistics, cost and timing required for confirmatory trials may conflict with our investment thesis for drug candidates, resulting in withdrawal of approval applications.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1945"/>
                <wp:effectExtent l="0" t="0" r="0" b="0"/>
                <wp:wrapNone/>
                <wp:docPr id="60" name="Frame6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Healthcare reform measures, including federal and state drug pricing reforms, could impact the pricing and profitability of pharmaceuticals and adversely affect the commercial viability of our or our collaborators’ products and drug candidates.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recent years, the U.S. federal government has enacted significant healthcare and drug pricing reforms through legislation and regulation. These reforms include modifications to Medicare reimbursement, increased manufacturer rebate obligations under certain government healthcare programs and the establishment of new mechanisms intended to reduce prescription drug spending. For example, the American Rescue Plan Act of 2021 included a provision that became effective in January 2024 that eliminated the statutory cap on rebates that drug manufacturers pay to Medicaid. It is expected that this provision, as implemented by the Centers for Medicare and Medicaid Services (“CMS”), will have the effect of increasing Medicaid rebate liability, particularly in the case of medicines that have experienced price increases at a rate in excess of inflation.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Inflation Reduction Act of 2022 (the “IRA”) introduced several significant changes to Medicare, including: requiring CMS to negotiate prices for certain high-expenditure, single source Medicare drugs; imposing inflation-based rebates on manufacturers whose prices increase faster than inflation; redesigning the Medicare Part D benefit to cap beneficiary out-of-pocket costs while requiring manufacturers to provide mandatory discounts under the Medicare Part D Manufacturer Discount Program beginning in 2025; and establishing penalties for manufacturers that fail to comply with applicable Medicare Drug Price Negotiation Program requirements. The IRA provides phased implementation of the Medicare Part D Manufacturer Discount Program for certain qualifying products. Certain Incyte products currently qualify for this phase-in, although our manufacturer discount obligations will increase over time as those provisions phase out.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2025, Congress enacted the ORPHAN Cures Act, which amended certain provisions of the Medicare Drug Price Negotiation Program established under the IRA. As a result, the timeline under which the ruxolitinib phosphate active moiety could become eligible for Medicare drug price negotiation has been extended. While the ORPHAN Cures Act delayed the timing of potential Medicare drug price negotiation applicable to ruxolitinib phosphate, future policy actions could modify, repeal or further amend these provisions, or otherwise expand government authority over pharmaceutical pricing.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More broadly, reforms or other changes to Medicare, Medicaid or other government healthcare programs, as well as changes in reimbursement policies adopted by private insurers and other third-party payors, may alter reimbursement methodologies, reduce reimbursement rates or product pricing or increase manufacturer liabilities. Changes to Medicare Part B reimbursement methodologies, payment rates or site-of-care payment policies applicable to physician-administered drugs could adversely affect provider purchasing decisions, product utilization, reimbursement and revenues. These reforms may affect future investments in our drug development should they affect our risk-benefit analysis of investing in drug candidates, reduce the price that we or any of our collaborators or licensees receive for our products and adversely affect our business strategy, operations and financial results.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legislative and enforcement interest in the United States with respect to drug pricing practices has increased. This has resulted in significant legislative activity and proposals from the prior and current administrations relating to prescription drug prices and reimbursement, any of which, if enacted, could impose downward pressure on the prices that we can charge for our products and may further limit the commercial viability of our products and drug candidates. Specifically, there have been ongoing federal congressional inquiries and proposed and enacted federal and state legislation, executive orders and administrative agency rules designed to, among other things, bring more transparency to drug pricing, reduce drug prices, reform government program reimbursement methodologies for prescription drugs, expand access to government-mandated discounted pricing (known as 340B pricing) through broader contract pharmacy arrangements, allow importation of drugs into the United States from other countries and limit allowable prices for drugs through reference to an average price from foreign markets that may be substantially lower than what we currently or would otherwise charge. In certain foreign markets, pricing or profitability of prescription pharmaceuticals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1945"/>
                <wp:effectExtent l="0" t="0" r="0" b="0"/>
                <wp:wrapNone/>
                <wp:docPr id="61" name="Frame6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subject to government control. We expect that the healthcare reform measures that have been adopted in the United States and in foreign markets, and further reforms that may be adopted in the future, could result in more rigorous coverage criteria and additional downward pressure on the prices that we may receive for our approved products. If reimbursement for our products is unavailable or limited in scope or amount, or if pricing is set at unsatisfactory levels, our business could be materially harmed, including material adverse affects to our revenue and the curtailing or, in some case, the ceasing of our research and development efforts. There may be future changes that result in reductions in current prices, coverage and reimbursement levels for our current or any future approved products, and we cannot predict the scope of any future changes or the impact that those changes would have on our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Further, if we become the subject of any governmental or other regulatory hearing or investigation with respect to the pricing of our products or other business practices, we could incur significant expenses and could be distracted from the operation of our business and execution of our business strategy. Any such hearing or investigation could also result in significant negative publicity and harm to our reputation and reduced market acceptance and demand, which could adversely affect our financial results and growth prospects.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trend toward managed healthcare in the United States, as well as legislative and regulatory proposals to reform healthcare or address the cost of government insurance programs, may result in lower prices for, or rejection of, our products. Managed healthcare organizations could control or significantly influence the purchase of healthcare services and products. Adoption of our products by the medical community and patients may be limited without adequate reimbursement for those products. Cost control initiatives may decrease coverage and payment levels for our products and, in turn, the price that we will be able to charge for any product. Our products may not be considered cost-effective,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continuing efforts of legislatures, health agencies and third-party payors to contain or reduce the costs of healthcare,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Changes in government pricing policies, including the enactment of “most favored nation” legislation and actions, could adversely affect our business.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results of operations and cash flows could be materially and adversely affected by changes in government pricing policies, including recently proposed or enacted “most favored nation” (MFN) pricing legislation or executive actions. For example, an executive order issued on May 12, 2025, directed the Department of Health and Human Services to establish MFN price targets, and, if progress toward these targets is insufficient, to pursue rulemaking that could require sale of certain products in the U.S. at prices no higher than those in comparable developed nations. The extent, timing, and ultimate effect of this policy are uncertain, and we cannot predict the potential impact on our pricing, reimbursement or profitability.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1945"/>
                <wp:effectExtent l="0" t="0" r="0" b="0"/>
                <wp:wrapNone/>
                <wp:docPr id="62" name="Frame6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licensed to Novartis rights to ruxolitinib outside of the United States and worldwide rights to our MET inhibitor compounds, including TABRECTA, and licensed to Lilly worldwide rights to baricitinib. In addition, we have licensed certain Asian rights to some of our drug products and clinical stage compounds to other collaborators.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our out-licensed drug candidates.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and lead to our loss of potential revenues from product sales and milestones. Additionally, conflicts have from time to time occurred, and may in the future arise, relating to, among other things, disputes about the achievement and payment of milestone amounts and royalties owed, the ownership of intellectual property that is developed during the course of a collaborative relationship or the operation or interpretation of other provisions in our collaboration and license agreements. These disputes have led and could in the future lead to litigation or arbitration, which could be costly and divert the efforts of our management and scientific staff and could diminish the expected effectiveness of the collaboration.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existing collaborative and license agreements can be terminated by our collaborators and licensees for convenience, in addition to other circumstances. If any of our collaborators or licensees terminates its agreement with us, or terminates its rights with respect to certain indications or drug candidates, we may not be able to find a replacement collaborator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financial condition and future revenue prospects.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Novartis, Lilly, and our other existing collaborations, we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our revenues and our future revenue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1945"/>
                <wp:effectExtent l="0" t="0" r="0" b="0"/>
                <wp:wrapNone/>
                <wp:docPr id="63" name="Frame6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We cannot be sure that potential conflicts will not arise or be alleged among our existing or future collaborations. If a business combination involving a collaborator or licensee and a third-party were to occur, the effect could be to terminate or cause delays in the development of our drug candidate.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fail to enter into additional licensing agreements or if these arrangements are unsuccessful, our business and operations might be adversely affected.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 targets that fit within our focus, such as our collaborations with MacroGenics, Inc. (“MacroGenics”), Merus N.V. (“Merus”) and Syndax Pharmaceuticals Inc.,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For example, in January 2022, we decided to opt-out of the continued development with Merus of MCLA-145, which was the most advanced compound under our collaboration with Merus, and in 2022 and 2023, we decided to terminate our collaborations with Calithera Biosciences, Inc. and Syros Pharmaceuticals, Inc. If we make or incur contractual obligations to make significant upfront payments in connection with licenses for late-stage drug candidates, and if any of those drug candidates do not receive marketing approval or commercial sales as anticipated or we have to fund additional clinical trials before marketing approval can be obtained, we will have expended significant funds that might have been applied for other uses or we may have to expend funds that were not otherwise budgeted or anticipated in connection with the collaboration, and such developments could have a material adverse effect on our stock price and our ability to pursue other transactions. As discussed above under “Other Risks Relating to Our Business—We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conflicts or other issues may arise with our licensors. Those conflicts could result in delays in our plans to develop drug candidates or result in the expenditure of additional funds to resolve those conflicts that could have an adverse effect on our results of operations. We have also licensed, and may in the future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 and we may be unable to increase our number of successfully marketed products and our revenues.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Public health epidemics and pandemics, such as the COVID-19 pandemic, have adversely affected and could in the future adversely affect our business, results of operations, and financial condition.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global operations expose us to risks associated with public health epidemics and pandemics, such as the COVID-19 pandemic. The extent to which a public health pandemic and the measures taken to limit the disease’s spread can impact our operations and those of our suppliers, collaborators, service providers and healthcare organizations serving patients, as well as demand for our drug products, will depend on developments that are highly uncertain, including the duration of the outbreak and any related government actions.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COVID-19 pandemic we experienced, and as a result of future pandemics we may in the future experience, disruptions with the potential to severely impact our business, results of operations and financial condition. These disruptions can include the following: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1945"/>
                <wp:effectExtent l="0" t="0" r="0" b="0"/>
                <wp:wrapNone/>
                <wp:docPr id="64" name="Frame6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the imposition of shelter-in-place orders and work-from-home policies that could affect our research and development activities and access to our laboratory space;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disruptions in our sales and marketing activities;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negative impacts on the demand for our products as a result of a decrease in patient visits to healthcare professionals and the prioritization of hospital resources for a future pandemic;</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negative impacts on our clinical trials as a result of delays in site initiation, patient screening, patient enrollment, and monitoring and data collection;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slower response times by the FDA and comparable foreign regulatory agencies for the review and potential approvals of our drug candidate applications; and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negative impacts on the global supply chain which may affect our ability to obtain sufficient materials for our drug products and product candidates.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collaborators could be affected by similar factors as those that have or could affect our business. The ultimate impact of a public health epidemic or pandemic is highly uncertain, but the potential impacts or delays on our or our collaborators’ businesses, our revenues, including milestone and royalty revenues from our collaborators, our and our collaborators’ clinical trials, healthcare systems or the global economy as a whole could have a material adverse impact on our business, results of operations and financial condition.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Even if a drug candidate that we develop receives regulatory approval, we may decide not to commercialize it if we determine that commercialization of that product would require more money and time than we are willing to invest.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Even if any of our drug candidates receives regulatory approval, it could be subject to post-regulatory surveillance, and may have to be withdrawn from the market or subject to restrictions if previously unknown problems occur. Regulatory agencies also may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will not cover it for substantial reimbursement. In addition, we may decide not to continue to commercialize a product if competitors develop and commercialize similar or superior products or have proprietary rights that preclude us from ultimately marketing our products.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have limited capacity to conduct preclinical testing and clinical trials, and our resulting dependence on other parties could result in delays in and additional costs for our drug development efforts.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limited internal resources and capacity to perform preclinical testing and clinical trials. As part of our development strategy, we often hire contract research organizations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entity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1945"/>
                <wp:effectExtent l="0" t="0" r="0" b="0"/>
                <wp:wrapNone/>
                <wp:docPr id="65" name="Frame6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reliance on third parties for manufacture of certain of our drug products and drug candidates could result in a short supply of the drugs, delays in clinical trials or drug development, increased costs, and withdrawal or denial of a regulatory authority’s approval.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currently operate manufacturing facilities for most of our commercial products, including JAKAFI, PEMAZYRE, ICLUSIG, OPZELURA, ZYNYZ and NIKTIMVO, and our drug candidates. Our current manufacturing strategy for these products and drug candidates is to contract with third parties to manufacture the related raw materials, active pharmaceutical ingredient (“API”), and finished drug product. We have a biologics production facility located in Yverdon, Switzerland which is currently registered for MONJUVI/MINJUVI drug substance manufacturing. We are responsible for the sourcing and manufacturing of ZYNYZ together with our collaborator MacroGenics. While working to increase our own manufacturing capacity through our Swiss bioplant site, we expect to continue to rely on third parties for the manufacture of clinical and commercial supplies of raw materials, API and finished drug product for any drugs that we successfully develop. We also contract with third parties to package and label our products. The FDA requires that the raw materials, API and finished product for drug products such as JAKAFI, PEMAZYRE and OPZELURA and our drug candidates be manufactured according to its current Good Manufacturing Practices regulations, and regulatory authorities in other countries have similar requirements. Failure to comply with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initiating product recalls or taking other enforcement actions, which could have a material adverse effect on our business.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to commercial quantities from clinical quantities. These problems include difficulties with production costs and yields, quality control and assurance and shortages of qualified personnel. To the extent problems such as these are experienced, we could encounter difficulties in supplying sufficient product to meet demand or incur additional costs to remedy the problems or to recall defective products. Any such recall could also harm our sales efforts and our reputation. Our suppliers, which operate in multiple countries around the world, could also experience disruptions in their operations resulting from various factors, including equipment malfunction or failure, regulatory requirements or actions, raw material shortages, labor disputes or shortages, including from the effects of public health pandemics, cyberattacks, natural and other disasters, and wars or other geopolitical events. In addition, one or more of our third party contract manufacturers could be acquired and its contract manufacturing operations could be ceased or curtailed. While our strategy is to maintain at a minimum 24 months stock of ruxolitinib phosphate API, inclusive of finished product, ruxolitinib phosphate might be used by us either to make JAKAFI or OPZELURA or for ruxolitinib drug candidates in clinical trials.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raw materials, API and finished product of our drug products and our other drug candidates.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 Any increases in the cost of our drug candidates or drug products, whether through conditions affecting the cost and availability of raw materials, such as inflation, decreases in available manufacturing capacity, or otherwise, would adversely affect our results of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1945"/>
                <wp:effectExtent l="0" t="0" r="0" b="0"/>
                <wp:wrapNone/>
                <wp:docPr id="66" name="Frame6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number of our collaborations involve the manufacture of antibodies. Either we or our collaborators have primary responsibility for manufacturing activities, and we intend to continue to use third-party contract manufacturing organizations for the manufacture of antibodies in conjunction with our manufacturing facility in Switzerland.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up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We may encounter delays and difficulties in scaling up production at our Swiss facility or in obtaining necessary regulatory approvals and registrations to do so.</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manufacturing facility in Switzerland is subject to similar risks as those described above in relation to our third-party manufacturers. This facility may encounter unanticipated delays and expenses in operations due to a number of factors, including regulatory requirements. For example, our manufacturing facilities are subject to inspection in connection with clinical development and new drug approvals as well as ongoing, periodic inspections by regulatory agencies. Any failures or deficiencies identified by such inspections could delay or prevent our manufacturing activities. If our manufacturing operations are delayed, we may not be able to manufacture sufficient quantities of our drug candidates and approved drug products which could limit our development and commercialization activities and adversely affect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fail to comply with the extensive legal and regulatory requirements affecting the healthcare industry, we could face increased costs, penalties and a loss of business.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activities, and the activities of our collaborators, partners and third-party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and have instituted pricing disclosure and other requirements for companies selling pharmaceuticals. In addition, pharmaceutical and biotechnology companies have been the target of lawsuits and 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or violations related to environmental matters. There is also enhanced scrutiny of company-sponsored patient assistance programs, including insurance premium and co-pay assistance programs and donations to third-party charities that provide such assistance, and we have previously been subject to an inquiry relating to our speaker programs and patient assistance programs. Violations of governmental regulation by us, our vendors 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healthcare payors, or both.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and any settlement of these proceedings could result in significant payments by us.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1945"/>
                <wp:effectExtent l="0" t="0" r="0" b="0"/>
                <wp:wrapNone/>
                <wp:docPr id="67" name="Frame6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illegal distribution and sale by third parties of counterfeit or unfit versions of our or our collaborators’ products or stolen products could harm our business and reputation.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aware that counterfeit versions of our products have been distributed or sold by entities not authorized by us using product packaging suggesting that the product was provided by us. If unauthorized third parties illegally distribute and sell counterfeit versions of our or our collaborators’ products, those products may not meet our or our collaborators’ rigorous manufacturing, distribution and handling standards. In addition, inventory that is stolen from warehouses, plants or while in-transit, and that is subsequently improperly stored and sold through unauthorized channels, may not meet our or our collaborators’ distribution and handling standards. A patient who receives a counterfeit or unfit drug may suffer dangerous health consequences. Our reputation and business could suffer harm as a result of counterfeit or unfit drugs sold under our brand name and could result in lost sales for us and decreased revenues. If counterfeit or unfit drugs are sold under our or our collaborators’ brand names, our reputation and business could suffer harm and we could experience decreased royalty revenues.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As most of our drug discovery and development operations are conducted at our headquarters in Wilmington, Delaware, the loss of access to this facility would negatively impact our business.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facility in Wilmington, Delaware is our headquarters and is also where we conduct most of our drug discovery, research, development and marketing activities. In addition, natural disasters, the effects of or measures taken to limit the effects of health epidemics such as the COVID-19 pandemic,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fail to manage our growth effectively, our ability to develop and commercialize products could suffer.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1945"/>
                <wp:effectExtent l="0" t="0" r="0" b="0"/>
                <wp:wrapNone/>
                <wp:docPr id="68" name="Frame6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may acquire businesses or assets, form joint ventures or make investments in other companies that may be unsuccessful, divert our management’s attention and harm our operating results and prospects.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our business strategy, we may pursue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in February 2024 we entered into a purchase agreement with MorphoSys AG and MorphoSys US Inc. under which we acquired rights to tafasitamab (MONJUVI/MINJUVI) that resulted in our holding exclusive global development and commercialization rights to tafasitamab, and in June 2026 we entered into an agreement to acquire Vega Therapeutics and its novel antibody therapies for rare blood disorders.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These strategic transactions are complex, time consuming and expensive and entail numerous risks, including: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unanticipated costs, delays or other operational or financial problems related to integrating the products, product candidates, technologies, business operations, systems, controls and personnel of an acquired company or asset with our company;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failure to successfully develop and commercialize acquired products, product candidates or technologies or to achieve other strategic objectives;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delays or inability to progress preclinical programs into clinical development or unfavorable data from clinical trials evaluating acquired or licensed products or product candidates;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disruption of our ongoing business and diversion of our management’s and employees’ attention from ongoing development of our existing business and other opportunities and challenges;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inability to achieve planned synergies or cost savings;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potential loss of key employees of an acquired company;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entry into markets in which we have no or limited direct prior experience or where competitors in such markets have stronger market positions;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uncertainties in our ability to maintain the key business relationships of any business we acquire;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exposure to unknown or contingent liabilities or the incurrence of unanticipated expenses, including those with respect to intellectual property, preclinical or clinical data, safety, compliance or internal controls, and including as a result of the failure of the due diligence processes to identify significant problems, liabilities or challenges of an acquired company or asset;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risk that acquired businesses may have differing or inadequate cybersecurity and data protection controls;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exposure to litigation or other claims in connection with, or inheritance of claims or litigation risk as a result of, the strategic transaction, including claims from terminated employees, customers, former equity holders or other third parties.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Acquisition transactions may be subject to regulatory approvals or other requirements that are not within our control. We may be unable to obtain these regulatory or other approvals, and closing conditions required in connection with our acquisition transactions may be unable to be satisfied or waived, which could result in our inability to complete the planned acquisition transactions. In addition, antitrust scrutiny by regulatory agencies and changes to regulatory approval processes in the U.S. and foreign jurisdictions may cause approvals to take longer than anticipated to obtain, or may not be obtained at all, or contain burdensome conditions such as required divestitures, which may jeopardize, delay or reduce the anticipated benefits of acquisitions to us and could impede the execution of our business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1945"/>
                <wp:effectExtent l="0" t="0" r="0" b="0"/>
                <wp:wrapNone/>
                <wp:docPr id="69" name="Frame6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firstLine="720"/>
        <w:jc w:val="both"/>
        <w:rPr/>
      </w:pPr>
      <w:r>
        <w:rPr>
          <w:rFonts w:ascii="Times New Roman;serif" w:hAnsi="Times New Roman;serif"/>
          <w:b w:val="false"/>
          <w:color w:val="000000"/>
          <w:sz w:val="20"/>
        </w:rPr>
        <w:t>As a result of these or other problems and risks, the businesses, products or technologies we acquire or invest in or obtain licenses to may not produce the revenues, earnings, business synergies or other benefits that we anticipated within the expected timeframe or at all. As a result, we may incur higher costs and realize lower revenues than we had anticipated. For example, in 2024 we acquired Escient Pharmaceuticals, Inc., but later in that year we stopped development of the two lead compounds acquired from Escient. We cannot be sure that any acquisitions or investments we may make in the future will be completed or that, if completed, the acquired business, licenses, investments, products, or technologies will generate sufficient revenue to offset the costs or other negative effects on our business. Other pharmaceutical companies, many of which may have substantially greater resources, compete with us for these opportunities and we may be unable to effectively advance our business strategy through strategic transactions, which could impair our ability to grow or obtain access to products or technology that could be important to the development of our business. Any acquisitions or investments made by us also could result in significant write-offs or the incurrence of debt and contingent liabilities, any of which could harm our operating results. For example, in several quarters of the last three fiscal years we recorded unrealized losses related to our investments in our collaboration partners,</w:t>
      </w:r>
      <w:r>
        <w:rPr>
          <w:color w:val="000000"/>
        </w:rPr>
        <w:t xml:space="preserve"> </w:t>
      </w:r>
      <w:r>
        <w:rPr>
          <w:rFonts w:ascii="Times New Roman;serif" w:hAnsi="Times New Roman;serif"/>
          <w:b w:val="false"/>
          <w:color w:val="000000"/>
          <w:sz w:val="20"/>
        </w:rPr>
        <w:t>and we may experience additional losses related to our investments in future periods. In addition, if we choose to issue equity securities as consideration for any acquisition, dilution to our stockholders could result.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Risks associated with our operations outside of the United States could adversely affect our business.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European operations and plan to continue to expand our operations and conduct certain development activities outside of the United States. For example, as part of our plans to expand our activities outside of the United States, we conduct some of our operations in Canada, have commercial and clinical development activities in Japan, maintain an office in China and are working with collaborative partners in additional markets. International operations and business expansion plans are subject to numerous additional risks, including: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multiple, conflicting and changing laws and regulations such as tax laws, privacy regulations, tariffs, export and import restrictions, employment, immigration and labor laws, regulatory requirements, and other governmental approvals, permits and licenses, compliance with which can increase in complexity and cost as we enter into additional jurisdictions;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difficulties in staffing and managing operations in diverse countries and difficulties in connection with assimilating and integrating any operations and personnel we might acquire into our company;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risks associated with obtaining and maintaining, or the failure to obtain or maintain, regulatory approvals for the sale or use of our products in various countries;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complexities associated with managing government payor systems, multiple payor-reimbursement regimes or patient self-pay systems;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financial risks, such as longer payment cycles, difficulty obtaining financing in foreign markets, difficulty enforcing contracts and intellectual property rights, difficulty collecting accounts receivable, exposure to foreign currency exchange rate fluctuations and increased costs due to tariffs;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general political and economic conditions in the countries in which we operate, including inflation, political or economic instability, terrorism and political unrest and geopolitical events;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public health risks, including epidemics and pandemics, and related effects on new patient starts, clinical trial activity, regulatory agency response times, supply chain, travel and employee health and availability;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regulatory and compliance risks that relate to maintaining accurate information and control over activities that may fall within the purview of the U.S. Foreign Corrupt Practices Act, its books and records provisions or its anti-bribery provisions, or similar anti-bribery or anti-corruption laws and regulations in other countries, such as the U.K. Anti-Bribery Act and the U.K. Criminal Finances Act, which may have similarly broad extraterritorial reach.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1945"/>
                <wp:effectExtent l="0" t="0" r="0" b="0"/>
                <wp:wrapNone/>
                <wp:docPr id="70" name="Frame7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our revenues are subject to foreign currency exchange rate fluctuations due to the global nature of our operations and unfavorable changes in foreign currency exchange rates may adversely affect our revenues and net income. To the extent that our non-U.S. source revenues represent a more significant portion of our total revenues, these fluctuations could materially affect our operating results. 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product liability lawsuits are brought against us, we could face substantial liabilities and may be required to limit commercialization of our products and our results of operations could be harmed.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damage our reputation, cause participants and investigators to withdraw from clinical trials, and encourage potential collaborators or licensees to seek other partners, any of which could impact our results of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We have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Because our activities involve the use of hazardous materials, we may be subject to claims relating to improper handling, storage or disposal of these materials that could be time consuming and costly.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 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1945"/>
                <wp:effectExtent l="0" t="0" r="0" b="0"/>
                <wp:wrapNone/>
                <wp:docPr id="71" name="Frame7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Business disruptions and uncertainties could seriously harm our operations, future revenues and financial condition and increase our costs and expenses.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operations, and those of our CROs, suppliers, and other contractors and consultants, could be subject to business disruptions as a result of natural disasters, power and other infrastructure failures or shortages, public health pandemics or epidemics, and other natural or man-made disasters, as well as other business uncertainties as a result of international trade policies, including tariff and trade disputes, trade sanctions and import and export licensing requirements. In addition, geopolitical and other events, such as the Russian invasion of Ukraine or the conflicts in the Middle East,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 The occurrence of any of these business disruptions or other uncertainties could seriously harm our operations, future revenues and financial condition and increase our costs and expenses.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RELATING TO OUR FINANCIAL RESULTS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may incur losses in the future, and we expect to continue to incur significant expenses to discover and develop drugs, which may make it difficult for us to achieve sustained profitability on a quarterly or annual basis in the future.</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continue to spend significant amounts on our efforts to discover and develop drugs, and if we are unable to generate revenues from our marketed drug products sufficient to offset our expenses we may incur losses in future periods. Our revenues, expenses and net income (loss) may fluctuate, even significantly, due to the risks described in these “Risk Factors” and the factors discussed in “Management’s Discussion and Analysis of Financial Condition and Results of Operations” appearing in Part II, Item 7 of this Annual Report on Form 10-K, as well as the timing of charges and expenses that we may take, including those relating to transactions such as acquisitions and the entry into collaborative agreements. In addition, revenues from JAKAFI currently make up the substantial majority of our total revenues, but we expect that revenues from JAKAFI will begin to decline once patent exclusivity expires in 2028. We cannot assure you that we will be able to generate revenues from our other marketed drug products to offset the expected decline in revenues from JAKAFI.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anticipate that our drug discovery and development efforts and related expenditures will increase as we expand our focus on the studies, including preclinical tests and clinical trials prior to seeking regulatory approval, that are required before we can sell a drug product.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development of drug products will require us to spend significant funds on research, development, testing, obtaining regulatory approvals, manufacturing and marketing. We cannot be sure that we will generate substantial revenues from any drug candidates that we license or develop for several years, if ever.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be certain whether or when we will achieve sustained or increased profitability on a quarterly or annual basis because of the factors discussed under “Risks Relating to Commercialization of our Products” and in the above paragraphs and the significant uncertainties relating to our ability to generate commercially successful drug products. Even if we are successful in obtaining regulatory approvals for manufacturing and commercializing drug products in addition to our marketed drug products, we may incur losses if our drug products do not generate significant revenues.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funding requirements will depend on many factors and we anticipate that we may need to raise additional capital to fund our business plan and research and development efforts going-forward.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 factors that may affect our future funding requirements include: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acquisition of businesses, technologies, or drug candidates, or the licensing of technologies or drug candidates, if any;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amount of revenues generated from our business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1945"/>
                <wp:effectExtent l="0" t="0" r="0" b="0"/>
                <wp:wrapNone/>
                <wp:docPr id="72" name="Frame7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any changes in the breadth of our research and development programs;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results of research and development, preclinical testing and clinical trials conducted by us or our current or future collaborators or licensees, if any;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exercise of any co-development options with collaborators that may require us to fund future development;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costs for future facility requirements;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maintain and establish new corporate relationships and research collaborations;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competing technological and market developments;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time and costs involved in filing, prosecuting, defending and enforcing patent and intellectual property rights;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receipt or payment of contingent licensing or milestone fees or royalties on product sales from our current or future collaborative and license arrangements, if established;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timing of regulatory approvals, if any.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equity-linked securities in the future may be dilutive to our stockholders and may provide for rights, preferences or privileges senior to those of our holders of common stock, and debt financing arrangements could result in increased financing costs due to higher interest rates and may require us to pledge certain assets or enter into covenants that could restrict our operations or our ability to pay dividends or other distributions on our common stock or incur further indebtedness.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marketable securities and equity investments are subject to risks that could adversely affect our overall financial position.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invest our cash in accordance with an established internal policy and customarily in money market funds, U.S. government backed-funds and Treasury securities, which are investment grade and historically have been highly liquid and carried relatively low risk.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discussed under “Other Risks Relating to Our Business—We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loss in value of our equity investments could adversely affect our financial position on the consolidated balance sheets and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1945"/>
                <wp:effectExtent l="0" t="0" r="0" b="0"/>
                <wp:wrapNone/>
                <wp:docPr id="73" name="Frame7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pPr>
      <w:r>
        <w:rPr>
          <w:rFonts w:ascii="Times New Roman;serif" w:hAnsi="Times New Roman;serif"/>
          <w:b/>
          <w:i/>
          <w:color w:val="000000"/>
          <w:sz w:val="20"/>
        </w:rPr>
        <w:t>Changes in tax laws or regulations could adversely affect our results of operations, business and financial condition.</w:t>
      </w:r>
      <w:r>
        <w:rPr>
          <w:color w:val="000000"/>
        </w:rPr>
        <w:t xml:space="preserve">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New tax laws or regulations could be enacted at any time, and existing tax laws or regulations could be interpreted, modified or applied in a manner that is adverse to us or our customers, which could adversely affect our results of operations, business and financial condition. For example, in July 2025, U.S. federal tax legislation commonly referred to as the One Big Beautiful Bill Act was enacted, which, among other things, allows domestic research and development expenditures to be expensed for tax years beginning on or after January 1, 2025, with retroactive elections for such expenditures paid or incurred in the two prior years but also increases the effective tax rate on foreign-derived deduction eligible income (formerly known as “foreign-derived intangible income”) for tax years beginning on or after January 1, 2026. As another example, in August 2022, the Inflation Reduction Act of 2022 was enacted, which, among other things, includes a new 15% alternative minimum tax on the adjusted financial statement income of certain large corporations for tax years beginning after December 31, 2022.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the enactment of some or all of the recommendations set forth or that may be forthcoming in the Organization for Economic Co-Operation and Development (“OECD”) project on “Base Erosion and Profit Shifting,” commonly known as BEPS 2.0, by tax authorities and economic blocs in the countries in which we operate, could unfavorably impact our effective tax rate. Broadly speaking, BEPS 2.0 would make fundamental changes to the international tax system, including with respect to the entitlement to tax global corporate profits and minimum global tax rates. For example, in December 2022, the EU member states agreed to implement in their domestic tax laws a 15% global minimum tax on the profits of large multinational enterprises with a target effective date for fiscal years beginning on or after December 31, 2023. Although we continue to evaluate and monitor the potential impact of BEPS 2.0 on us, and the OECD minimum tax rules do not currently have a material impact on us, these minimum tax rules could in the future result in tax increases in both the United States and many foreign jurisdictions where we operate or have a presence. In January 2025, the OECD released new guidance addressing implementation of the Pillar Two global minimum tax rules, which were effective for us in tax year 2024. As part of the guidance, the OECD placed limitations on transactions that produce deferred tax assets entered into during the transition period that runs from November 2021 through an entity’s adoption of Pillar Two. However, in January 2026, the OECD/G20 Inclusive Framework released its Side-by-Side (“SbS”) Safe Harbor package, which is intended to work “side-by-side” with the Pillar Two framework, offering a streamlined compliance pathway for large multinational enterprises. If an eligible multinational enterprise group elects the SbS Safe Harbor, any top-up tax under Pillar Two’s income inclusion rule and undertaxed profits rule is treated as zero for the group’s controlled domestic and foreign operations. The SbS Safe Harbor does not apply to 2024 and 2025. While we anticipate making the SbS Safe Harbor election for our tax year beginning on January 1, 2026, if we do not obtain side-by-side tax treatment, we could experience adverse consequences for tax provisions, tax liabilities and effective tax rate. Any new tax legislation or initiatives could not only significantly increase our tax provision, cash tax liabilities, compliance costs and effective tax rate, but could also significantly increase tax uncertainty due to differing interpretations and increased audit scrutiny.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may incur additional tax liabilities related to our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 in the United States and the foreign jurisdictions in which we operate. We must make certain judgments in determining our worldwide tax liabilities, and our effective tax rate is derived from the applicable statutory tax rates and relative income in each taxing jurisdiction. We record liabilities for uncertain tax positions that involve significant estimation uncertainty or management judgments. Taxing authorities in the jurisdictions in which we operate may disagree with our interpretation of tax law or with the positions we may take with respect to particular tax issues. Consequently, tax assessments or judgments in excess of accrued amounts that we have estimated in preparing our financial statements may materially and adversely affect our reported effective tax rate or our cash flows. Further, other factors may adversely affect our effective tax rate, including changes in the mix of our profitability from country to country, tax effects of stock-based compensation and changes in tax laws or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1945"/>
                <wp:effectExtent l="0" t="0" r="0" b="0"/>
                <wp:wrapNone/>
                <wp:docPr id="74" name="Frame7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derive a substantial portion of our revenues from royalties, milestone payments and other payments under our collaboration agreements. If we are unable to achieve milestones, develop product candidates to license or renew or enter into new collaborations, our revenues may decrease, and future milestone and royalty payments may not contribute significantly to revenues for several years, and may never result in revenues.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derive a substantial portion of our total revenues from product royalties and milestone payments under our collaboration agreements, with royalties on JAKAVI and OLUMIANT representing most of our product royalty, milestone and contract revenues in each of the three most recently completed fiscal years. Future revenues from research and development collaborations depend upon the continuation of the collaborations, the achievement of milestones, and any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a first line therapy, as discussed under “Other Risks Relating to Our Business—We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could affect potential future royalty and milestone and contract revenue.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RELATING TO INTELLECTUAL PROPERTY AND LEGAL MATTERS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are subject to arbitration, litigation and infringement claims, they could be costly and disrupt our drug discovery and development efforts.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success of our drug discovery and development efforts will depend on our ability to develop new compounds, drugs and technologies without infringing or misappropriating the proprietary rights of others. The technology that we use to make and develop our drug products, the technology that we incorporate in our products, and the products we are developing may be subject to claims that they infringe the patents or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be involved in future lawsuits or other legal proceedings alleging patent infringement or other intellectual property rights or contract violations. In addition, litigation or other legal proceedings may be necessary to:</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assert claims of infringement;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enforce our patents or trademarks;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protect our trade secrets or know-how; or</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determine the enforceability, scope and validity of the proprietary rights of others.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 may not be able to obtain any necessary licenses on acceptable terms, if at all. If we are unable to develop non-infringing technology or license technology on a timely basis or on reasonable terms, our business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21945"/>
                <wp:effectExtent l="0" t="0" r="0" b="0"/>
                <wp:wrapNone/>
                <wp:docPr id="75" name="Frame7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our approved products and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our approved products or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Products—Competition for our products could harm our business and result in a decrease in our revenue,” potential generic drug company competitors have challenged certain patents relating to JAKAFI and OPZELURA.</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when we do not control the prosecution, maintenance and enforcement of certain important intellectual property rights, such as a drug candidate in-licensed to us or subject to a collaboration with a third-party, the protection of such intellectual property rights may not be in our hands. If we do not control the intellectual property rights in-licensed to us with respect to a drug candidate and the entity that controls such intellectual property rights does not adequately protect those rights, our rights may be impaired, which may impact our ability to develop, market and commercialize the in-licensed drug candidate.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means of protecting our proprietary rights may not be adequate, and our competitors may: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independently develop substantially equivalent proprietary information, products and techniques;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otherwise gain access to our proprietary information; or</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design around patents issued to us or our other intellectual property.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the effective term of our patents is decreased or if we need to refile some of our patent applications, the value of our patent portfolio and the revenues we derive from it may be decreased.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value of our patents depends, in part, on their duration. A shorter period of patent protection could lessen the value of our rights under any patents that we obtain and may decrease the revenues we derive from our patents. U.S. patent laws provide a term of patent protection of 20 years from the earliest effective filing date of the patent application. Because the time from filing to issuance of biotechnology applications may be more than three years depending on the subject matter, a 20-year patent term from the filing date may result in substantially shorter patent protection.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U.S.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 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21945"/>
                <wp:effectExtent l="0" t="0" r="0" b="0"/>
                <wp:wrapNone/>
                <wp:docPr id="76" name="Frame7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changes in U.S. patent laws or changes in the interpretation of patent laws could diminish the value of our patents or narrow the scope of our patent protection. For example, the Supreme Court of the United States resolved a split among the circuit courts of appeals regarding antitrust challenges to settlements of patent infringement lawsuits under the Hatch-Waxman Act between brand-name drug companies and generic drug companies. The Court rejected the “scope of the patent” test and ruled that settlements involving “reverse payments” from brand-name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International patent protection is particularly uncertain and costly, and our involvement in opposition proceedings in foreign countries may result in the expenditure of substantial sums and management resources.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RISKS RELATING TO INFORMATION TECHNOLOGY AND DATA PRIVACY </w:t>
      </w:r>
    </w:p>
    <w:p>
      <w:pPr>
        <w:pStyle w:val="TextBody"/>
        <w:bidi w:val="0"/>
        <w:spacing w:lineRule="auto" w:line="288" w:before="240" w:after="283"/>
        <w:jc w:val="both"/>
        <w:rPr/>
      </w:pPr>
      <w:r>
        <w:rPr>
          <w:rFonts w:ascii="Times New Roman;serif" w:hAnsi="Times New Roman;serif"/>
          <w:b/>
          <w:i/>
          <w:color w:val="000000"/>
          <w:sz w:val="20"/>
        </w:rPr>
        <w:t>Significant disruptions of information technology systems, breaches of data security, or unauthorized disclosures of personal information (including sensitive personal information) could adversely affect our business,</w:t>
      </w:r>
      <w:r>
        <w:rPr>
          <w:color w:val="000000"/>
        </w:rPr>
        <w:t xml:space="preserve"> </w:t>
      </w:r>
      <w:r>
        <w:rPr>
          <w:rFonts w:ascii="Times New Roman;serif" w:hAnsi="Times New Roman;serif"/>
          <w:b/>
          <w:i/>
          <w:color w:val="000000"/>
          <w:sz w:val="20"/>
        </w:rPr>
        <w:t>and could</w:t>
      </w:r>
      <w:r>
        <w:rPr>
          <w:color w:val="000000"/>
        </w:rPr>
        <w:t xml:space="preserve"> </w:t>
      </w:r>
      <w:r>
        <w:rPr>
          <w:rFonts w:ascii="Times New Roman;serif" w:hAnsi="Times New Roman;serif"/>
          <w:b/>
          <w:i/>
          <w:color w:val="000000"/>
          <w:sz w:val="20"/>
        </w:rPr>
        <w:t xml:space="preserve">subject us to liability or reputational damage.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our IT systems and data vulnerable to risks and damages from a variety of sources, including malicious human acts, breaches of security, cyber-attacks, catastrophe or natural disaster, telecommunications or network failures, loss of power or other natural or man-made events. In addition, despite network security and back-up measures, we and our vendors frequently defend against and respond to data security attacks and incidents, and our servers and our vendors’ servers are potentially susceptible to physical or electronic break-ins, computer viruses, software vulnerabilities, ransomware attacks and similar disruptive problems. If our business continuity and disaster recovery plans and procedures or those of our vendors, including our CROs and contract manufacturers, were disrupted, inadequate or unsuccessful in the event of a problem, we could experience an interruption of all or a portion of our operations, which could result in significant harm to our business, financial results and reputation. In addition, having a portion of our employees work remotely can strain our IT infrastructure, which may affect our ability to operate effectively, may make us more susceptible to communications disruptions, and expose us to greater cybersecurity risks.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continuously evaluating and, where appropriate, enhancing our IT systems to address our planned growth, including to support our manufacturing operations. There are inherent costs and risks associated with implementing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21945"/>
                <wp:effectExtent l="0" t="0" r="0" b="0"/>
                <wp:wrapNone/>
                <wp:docPr id="77" name="Frame7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our systems and the systems of our third-party providers and collaborators are potentially vulnerable to data security breaches which may expose sensitive data to unauthorized persons or to the public. Such data security breaches could lead to the loss of confidential information, trade secrets or other intellectual property, could lead to the public exposure of personal information of our employees, clinical trial patients, customers, business partners, and others, could lead to potential identity theft, or could lead to reputational harm. Data security breaches could also result in loss of clinical trial data or damage to the integrity of that data. Malicious cyber attacks are growing in frequency and sophistication, including the use of artificial intelligence, and can be made by groups and individuals with a wide range of motives, including nation states, organized criminal groups, “hacktivists” and others acting with malicious intent. In addition, the increased use of social media by our employees and contractors could result in inadvertent disclosure of sensitive data or personal information, including but not limited to, confidential information, trade secrets and other intellectual property.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including healthcare laws such as the Health Insurance Portability and Accountability Act, that protect certain types of sensitive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pStyle w:val="TextBody"/>
        <w:bidi w:val="0"/>
        <w:spacing w:lineRule="auto" w:line="288" w:before="240" w:after="240"/>
        <w:ind w:left="0" w:right="0" w:firstLine="720"/>
        <w:jc w:val="both"/>
        <w:rPr/>
      </w:pPr>
      <w:r>
        <w:rPr>
          <w:rFonts w:ascii="Times New Roman;serif" w:hAnsi="Times New Roman;serif"/>
          <w:b w:val="false"/>
          <w:color w:val="000000"/>
          <w:sz w:val="20"/>
        </w:rPr>
        <w:t>Disruptions or data security breaches within other healthcare companies could also affect our business, results of operations and financial condition. If systems used by healthcare providers, third-party payors and companies in our distribution network such as PBMs, pharmacies and wholesalers are disrupted by a data security breach, the ability to process claims and fulfill prescriptions could be impacted, which could result in adverse effects on our net product revenues.</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many countries and jurisdictions in which we work globally have enacted or are proposing privacy and data protection laws and regulations which govern the collection and use of personal information and which may impose large fines and penalties for noncompliance. For example, in the EU under the General Data Protection Regulation, potential fines for noncompliance are up to €20 million or 4% of annual global revenue, whichever is greater. Further, some jurisdictions provide for private rights of action if data breaches result in the loss or theft of personal data. These laws and regulations may also require, as applicable, that we: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ensure individuals to whom personal information relates are informed about how their personal information is collected and processed;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keep personal information confidential and secure;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transfer personal information in a compliant manner;</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respond to requests from individuals about their personal information;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inform authorities and individuals as may be applicable about any data breaches.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obligations may increase our costs of doing business and the varying requirements among all countries and jurisdictions in which we work can complicate our compliance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21945"/>
                <wp:effectExtent l="0" t="0" r="0" b="0"/>
                <wp:wrapNone/>
                <wp:docPr id="78" name="Frame7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Increasing use of social media could give rise to liability, breaches of data security, or reputational damage.</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and our employees are increasingly using social media tools as a means of communication both internally and externally. Despite our efforts to monitor evolving social media communication, our internal guidelines regarding the appropriate use of social media technology and applicable and emerging rules, there is risk that the use of these tools by us or our employees may cause us to be found in violation of applicable requirements. In addition, our employees may knowingly or inadvertently make use of these tools in ways that may not comply with our policies or other legal or contractual requirements, which may give rise to liability, lead to the loss of trade secrets or other intellectual property, or result in public exposure of personal information of our employees, patients, customers, and others. Furthermore, negative posts or comments about us or our products in social media could seriously damage our reputation, brand image, and goodwill.</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Increasing use of artificial intelligence-based software and tools creates new risks and challenges that could adversely affect our business or cause reputational harm.</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use of artificial intelligence is increasing in the biopharmaceutical industry for research, marketing, manufacturing and commercialization purposes, and we anticipate increasing our use of technology that incorporates artificial intelligence in the future. As with many developing technologies, artificial intelligence presents risks and challenges that could affect its further development, adoption and use, which could affect our business. If the analyses that artificial intelligence applications assist in producing are deficient or inaccurate, we could be subjected to competitive harm, potential legal liability, and brand or reputational harm. Use of artificial intelligence may also lead to the release of confidential proprietary information, which may impact our ability to realize the benefit of our intellectual property.</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failures or disruptions in any artificial intelligence functionality we incorporate into our business activities or products could adversely impact our business or result in delays or errors. Conversely, any failure to successfully develop and deploy artificial intelligence in our business activities or products could adversely affect our competitiveness (particularly if our competitors successfully deploy artificial intelligence in their businesses, products and services), and the development and deployment of artificial intelligence will require additional investment and increase our costs. The use of artificial intelligence is subject to rapidly evolving laws and regulations. Compliance with these laws and regulations may impose operational costs and limit our ability to use artificial intelligence-based software and tools, and failure to comply may result in potential government actions, litigation, fines, penalties, and brand or reputational harm.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During the three months ended June 30, 2026, the following officers (as defined in Rule 16a-1(f) under the Securities Exchange Act of 1934 (the “Exchange Act”)) of our Company adopted a prearranged trading plan relating to our common stock and intended to satisfy the affirmative defense of Rule 10b5-1(c) under the Exchange Act:</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Pablo Cagnoni, our President and Global Head of Research and Development, adopted a trading plan on April 30, 2026 providing for the sale of up to an aggregate of 139,381 shares of our common stock until May 1, 2028.</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Patrick Mayes, our Executive Vice President, Chief Scientific Officer, adopted a trading plan on April 29, 2026 providing for the sale of up to an aggregate of 52,131 shares of our common stock until April 29, 2027.</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(as defined in Rule 16a-1(f) under the Exchange Act) of our Company adopted or terminated any contract, instruction or written plan for the purchase or sale of our securities, whether or not intended to satisfy the affirmative defense conditions of Rule 10b5-1(c), other than as set forth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21945"/>
                <wp:effectExtent l="0" t="0" r="0" b="0"/>
                <wp:wrapNone/>
                <wp:docPr id="79" name="Frame7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6.</w:t>
      </w:r>
      <w:r>
        <w:rPr>
          <w:color w:val="000000"/>
        </w:rPr>
        <w:t xml:space="preserve"> </w:t>
      </w:r>
      <w:r>
        <w:rPr>
          <w:rFonts w:ascii="Times New Roman;serif" w:hAnsi="Times New Roman;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295"/>
        <w:gridCol w:w="261"/>
        <w:gridCol w:w="262"/>
        <w:gridCol w:w="109"/>
        <w:gridCol w:w="109"/>
        <w:gridCol w:w="109"/>
        <w:gridCol w:w="2828"/>
        <w:gridCol w:w="2568"/>
        <w:gridCol w:w="3664"/>
      </w:tblGrid>
      <w:tr>
        <w:trPr/>
        <w:tc>
          <w:tcPr>
            <w:tcW w:w="29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Description of Document</w:t>
            </w:r>
          </w:p>
        </w:tc>
      </w:tr>
      <w:tr>
        <w:trPr/>
        <w:tc>
          <w:tcPr>
            <w:tcW w:w="81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0" w:after="0"/>
              <w:jc w:val="both"/>
              <w:rPr/>
            </w:pPr>
            <w:hyperlink w:anchor="finalsigned-incyteofferlet.htm">
              <w:r>
                <w:rPr>
                  <w:rStyle w:val="InternetLink"/>
                  <w:rFonts w:ascii="Times New Roman;serif" w:hAnsi="Times New Roman;serif"/>
                  <w:b w:val="false"/>
                  <w:color w:val="0000FF"/>
                  <w:sz w:val="20"/>
                  <w:u w:val="single"/>
                </w:rPr>
                <w:t>Offer of Employment Letter, dated March 17, 2026, from the Company to Suketu Upadhyay.</w:t>
              </w:r>
            </w:hyperlink>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Form of Employment Agreement between the Company and Suketu Upadhyay (effective as of May 4, 2026) (incorporated by reference to Exhibit 10.14 to the Company’s Annual Report on Form 10-K for the year ended December 31, 2012).</w:t>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incy-6302026xex311.htm">
              <w:r>
                <w:rPr>
                  <w:rStyle w:val="InternetLink"/>
                  <w:rFonts w:ascii="Times New Roman;serif" w:hAnsi="Times New Roman;serif"/>
                  <w:b w:val="false"/>
                  <w:color w:val="0000EE"/>
                  <w:sz w:val="20"/>
                  <w:u w:val="single"/>
                </w:rPr>
                <w:t>Rule 13a-14(a) Certification of Chief Executive Officer</w:t>
              </w:r>
            </w:hyperlink>
            <w:r>
              <w:rPr>
                <w:rFonts w:ascii="Times New Roman;serif" w:hAnsi="Times New Roman;serif"/>
                <w:b w:val="false"/>
                <w:color w:val="0000EE"/>
                <w:sz w:val="20"/>
              </w:rPr>
              <w:t>.</w:t>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incy-6302026xex312.htm">
              <w:r>
                <w:rPr>
                  <w:rStyle w:val="InternetLink"/>
                  <w:rFonts w:ascii="Times New Roman;serif" w:hAnsi="Times New Roman;serif"/>
                  <w:b w:val="false"/>
                  <w:color w:val="000080"/>
                  <w:sz w:val="20"/>
                  <w:u w:val="single"/>
                </w:rPr>
                <w:t xml:space="preserve">Rule 13a-14(a) Certification of </w:t>
              </w:r>
            </w:hyperlink>
            <w:hyperlink w:anchor="incy-6302026xex312.htm">
              <w:r>
                <w:rPr>
                  <w:rStyle w:val="InternetLink"/>
                  <w:rFonts w:ascii="Times New Roman;serif" w:hAnsi="Times New Roman;serif"/>
                  <w:b w:val="false"/>
                  <w:color w:val="000080"/>
                  <w:sz w:val="20"/>
                  <w:u w:val="single"/>
                </w:rPr>
                <w:t>Chief</w:t>
              </w:r>
            </w:hyperlink>
            <w:hyperlink w:anchor="incy-6302026xex312.htm">
              <w:r>
                <w:rPr>
                  <w:rStyle w:val="InternetLink"/>
                  <w:rFonts w:ascii="Times New Roman;serif" w:hAnsi="Times New Roman;serif"/>
                  <w:b w:val="false"/>
                  <w:color w:val="000080"/>
                  <w:sz w:val="20"/>
                  <w:u w:val="single"/>
                </w:rPr>
                <w:t xml:space="preserve"> Financial Officer</w:t>
              </w:r>
            </w:hyperlink>
            <w:r>
              <w:rPr>
                <w:rFonts w:ascii="Times New Roman;serif" w:hAnsi="Times New Roman;serif"/>
                <w:b w:val="false"/>
                <w:color w:val="0000EE"/>
                <w:sz w:val="20"/>
              </w:rPr>
              <w:t>.</w:t>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incy-6302026xex321.htm">
              <w:r>
                <w:rPr>
                  <w:rStyle w:val="InternetLink"/>
                  <w:rFonts w:ascii="Times New Roman;serif" w:hAnsi="Times New Roman;serif"/>
                  <w:b w:val="false"/>
                  <w:color w:val="0000EE"/>
                  <w:sz w:val="20"/>
                  <w:u w:val="single"/>
                </w:rPr>
                <w:t>Statement of the Chief Executive Officer under Section 906 of the Sarbanes-Oxley Act of 2002 (18 U.S.C. Section 1350)</w:t>
              </w:r>
            </w:hyperlink>
            <w:r>
              <w:rPr>
                <w:rFonts w:ascii="Times New Roman;serif" w:hAnsi="Times New Roman;serif"/>
                <w:b w:val="false"/>
                <w:color w:val="0000EE"/>
                <w:sz w:val="20"/>
              </w:rPr>
              <w:t>.</w:t>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incy-6302026xex322.htm">
              <w:r>
                <w:rPr>
                  <w:rStyle w:val="InternetLink"/>
                  <w:rFonts w:ascii="Times New Roman;serif" w:hAnsi="Times New Roman;serif"/>
                  <w:b w:val="false"/>
                  <w:color w:val="000080"/>
                  <w:sz w:val="20"/>
                  <w:u w:val="single"/>
                </w:rPr>
                <w:t xml:space="preserve">Statement of the </w:t>
              </w:r>
            </w:hyperlink>
            <w:hyperlink w:anchor="incy-6302026xex322.htm">
              <w:r>
                <w:rPr>
                  <w:rStyle w:val="InternetLink"/>
                  <w:rFonts w:ascii="Times New Roman;serif" w:hAnsi="Times New Roman;serif"/>
                  <w:b w:val="false"/>
                  <w:color w:val="000080"/>
                  <w:sz w:val="20"/>
                  <w:u w:val="single"/>
                </w:rPr>
                <w:t>Chief</w:t>
              </w:r>
            </w:hyperlink>
            <w:hyperlink w:anchor="incy-6302026xex322.htm">
              <w:r>
                <w:rPr>
                  <w:rStyle w:val="InternetLink"/>
                  <w:rFonts w:ascii="Times New Roman;serif" w:hAnsi="Times New Roman;serif"/>
                  <w:b w:val="false"/>
                  <w:color w:val="000080"/>
                  <w:sz w:val="20"/>
                  <w:u w:val="single"/>
                </w:rPr>
                <w:t xml:space="preserve"> Financial Officer under Section 906 of the Sarbanes-Oxley Act of 2002 (18 U.S.C. Section 1350)</w:t>
              </w:r>
            </w:hyperlink>
            <w:r>
              <w:rPr>
                <w:rFonts w:ascii="Times New Roman;serif" w:hAnsi="Times New Roman;serif"/>
                <w:b w:val="false"/>
                <w:color w:val="0000EE"/>
                <w:sz w:val="20"/>
              </w:rPr>
              <w:t>.</w:t>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Presentation Linkbase Document.</w:t>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Definition Linkbase Document.</w:t>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In accordance with Item 601(b)(32)(ii) of Regulation S-K and SEC Release No. 34-47986, the certifications furnished in Exhibits 32.1 and 32.2 hereto are deemed to accompany this Form 10-Q and will not be deemed “filed” for purposes of Section 18 of the Exchange Act. Such certifications will not be deemed to be incorporated by reference into any filing under the Securities Act or the Exchange Act.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21945"/>
                <wp:effectExtent l="0" t="0" r="0" b="0"/>
                <wp:wrapNone/>
                <wp:docPr id="80" name="Frame8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827b4125e6b84c6fa7ddf6250d8877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310" w:type="dxa"/>
        <w:jc w:val="left"/>
        <w:tblInd w:w="0" w:type="dxa"/>
        <w:tblLayout w:type="fixed"/>
        <w:tblCellMar>
          <w:top w:w="28" w:type="dxa"/>
          <w:left w:w="28" w:type="dxa"/>
          <w:bottom w:w="28" w:type="dxa"/>
          <w:right w:w="28" w:type="dxa"/>
        </w:tblCellMar>
      </w:tblPr>
      <w:tblGrid>
        <w:gridCol w:w="656"/>
        <w:gridCol w:w="576"/>
        <w:gridCol w:w="582"/>
        <w:gridCol w:w="352"/>
        <w:gridCol w:w="352"/>
        <w:gridCol w:w="352"/>
        <w:gridCol w:w="1296"/>
        <w:gridCol w:w="1296"/>
        <w:gridCol w:w="1848"/>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INCYTE CORPORATION</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28, 2026</w:t>
            </w:r>
          </w:p>
        </w:tc>
        <w:tc>
          <w:tcPr>
            <w:tcW w:w="10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J. MEURY</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Meury</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28, 2026</w:t>
            </w:r>
          </w:p>
        </w:tc>
        <w:tc>
          <w:tcPr>
            <w:tcW w:w="10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SUKETU UPADHYAY</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Suketu Upadhyay</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47"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21945"/>
                <wp:effectExtent l="0" t="0" r="0" b="0"/>
                <wp:wrapNone/>
                <wp:docPr id="81" name="Frame8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lineRule="auto" w:line="288" w:before="0" w:after="0"/>
        <w:jc w:val="left"/>
        <w:rPr/>
      </w:pPr>
      <w:r>
        <w:rPr/>
        <w:drawing>
          <wp:inline distT="0" distB="0" distL="0" distR="0">
            <wp:extent cx="2009775" cy="542925"/>
            <wp:effectExtent l="0" t="0" r="0" b="0"/>
            <wp:docPr id="8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1" descr=""/>
                    <pic:cNvPicPr>
                      <a:picLocks noChangeAspect="1" noChangeArrowheads="1"/>
                    </pic:cNvPicPr>
                  </pic:nvPicPr>
                  <pic:blipFill>
                    <a:blip r:embed="rId2"/>
                    <a:stretch>
                      <a:fillRect/>
                    </a:stretch>
                  </pic:blipFill>
                  <pic:spPr bwMode="auto">
                    <a:xfrm>
                      <a:off x="0" y="0"/>
                      <a:ext cx="2009775" cy="542925"/>
                    </a:xfrm>
                    <a:prstGeom prst="rect">
                      <a:avLst/>
                    </a:prstGeom>
                  </pic:spPr>
                </pic:pic>
              </a:graphicData>
            </a:graphic>
          </wp:inline>
        </w:drawing>
      </w:r>
      <w:r>
        <w:rPr>
          <w:color w:val="000000"/>
        </w:rPr>
        <w:t xml:space="preserve"> </w:t>
      </w:r>
    </w:p>
    <w:p>
      <w:pPr>
        <w:pStyle w:val="TextBody"/>
        <w:bidi w:val="0"/>
        <w:spacing w:lineRule="auto" w:line="288" w:before="0" w:after="0"/>
        <w:jc w:val="right"/>
        <w:rPr>
          <w:rFonts w:ascii="Arial;sans-serif" w:hAnsi="Arial;sans-serif"/>
          <w:b w:val="false"/>
          <w:color w:val="005CAB"/>
          <w:sz w:val="17"/>
        </w:rPr>
      </w:pPr>
      <w:r>
        <w:rPr>
          <w:rFonts w:ascii="Arial;sans-serif" w:hAnsi="Arial;sans-serif"/>
          <w:b w:val="false"/>
          <w:color w:val="005CAB"/>
          <w:sz w:val="17"/>
        </w:rPr>
        <w:t>Incyte</w:t>
      </w:r>
    </w:p>
    <w:p>
      <w:pPr>
        <w:pStyle w:val="TextBody"/>
        <w:bidi w:val="0"/>
        <w:spacing w:lineRule="auto" w:line="240" w:before="0" w:after="0"/>
        <w:jc w:val="right"/>
        <w:rPr>
          <w:rFonts w:ascii="Arial;sans-serif" w:hAnsi="Arial;sans-serif"/>
          <w:b w:val="false"/>
          <w:color w:val="005CAB"/>
          <w:sz w:val="17"/>
        </w:rPr>
      </w:pPr>
      <w:r>
        <w:rPr>
          <w:rFonts w:ascii="Arial;sans-serif" w:hAnsi="Arial;sans-serif"/>
          <w:b w:val="false"/>
          <w:color w:val="005CAB"/>
          <w:sz w:val="17"/>
        </w:rPr>
        <w:t>1801 Augustine Cut-Off</w:t>
      </w:r>
    </w:p>
    <w:p>
      <w:pPr>
        <w:pStyle w:val="TextBody"/>
        <w:bidi w:val="0"/>
        <w:spacing w:lineRule="auto" w:line="288" w:before="0" w:after="0"/>
        <w:jc w:val="right"/>
        <w:rPr>
          <w:rFonts w:ascii="Arial;sans-serif" w:hAnsi="Arial;sans-serif"/>
          <w:b w:val="false"/>
          <w:color w:val="005CAB"/>
          <w:sz w:val="17"/>
        </w:rPr>
      </w:pPr>
      <w:r>
        <w:rPr>
          <w:rFonts w:ascii="Arial;sans-serif" w:hAnsi="Arial;sans-serif"/>
          <w:b w:val="false"/>
          <w:color w:val="005CAB"/>
          <w:sz w:val="17"/>
        </w:rPr>
        <w:t>Wilmington, DE 19803</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5CAB"/>
          <w:sz w:val="17"/>
        </w:rPr>
      </w:pPr>
      <w:r>
        <w:rPr>
          <w:rFonts w:ascii="Arial;sans-serif" w:hAnsi="Arial;sans-serif"/>
          <w:b w:val="false"/>
          <w:color w:val="005CAB"/>
          <w:sz w:val="17"/>
        </w:rPr>
        <w:t>302.498.6700</w:t>
      </w:r>
    </w:p>
    <w:p>
      <w:pPr>
        <w:pStyle w:val="TextBody"/>
        <w:bidi w:val="0"/>
        <w:spacing w:lineRule="auto" w:line="288" w:before="47" w:after="283"/>
        <w:jc w:val="right"/>
        <w:rPr/>
      </w:pPr>
      <w:r>
        <w:rPr>
          <w:rFonts w:ascii="Arial;sans-serif" w:hAnsi="Arial;sans-serif"/>
          <w:b/>
          <w:color w:val="1C469A"/>
          <w:sz w:val="17"/>
        </w:rPr>
        <w:t>incyt</w:t>
      </w:r>
      <w:r>
        <w:rPr>
          <w:rFonts w:ascii="Arial;sans-serif" w:hAnsi="Arial;sans-serif"/>
          <w:b/>
          <w:color w:val="1C3872"/>
          <w:sz w:val="17"/>
        </w:rPr>
        <w:t>e.co</w:t>
      </w:r>
      <w:r>
        <w:rPr>
          <w:rFonts w:ascii="Arial;sans-serif" w:hAnsi="Arial;sans-serif"/>
          <w:b/>
          <w:color w:val="1C469A"/>
          <w:sz w:val="17"/>
        </w:rPr>
        <w:t>m</w:t>
      </w:r>
    </w:p>
    <w:p>
      <w:pPr>
        <w:pStyle w:val="TextBody"/>
        <w:bidi w:val="0"/>
        <w:spacing w:before="52" w:after="283"/>
        <w:jc w:val="right"/>
        <w:rPr/>
      </w:pPr>
      <w:r>
        <w:rPr/>
      </w:r>
    </w:p>
    <w:p>
      <w:pPr>
        <w:pStyle w:val="TextBody"/>
        <w:bidi w:val="0"/>
        <w:spacing w:lineRule="auto" w:line="292" w:before="1" w:after="283"/>
        <w:jc w:val="left"/>
        <w:rPr/>
      </w:pPr>
      <w:r>
        <w:rPr>
          <w:color w:val="232323"/>
        </w:rPr>
        <w:t>                                    </w:t>
      </w:r>
      <w:r>
        <w:rPr>
          <w:rFonts w:ascii="Times New Roman;serif" w:hAnsi="Times New Roman;serif"/>
          <w:b/>
          <w:color w:val="232323"/>
          <w:sz w:val="22"/>
          <w:u w:val="single"/>
        </w:rPr>
        <w:t>REVISED</w:t>
      </w:r>
    </w:p>
    <w:p>
      <w:pPr>
        <w:pStyle w:val="TextBody"/>
        <w:bidi w:val="0"/>
        <w:spacing w:before="1" w:after="283"/>
        <w:jc w:val="left"/>
        <w:rPr/>
      </w:pPr>
      <w:r>
        <w:rPr/>
      </w:r>
    </w:p>
    <w:p>
      <w:pPr>
        <w:pStyle w:val="TextBody"/>
        <w:bidi w:val="0"/>
        <w:spacing w:lineRule="auto" w:line="292" w:before="1" w:after="283"/>
        <w:jc w:val="left"/>
        <w:rPr>
          <w:color w:val="232323"/>
        </w:rPr>
      </w:pPr>
      <w:r>
        <w:rPr>
          <w:color w:val="232323"/>
        </w:rPr>
        <w:t>                                    </w:t>
      </w:r>
      <w:r>
        <w:rPr>
          <w:rFonts w:ascii="Times New Roman;serif" w:hAnsi="Times New Roman;serif"/>
          <w:b w:val="false"/>
          <w:color w:val="232323"/>
          <w:sz w:val="22"/>
        </w:rPr>
        <w:t>March 17, 2026</w:t>
      </w:r>
    </w:p>
    <w:p>
      <w:pPr>
        <w:pStyle w:val="TextBody"/>
        <w:bidi w:val="0"/>
        <w:spacing w:before="1" w:after="283"/>
        <w:jc w:val="left"/>
        <w:rPr/>
      </w:pPr>
      <w:r>
        <w:rPr/>
      </w:r>
    </w:p>
    <w:p>
      <w:pPr>
        <w:pStyle w:val="TextBody"/>
        <w:bidi w:val="0"/>
        <w:spacing w:lineRule="auto" w:line="292" w:before="1" w:after="283"/>
        <w:jc w:val="left"/>
        <w:rPr>
          <w:rFonts w:ascii="Times New Roman;serif" w:hAnsi="Times New Roman;serif"/>
          <w:b/>
          <w:i/>
          <w:color w:val="232323"/>
          <w:sz w:val="22"/>
        </w:rPr>
      </w:pPr>
      <w:r>
        <w:rPr>
          <w:rFonts w:ascii="Times New Roman;serif" w:hAnsi="Times New Roman;serif"/>
          <w:b/>
          <w:i/>
          <w:color w:val="232323"/>
          <w:sz w:val="22"/>
        </w:rPr>
        <w:t>Via email to [***]</w:t>
      </w:r>
    </w:p>
    <w:p>
      <w:pPr>
        <w:pStyle w:val="TextBody"/>
        <w:bidi w:val="0"/>
        <w:spacing w:lineRule="auto" w:line="292" w:before="1" w:after="283"/>
        <w:jc w:val="left"/>
        <w:rPr>
          <w:rFonts w:ascii="Times New Roman;serif" w:hAnsi="Times New Roman;serif"/>
          <w:b w:val="false"/>
          <w:color w:val="232323"/>
          <w:sz w:val="22"/>
        </w:rPr>
      </w:pPr>
      <w:r>
        <w:rPr>
          <w:rFonts w:ascii="Times New Roman;serif" w:hAnsi="Times New Roman;serif"/>
          <w:b w:val="false"/>
          <w:color w:val="232323"/>
          <w:sz w:val="22"/>
        </w:rPr>
        <w:t>Suketu Upadhyay</w:t>
      </w:r>
    </w:p>
    <w:p>
      <w:pPr>
        <w:pStyle w:val="TextBody"/>
        <w:bidi w:val="0"/>
        <w:spacing w:lineRule="auto" w:line="292" w:before="1" w:after="283"/>
        <w:jc w:val="left"/>
        <w:rPr>
          <w:rFonts w:ascii="Times New Roman;serif" w:hAnsi="Times New Roman;serif"/>
          <w:b w:val="false"/>
          <w:color w:val="232323"/>
          <w:sz w:val="22"/>
        </w:rPr>
      </w:pPr>
      <w:r>
        <w:rPr>
          <w:rFonts w:ascii="Times New Roman;serif" w:hAnsi="Times New Roman;serif"/>
          <w:b w:val="false"/>
          <w:color w:val="232323"/>
          <w:sz w:val="22"/>
        </w:rPr>
        <w:t>[***]</w:t>
      </w:r>
    </w:p>
    <w:p>
      <w:pPr>
        <w:pStyle w:val="TextBody"/>
        <w:bidi w:val="0"/>
        <w:spacing w:before="1" w:after="283"/>
        <w:jc w:val="left"/>
        <w:rPr/>
      </w:pPr>
      <w:r>
        <w:rPr/>
      </w:r>
    </w:p>
    <w:p>
      <w:pPr>
        <w:pStyle w:val="TextBody"/>
        <w:bidi w:val="0"/>
        <w:spacing w:lineRule="auto" w:line="292" w:before="1" w:after="283"/>
        <w:jc w:val="left"/>
        <w:rPr>
          <w:rFonts w:ascii="Times New Roman;serif" w:hAnsi="Times New Roman;serif"/>
          <w:b w:val="false"/>
          <w:color w:val="232323"/>
          <w:sz w:val="22"/>
        </w:rPr>
      </w:pPr>
      <w:r>
        <w:rPr>
          <w:rFonts w:ascii="Times New Roman;serif" w:hAnsi="Times New Roman;serif"/>
          <w:b w:val="false"/>
          <w:color w:val="232323"/>
          <w:sz w:val="22"/>
        </w:rPr>
        <w:t>Dear Suketu,</w:t>
      </w:r>
    </w:p>
    <w:p>
      <w:pPr>
        <w:pStyle w:val="TextBody"/>
        <w:bidi w:val="0"/>
        <w:spacing w:before="1" w:after="283"/>
        <w:jc w:val="left"/>
        <w:rPr/>
      </w:pPr>
      <w:r>
        <w:rPr/>
      </w:r>
    </w:p>
    <w:p>
      <w:pPr>
        <w:pStyle w:val="TextBody"/>
        <w:bidi w:val="0"/>
        <w:spacing w:lineRule="auto" w:line="292" w:before="1" w:after="283"/>
        <w:jc w:val="left"/>
        <w:rPr>
          <w:color w:val="232323"/>
        </w:rPr>
      </w:pPr>
      <w:r>
        <w:rPr>
          <w:color w:val="232323"/>
        </w:rPr>
        <w:t>    </w:t>
      </w:r>
      <w:r>
        <w:rPr>
          <w:rFonts w:ascii="Times New Roman;serif" w:hAnsi="Times New Roman;serif"/>
          <w:b w:val="false"/>
          <w:color w:val="232323"/>
          <w:sz w:val="22"/>
        </w:rPr>
        <w:t>It is with great pleasure that we offer you the position of Executive Vice President &amp; Chief Financial Officer at Incyte Corporation (Incyte). In this position, you will report directly to Bill Meury, President &amp; Chief Executive Officer. The terms of this offer are set forth in this letter. If the terms discussed below and in the attachments are acceptable to you after your careful review, please sign this letter where indicated below and return it to [***]</w:t>
      </w:r>
    </w:p>
    <w:p>
      <w:pPr>
        <w:pStyle w:val="TextBody"/>
        <w:bidi w:val="0"/>
        <w:spacing w:before="1" w:after="283"/>
        <w:jc w:val="left"/>
        <w:rPr/>
      </w:pPr>
      <w:r>
        <w:rPr/>
      </w:r>
    </w:p>
    <w:p>
      <w:pPr>
        <w:pStyle w:val="TextBody"/>
        <w:bidi w:val="0"/>
        <w:spacing w:lineRule="auto" w:line="292" w:before="1" w:after="283"/>
        <w:ind w:left="0" w:right="0" w:firstLine="720"/>
        <w:jc w:val="left"/>
        <w:rPr/>
      </w:pPr>
      <w:r>
        <w:rPr>
          <w:rFonts w:ascii="Times New Roman;serif" w:hAnsi="Times New Roman;serif"/>
          <w:b w:val="false"/>
          <w:color w:val="232323"/>
          <w:sz w:val="22"/>
        </w:rPr>
        <w:t>1.</w:t>
      </w:r>
      <w:r>
        <w:rPr>
          <w:rFonts w:ascii="Times New Roman;serif" w:hAnsi="Times New Roman;serif"/>
          <w:b/>
          <w:color w:val="232323"/>
          <w:sz w:val="22"/>
          <w:u w:val="single"/>
        </w:rPr>
        <w:t>Compensation</w:t>
      </w:r>
      <w:r>
        <w:rPr>
          <w:rFonts w:ascii="Times New Roman;serif" w:hAnsi="Times New Roman;serif"/>
          <w:b w:val="false"/>
          <w:color w:val="232323"/>
          <w:sz w:val="22"/>
        </w:rPr>
        <w:t>. Your initial bi-weekly salary will be $32,692.00 (annualized at $850,000.00), subject to appropriate tax withholdings and deductions. As an exempt employee, you will not be entitled to overtime pay and your salary is intended to cover all hours worked including any hours worked that exceed forty (40) hours in a workweek or overtime as otherwise defined by applicable state law. Incyte processes payroll on a bi-weekly basis, with paydays on Fridays.</w:t>
      </w:r>
    </w:p>
    <w:p>
      <w:pPr>
        <w:pStyle w:val="TextBody"/>
        <w:bidi w:val="0"/>
        <w:spacing w:before="1" w:after="283"/>
        <w:jc w:val="left"/>
        <w:rPr/>
      </w:pPr>
      <w:r>
        <w:rPr/>
      </w:r>
    </w:p>
    <w:p>
      <w:pPr>
        <w:pStyle w:val="TextBody"/>
        <w:bidi w:val="0"/>
        <w:spacing w:lineRule="auto" w:line="292" w:before="1" w:after="283"/>
        <w:ind w:left="0" w:right="0" w:firstLine="720"/>
        <w:jc w:val="left"/>
        <w:rPr/>
      </w:pPr>
      <w:r>
        <w:rPr>
          <w:rFonts w:ascii="Times New Roman;serif" w:hAnsi="Times New Roman;serif"/>
          <w:b w:val="false"/>
          <w:color w:val="232323"/>
          <w:sz w:val="22"/>
        </w:rPr>
        <w:t>2.</w:t>
      </w:r>
      <w:r>
        <w:rPr>
          <w:rFonts w:ascii="Times New Roman;serif" w:hAnsi="Times New Roman;serif"/>
          <w:b/>
          <w:color w:val="232323"/>
          <w:sz w:val="22"/>
          <w:u w:val="single"/>
        </w:rPr>
        <w:t>Signing Bonus</w:t>
      </w:r>
      <w:r>
        <w:rPr>
          <w:rFonts w:ascii="Times New Roman;serif" w:hAnsi="Times New Roman;serif"/>
          <w:b w:val="false"/>
          <w:color w:val="232323"/>
          <w:sz w:val="22"/>
        </w:rPr>
        <w:t>. As an incentive for joining Incyte, we offer a signing bonus of $500,000.00. You agree that if you voluntarily terminate your employment or are terminated for cause within one year from your first day of employment with Incyte, you will repay this bonus amount to Incyte.</w:t>
      </w:r>
    </w:p>
    <w:p>
      <w:pPr>
        <w:pStyle w:val="TextBody"/>
        <w:bidi w:val="0"/>
        <w:spacing w:before="0" w:after="0"/>
        <w:ind w:left="0" w:right="0" w:firstLine="692"/>
        <w:jc w:val="left"/>
        <w:rPr/>
      </w:pPr>
      <w:r>
        <w:rPr/>
      </w:r>
    </w:p>
    <w:p>
      <w:pPr>
        <w:pStyle w:val="TextBody"/>
        <w:bidi w:val="0"/>
        <w:spacing w:lineRule="auto" w:line="292" w:before="1" w:after="283"/>
        <w:ind w:left="0" w:right="0" w:firstLine="720"/>
        <w:jc w:val="left"/>
        <w:rPr/>
      </w:pPr>
      <w:r>
        <w:rPr>
          <w:rFonts w:ascii="Times New Roman;serif" w:hAnsi="Times New Roman;serif"/>
          <w:b w:val="false"/>
          <w:color w:val="232323"/>
          <w:sz w:val="22"/>
        </w:rPr>
        <w:t>3.</w:t>
      </w:r>
      <w:r>
        <w:rPr>
          <w:rFonts w:ascii="Times New Roman;serif" w:hAnsi="Times New Roman;serif"/>
          <w:b/>
          <w:color w:val="232323"/>
          <w:sz w:val="22"/>
          <w:u w:val="single"/>
        </w:rPr>
        <w:t>Incentive Compensation Plan</w:t>
      </w:r>
      <w:r>
        <w:rPr>
          <w:rFonts w:ascii="Times New Roman;serif" w:hAnsi="Times New Roman;serif"/>
          <w:b w:val="false"/>
          <w:color w:val="232323"/>
          <w:sz w:val="22"/>
        </w:rPr>
        <w:t xml:space="preserve">. </w:t>
      </w:r>
      <w:r>
        <w:rPr>
          <w:rFonts w:ascii="Times New Roman;serif" w:hAnsi="Times New Roman;serif"/>
          <w:b w:val="false"/>
          <w:color w:val="242424"/>
          <w:sz w:val="22"/>
        </w:rPr>
        <w:t>You are eligible to participate in the Incentive Compensation Plan (ICP) at Incyte, which is an annual cash incentive plan. Employees are assigned a "Funding Target" based on their job category as a percentage of base pay. As an Executive Vice President, your funding target is 60%. Your individ</w:t>
      </w:r>
      <w:r>
        <w:rPr>
          <w:rFonts w:ascii="Times New Roman;serif" w:hAnsi="Times New Roman;serif"/>
          <w:b w:val="false"/>
          <w:color w:val="4C4C4C"/>
          <w:sz w:val="22"/>
        </w:rPr>
        <w:t>ua</w:t>
      </w:r>
      <w:r>
        <w:rPr>
          <w:rFonts w:ascii="Times New Roman;serif" w:hAnsi="Times New Roman;serif"/>
          <w:b w:val="false"/>
          <w:color w:val="242424"/>
          <w:sz w:val="22"/>
        </w:rPr>
        <w:t xml:space="preserve">l </w:t>
      </w:r>
      <w:r>
        <w:rPr>
          <w:rFonts w:ascii="Times New Roman;serif" w:hAnsi="Times New Roman;serif"/>
          <w:b w:val="false"/>
          <w:color w:val="393939"/>
          <w:sz w:val="22"/>
        </w:rPr>
        <w:t xml:space="preserve">award </w:t>
      </w:r>
      <w:r>
        <w:rPr>
          <w:rFonts w:ascii="Times New Roman;serif" w:hAnsi="Times New Roman;serif"/>
          <w:b w:val="false"/>
          <w:color w:val="242424"/>
          <w:sz w:val="22"/>
        </w:rPr>
        <w:t xml:space="preserve">will be based on company performance </w:t>
      </w:r>
      <w:r>
        <w:rPr>
          <w:rFonts w:ascii="Times New Roman;serif" w:hAnsi="Times New Roman;serif"/>
          <w:b w:val="false"/>
          <w:color w:val="393939"/>
          <w:sz w:val="22"/>
        </w:rPr>
        <w:t xml:space="preserve">versus </w:t>
      </w:r>
      <w:r>
        <w:rPr>
          <w:rFonts w:ascii="Times New Roman;serif" w:hAnsi="Times New Roman;serif"/>
          <w:b w:val="false"/>
          <w:color w:val="242424"/>
          <w:sz w:val="22"/>
        </w:rPr>
        <w:t>company goals</w:t>
      </w:r>
      <w:r>
        <w:rPr>
          <w:rFonts w:ascii="Times New Roman;serif" w:hAnsi="Times New Roman;serif"/>
          <w:b w:val="false"/>
          <w:color w:val="4C4C4C"/>
          <w:sz w:val="22"/>
        </w:rPr>
        <w:t xml:space="preserve">, </w:t>
      </w:r>
      <w:r>
        <w:rPr>
          <w:rFonts w:ascii="Times New Roman;serif" w:hAnsi="Times New Roman;serif"/>
          <w:b w:val="false"/>
          <w:color w:val="393939"/>
          <w:sz w:val="22"/>
        </w:rPr>
        <w:t xml:space="preserve">and your individual </w:t>
      </w:r>
      <w:r>
        <w:rPr>
          <w:rFonts w:ascii="Times New Roman;serif" w:hAnsi="Times New Roman;serif"/>
          <w:b w:val="false"/>
          <w:color w:val="242424"/>
          <w:sz w:val="22"/>
        </w:rPr>
        <w:t>performance ver</w:t>
      </w:r>
      <w:r>
        <w:rPr>
          <w:rFonts w:ascii="Times New Roman;serif" w:hAnsi="Times New Roman;serif"/>
          <w:b w:val="false"/>
          <w:color w:val="4C4C4C"/>
          <w:sz w:val="22"/>
        </w:rPr>
        <w:t>s</w:t>
      </w:r>
      <w:r>
        <w:rPr>
          <w:rFonts w:ascii="Times New Roman;serif" w:hAnsi="Times New Roman;serif"/>
          <w:b w:val="false"/>
          <w:color w:val="242424"/>
          <w:sz w:val="22"/>
        </w:rPr>
        <w:t xml:space="preserve">us your individual </w:t>
      </w:r>
      <w:r>
        <w:rPr>
          <w:rFonts w:ascii="Times New Roman;serif" w:hAnsi="Times New Roman;serif"/>
          <w:b w:val="false"/>
          <w:color w:val="393939"/>
          <w:sz w:val="22"/>
        </w:rPr>
        <w:t xml:space="preserve">goals. </w:t>
      </w:r>
      <w:r>
        <w:rPr>
          <w:rFonts w:ascii="Times New Roman;serif" w:hAnsi="Times New Roman;serif"/>
          <w:b w:val="false"/>
          <w:color w:val="242424"/>
          <w:sz w:val="22"/>
        </w:rPr>
        <w:t xml:space="preserve">Actual awards are variable and </w:t>
      </w:r>
      <w:r>
        <w:rPr>
          <w:rFonts w:ascii="Times New Roman;serif" w:hAnsi="Times New Roman;serif"/>
          <w:b w:val="false"/>
          <w:color w:val="393939"/>
          <w:sz w:val="22"/>
        </w:rPr>
        <w:t xml:space="preserve">could be </w:t>
      </w:r>
      <w:r>
        <w:rPr>
          <w:rFonts w:ascii="Times New Roman;serif" w:hAnsi="Times New Roman;serif"/>
          <w:b w:val="false"/>
          <w:color w:val="242424"/>
          <w:sz w:val="22"/>
        </w:rPr>
        <w:t xml:space="preserve">more or less </w:t>
      </w:r>
      <w:r>
        <w:rPr>
          <w:rFonts w:ascii="Times New Roman;serif" w:hAnsi="Times New Roman;serif"/>
          <w:b w:val="false"/>
          <w:color w:val="393939"/>
          <w:sz w:val="22"/>
        </w:rPr>
        <w:t xml:space="preserve">than your individual funding </w:t>
      </w:r>
      <w:r>
        <w:rPr>
          <w:rFonts w:ascii="Times New Roman;serif" w:hAnsi="Times New Roman;serif"/>
          <w:b w:val="false"/>
          <w:color w:val="242424"/>
          <w:sz w:val="22"/>
        </w:rPr>
        <w:t xml:space="preserve">target. Your 2026 ICP will not be prorated. This cash incentive plan </w:t>
      </w:r>
      <w:r>
        <w:rPr>
          <w:rFonts w:ascii="Times New Roman;serif" w:hAnsi="Times New Roman;serif"/>
          <w:b w:val="false"/>
          <w:color w:val="393939"/>
          <w:sz w:val="22"/>
        </w:rPr>
        <w:t xml:space="preserve">is </w:t>
      </w:r>
      <w:r>
        <w:rPr>
          <w:rFonts w:ascii="Times New Roman;serif" w:hAnsi="Times New Roman;serif"/>
          <w:b w:val="false"/>
          <w:color w:val="242424"/>
          <w:sz w:val="22"/>
        </w:rPr>
        <w:t>subjec</w:t>
      </w:r>
      <w:r>
        <w:rPr>
          <w:rFonts w:ascii="Times New Roman;serif" w:hAnsi="Times New Roman;serif"/>
          <w:b w:val="false"/>
          <w:color w:val="4C4C4C"/>
          <w:sz w:val="22"/>
        </w:rPr>
        <w:t xml:space="preserve">t </w:t>
      </w:r>
      <w:r>
        <w:rPr>
          <w:rFonts w:ascii="Times New Roman;serif" w:hAnsi="Times New Roman;serif"/>
          <w:b w:val="false"/>
          <w:color w:val="393939"/>
          <w:sz w:val="22"/>
        </w:rPr>
        <w:t xml:space="preserve">to </w:t>
      </w:r>
      <w:r>
        <w:rPr>
          <w:rFonts w:ascii="Times New Roman;serif" w:hAnsi="Times New Roman;serif"/>
          <w:b w:val="false"/>
          <w:color w:val="242424"/>
          <w:sz w:val="22"/>
        </w:rPr>
        <w:t xml:space="preserve">ongoing </w:t>
      </w:r>
      <w:r>
        <w:rPr>
          <w:rFonts w:ascii="Times New Roman;serif" w:hAnsi="Times New Roman;serif"/>
          <w:b w:val="false"/>
          <w:color w:val="393939"/>
          <w:sz w:val="22"/>
        </w:rPr>
        <w:t xml:space="preserve">approval </w:t>
      </w:r>
      <w:r>
        <w:rPr>
          <w:rFonts w:ascii="Times New Roman;serif" w:hAnsi="Times New Roman;serif"/>
          <w:b w:val="false"/>
          <w:color w:val="242424"/>
          <w:sz w:val="22"/>
        </w:rPr>
        <w:t xml:space="preserve">by </w:t>
      </w:r>
      <w:r>
        <w:rPr>
          <w:rFonts w:ascii="Times New Roman;serif" w:hAnsi="Times New Roman;serif"/>
          <w:b w:val="false"/>
          <w:color w:val="393939"/>
          <w:sz w:val="22"/>
        </w:rPr>
        <w:t>Incyte</w:t>
      </w:r>
      <w:r>
        <w:rPr>
          <w:rFonts w:ascii="Times New Roman;serif" w:hAnsi="Times New Roman;serif"/>
          <w:b w:val="false"/>
          <w:color w:val="5F5F5F"/>
          <w:sz w:val="22"/>
        </w:rPr>
        <w:t>'</w:t>
      </w:r>
      <w:r>
        <w:rPr>
          <w:rFonts w:ascii="Times New Roman;serif" w:hAnsi="Times New Roman;serif"/>
          <w:b w:val="false"/>
          <w:color w:val="242424"/>
          <w:sz w:val="22"/>
        </w:rPr>
        <w:t>s Board of Directors and may be modified or terminated by the Board of Directors at any time at its sole discretion.</w:t>
      </w:r>
    </w:p>
    <w:p>
      <w:pPr>
        <w:pStyle w:val="TextBody"/>
        <w:bidi w:val="0"/>
        <w:spacing w:before="0" w:after="0"/>
        <w:ind w:left="0" w:right="0" w:firstLine="692"/>
        <w:jc w:val="left"/>
        <w:rPr/>
      </w:pPr>
      <w:r>
        <w:rPr/>
      </w:r>
    </w:p>
    <w:p>
      <w:pPr>
        <w:pStyle w:val="TextBody"/>
        <w:bidi w:val="0"/>
        <w:spacing w:lineRule="auto" w:line="292" w:before="1" w:after="283"/>
        <w:ind w:left="0" w:right="0" w:firstLine="720"/>
        <w:jc w:val="left"/>
        <w:rPr/>
      </w:pPr>
      <w:r>
        <w:rPr>
          <w:rFonts w:ascii="Times New Roman;serif" w:hAnsi="Times New Roman;serif"/>
          <w:b w:val="false"/>
          <w:color w:val="232323"/>
          <w:sz w:val="22"/>
        </w:rPr>
        <w:t>4.</w:t>
      </w:r>
      <w:r>
        <w:rPr>
          <w:rFonts w:ascii="Times New Roman;serif" w:hAnsi="Times New Roman;serif"/>
          <w:b/>
          <w:color w:val="232323"/>
          <w:sz w:val="22"/>
          <w:u w:val="single"/>
        </w:rPr>
        <w:t>Stock Plan</w:t>
      </w:r>
      <w:r>
        <w:rPr>
          <w:rFonts w:ascii="Times New Roman;serif" w:hAnsi="Times New Roman;serif"/>
          <w:b w:val="false"/>
          <w:color w:val="232323"/>
          <w:sz w:val="22"/>
        </w:rPr>
        <w:t xml:space="preserve">. As an inducement material to your employment with Incyte, upon commencement of your employment, and subject to approval by the Compensation Committee of the Board of Directors, you will receive equity awards under Incyte’s 2024 Inducement Stock Incentive Plan consisting of performance shares (PSUs), stock options and restricted stock units (RSUs). The equity awards will have an aggregate grant date </w:t>
      </w:r>
    </w:p>
    <w:p>
      <w:pPr>
        <w:pStyle w:val="TextBody"/>
        <w:bidi w:val="0"/>
        <w:spacing w:before="0" w:after="283"/>
        <w:jc w:val="left"/>
        <w:rPr/>
      </w:pPr>
      <w:r>
        <w:rPr/>
      </w:r>
    </w:p>
    <w:p>
      <w:pPr>
        <w:pStyle w:val="TextBody"/>
        <w:bidi w:val="0"/>
        <w:spacing w:before="47"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14325"/>
                <wp:effectExtent l="0" t="0" r="0" b="0"/>
                <wp:wrapNone/>
                <wp:docPr id="83" name="Frame82"/>
                <a:graphic xmlns:a="http://schemas.openxmlformats.org/drawingml/2006/main">
                  <a:graphicData uri="http://schemas.microsoft.com/office/word/2010/wordprocessingShape">
                    <wps:wsp>
                      <wps:cNvSpPr txBox="1"/>
                      <wps:spPr>
                        <a:xfrm>
                          <a:off x="0" y="0"/>
                          <a:ext cx="6480175" cy="31432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ind w:left="0" w:right="0" w:firstLine="720"/>
                              <w:jc w:val="left"/>
                              <w:rPr>
                                <w:rFonts w:ascii="Times New Roman;serif" w:hAnsi="Times New Roman;serif"/>
                                <w:b w:val="false"/>
                                <w:color w:val="000000"/>
                                <w:sz w:val="19"/>
                              </w:rPr>
                            </w:pPr>
                            <w:r>
                              <w:rPr>
                                <w:rFonts w:ascii="Times New Roman;serif" w:hAnsi="Times New Roman;serif"/>
                                <w:b w:val="false"/>
                                <w:color w:val="000000"/>
                                <w:sz w:val="19"/>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9"/>
                        </w:rPr>
                      </w:pPr>
                      <w:r>
                        <w:rPr>
                          <w:rFonts w:ascii="Times New Roman;serif" w:hAnsi="Times New Roman;serif"/>
                          <w:b w:val="false"/>
                          <w:color w:val="000000"/>
                          <w:sz w:val="19"/>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drawing>
          <wp:inline distT="0" distB="0" distL="0" distR="0">
            <wp:extent cx="2019300" cy="552450"/>
            <wp:effectExtent l="0" t="0" r="0" b="0"/>
            <wp:docPr id="8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 descr=""/>
                    <pic:cNvPicPr>
                      <a:picLocks noChangeAspect="1" noChangeArrowheads="1"/>
                    </pic:cNvPicPr>
                  </pic:nvPicPr>
                  <pic:blipFill>
                    <a:blip r:embed="rId3"/>
                    <a:stretch>
                      <a:fillRect/>
                    </a:stretch>
                  </pic:blipFill>
                  <pic:spPr bwMode="auto">
                    <a:xfrm>
                      <a:off x="0" y="0"/>
                      <a:ext cx="2019300" cy="552450"/>
                    </a:xfrm>
                    <a:prstGeom prst="rect">
                      <a:avLst/>
                    </a:prstGeom>
                  </pic:spPr>
                </pic:pic>
              </a:graphicData>
            </a:graphic>
          </wp:inline>
        </w:drawing>
      </w:r>
      <w:r>
        <w:rPr>
          <w:color w:val="000000"/>
        </w:rPr>
        <w:t xml:space="preserve"> </w:t>
      </w:r>
    </w:p>
    <w:p>
      <w:pPr>
        <w:pStyle w:val="TextBody"/>
        <w:bidi w:val="0"/>
        <w:spacing w:lineRule="auto" w:line="288" w:before="0" w:after="0"/>
        <w:jc w:val="right"/>
        <w:rPr>
          <w:rFonts w:ascii="Arial;sans-serif" w:hAnsi="Arial;sans-serif"/>
          <w:b w:val="false"/>
          <w:color w:val="005CAB"/>
          <w:sz w:val="17"/>
        </w:rPr>
      </w:pPr>
      <w:r>
        <w:rPr>
          <w:rFonts w:ascii="Arial;sans-serif" w:hAnsi="Arial;sans-serif"/>
          <w:b w:val="false"/>
          <w:color w:val="005CAB"/>
          <w:sz w:val="17"/>
        </w:rPr>
        <w:t>Incyte</w:t>
      </w:r>
    </w:p>
    <w:p>
      <w:pPr>
        <w:pStyle w:val="TextBody"/>
        <w:bidi w:val="0"/>
        <w:spacing w:lineRule="auto" w:line="240" w:before="0" w:after="0"/>
        <w:jc w:val="right"/>
        <w:rPr>
          <w:rFonts w:ascii="Arial;sans-serif" w:hAnsi="Arial;sans-serif"/>
          <w:b w:val="false"/>
          <w:color w:val="005CAB"/>
          <w:sz w:val="17"/>
        </w:rPr>
      </w:pPr>
      <w:r>
        <w:rPr>
          <w:rFonts w:ascii="Arial;sans-serif" w:hAnsi="Arial;sans-serif"/>
          <w:b w:val="false"/>
          <w:color w:val="005CAB"/>
          <w:sz w:val="17"/>
        </w:rPr>
        <w:t>1801 Augustine Cut-Off</w:t>
      </w:r>
    </w:p>
    <w:p>
      <w:pPr>
        <w:pStyle w:val="TextBody"/>
        <w:bidi w:val="0"/>
        <w:spacing w:lineRule="auto" w:line="288" w:before="0" w:after="0"/>
        <w:jc w:val="right"/>
        <w:rPr>
          <w:rFonts w:ascii="Arial;sans-serif" w:hAnsi="Arial;sans-serif"/>
          <w:b w:val="false"/>
          <w:color w:val="005CAB"/>
          <w:sz w:val="17"/>
        </w:rPr>
      </w:pPr>
      <w:r>
        <w:rPr>
          <w:rFonts w:ascii="Arial;sans-serif" w:hAnsi="Arial;sans-serif"/>
          <w:b w:val="false"/>
          <w:color w:val="005CAB"/>
          <w:sz w:val="17"/>
        </w:rPr>
        <w:t>Wilmington, DE 19803</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5CAB"/>
          <w:sz w:val="17"/>
        </w:rPr>
      </w:pPr>
      <w:r>
        <w:rPr>
          <w:rFonts w:ascii="Arial;sans-serif" w:hAnsi="Arial;sans-serif"/>
          <w:b w:val="false"/>
          <w:color w:val="005CAB"/>
          <w:sz w:val="17"/>
        </w:rPr>
        <w:t>302.498.6700</w:t>
      </w:r>
    </w:p>
    <w:p>
      <w:pPr>
        <w:pStyle w:val="TextBody"/>
        <w:bidi w:val="0"/>
        <w:spacing w:lineRule="auto" w:line="288" w:before="47" w:after="283"/>
        <w:jc w:val="right"/>
        <w:rPr/>
      </w:pPr>
      <w:r>
        <w:rPr>
          <w:rFonts w:ascii="Arial;sans-serif" w:hAnsi="Arial;sans-serif"/>
          <w:b/>
          <w:color w:val="1C469A"/>
          <w:sz w:val="17"/>
        </w:rPr>
        <w:t>incyt</w:t>
      </w:r>
      <w:r>
        <w:rPr>
          <w:rFonts w:ascii="Arial;sans-serif" w:hAnsi="Arial;sans-serif"/>
          <w:b/>
          <w:color w:val="1C3872"/>
          <w:sz w:val="17"/>
        </w:rPr>
        <w:t>e.co</w:t>
      </w:r>
      <w:r>
        <w:rPr>
          <w:rFonts w:ascii="Arial;sans-serif" w:hAnsi="Arial;sans-serif"/>
          <w:b/>
          <w:color w:val="1C469A"/>
          <w:sz w:val="17"/>
        </w:rPr>
        <w:t>m</w:t>
      </w:r>
    </w:p>
    <w:p>
      <w:pPr>
        <w:pStyle w:val="TextBody"/>
        <w:bidi w:val="0"/>
        <w:spacing w:before="0" w:after="0"/>
        <w:jc w:val="right"/>
        <w:rPr/>
      </w:pPr>
      <w:r>
        <w:rPr/>
      </w:r>
    </w:p>
    <w:p>
      <w:pPr>
        <w:pStyle w:val="TextBody"/>
        <w:bidi w:val="0"/>
        <w:spacing w:lineRule="auto" w:line="292" w:before="0" w:after="0"/>
        <w:jc w:val="left"/>
        <w:rPr>
          <w:rFonts w:ascii="Times New Roman;serif" w:hAnsi="Times New Roman;serif"/>
          <w:b w:val="false"/>
          <w:color w:val="232323"/>
          <w:sz w:val="22"/>
        </w:rPr>
      </w:pPr>
      <w:r>
        <w:rPr>
          <w:rFonts w:ascii="Times New Roman;serif" w:hAnsi="Times New Roman;serif"/>
          <w:b w:val="false"/>
          <w:color w:val="232323"/>
          <w:sz w:val="22"/>
        </w:rPr>
        <w:t xml:space="preserve">value, determined in accordance with Incyte’s current equity award practices, of $5,000,000.00. Twenty-five percent (25%) of your equity awards will be in the form of performance shares, twenty-five percent (25%) of your equity will be in the form of options to purchase Incyte’s common stock and the remaining fifty percent (50%) of your equity will be in the form of restricted stock units (RSUs). The number of PSUs, stock options and RSUs shall be calculated and granted as of your employment (start) date. The specific terms and conditions of this grant, including exercise price and vesting conditions, will be set forth in an Equity Grant Agreement to be </w:t>
      </w:r>
    </w:p>
    <w:p>
      <w:pPr>
        <w:pStyle w:val="TextBody"/>
        <w:bidi w:val="0"/>
        <w:spacing w:lineRule="auto" w:line="292" w:before="1" w:after="283"/>
        <w:jc w:val="left"/>
        <w:rPr>
          <w:rFonts w:ascii="Times New Roman;serif" w:hAnsi="Times New Roman;serif"/>
          <w:b w:val="false"/>
          <w:color w:val="232323"/>
          <w:sz w:val="22"/>
        </w:rPr>
      </w:pPr>
      <w:r>
        <w:rPr>
          <w:rFonts w:ascii="Times New Roman;serif" w:hAnsi="Times New Roman;serif"/>
          <w:b w:val="false"/>
          <w:color w:val="232323"/>
          <w:sz w:val="22"/>
        </w:rPr>
        <w:t>entered into between you and Incyte. In addition to the New Hire Award, and subject to approval by the Compensation Committee of the Board of Directors on an annual basis, you may be eligible for an annual equity grant award (which will not be prorated) with a target value of $4,500,000.00 based on your current role.</w:t>
      </w:r>
    </w:p>
    <w:p>
      <w:pPr>
        <w:pStyle w:val="TextBody"/>
        <w:bidi w:val="0"/>
        <w:spacing w:before="0" w:after="0"/>
        <w:jc w:val="left"/>
        <w:rPr/>
      </w:pPr>
      <w:r>
        <w:rPr/>
      </w:r>
    </w:p>
    <w:p>
      <w:pPr>
        <w:pStyle w:val="TextBody"/>
        <w:bidi w:val="0"/>
        <w:spacing w:lineRule="auto" w:line="292" w:before="0" w:after="0"/>
        <w:ind w:left="0" w:right="0" w:firstLine="720"/>
        <w:jc w:val="left"/>
        <w:rPr/>
      </w:pPr>
      <w:r>
        <w:rPr>
          <w:rFonts w:ascii="Times New Roman;serif" w:hAnsi="Times New Roman;serif"/>
          <w:b w:val="false"/>
          <w:color w:val="000000"/>
          <w:sz w:val="22"/>
        </w:rPr>
        <w:t>5.</w:t>
      </w:r>
      <w:r>
        <w:rPr>
          <w:rFonts w:ascii="Times New Roman;serif" w:hAnsi="Times New Roman;serif"/>
          <w:b/>
          <w:color w:val="232323"/>
          <w:sz w:val="22"/>
          <w:u w:val="single"/>
        </w:rPr>
        <w:t>Benefits</w:t>
      </w:r>
      <w:r>
        <w:rPr>
          <w:rFonts w:ascii="Times New Roman;serif" w:hAnsi="Times New Roman;serif"/>
          <w:b w:val="false"/>
          <w:color w:val="232323"/>
          <w:sz w:val="22"/>
        </w:rPr>
        <w:t>. Effective on your first day of employment, you and your dependents will be eligible for employee benefits consistent with Incyte's practices, benefit plans and/or Incyte policies, as they currently exist and as they may be modified in Incyte's discretion. The premium costs of these benefits for employees are currently being paid by Incyte. As a new hire, you will accrue five (5) days (40 hours) of PTO for the calendar quarter in which you begin employment with Incyte. You are also eligible to participate in Incyte's 40l(k) plan beginning on your first day of employment.</w:t>
      </w:r>
    </w:p>
    <w:p>
      <w:pPr>
        <w:pStyle w:val="TextBody"/>
        <w:bidi w:val="0"/>
        <w:spacing w:lineRule="auto" w:line="292" w:before="224" w:after="283"/>
        <w:ind w:left="0" w:right="0" w:firstLine="720"/>
        <w:jc w:val="left"/>
        <w:rPr/>
      </w:pPr>
      <w:r>
        <w:rPr>
          <w:rFonts w:ascii="Times New Roman;serif" w:hAnsi="Times New Roman;serif"/>
          <w:b w:val="false"/>
          <w:color w:val="000000"/>
          <w:sz w:val="22"/>
        </w:rPr>
        <w:t>6.</w:t>
      </w:r>
      <w:r>
        <w:rPr>
          <w:rFonts w:ascii="Times New Roman;serif" w:hAnsi="Times New Roman;serif"/>
          <w:b/>
          <w:color w:val="232323"/>
          <w:sz w:val="22"/>
          <w:u w:val="single"/>
        </w:rPr>
        <w:t>Pre-Employment Checks</w:t>
      </w:r>
      <w:r>
        <w:rPr>
          <w:rFonts w:ascii="Times New Roman;serif" w:hAnsi="Times New Roman;serif"/>
          <w:b w:val="false"/>
          <w:color w:val="232323"/>
          <w:sz w:val="22"/>
        </w:rPr>
        <w:t>. Employment with the Company is contingent upon your successful completion of the Company's lawful pre-employment checks. Consideration of any background check will be tailored to the requirements of the job as well as any limitations pursuant to applicable law. By signing below, you acknowledge that you will execute any necessary consents to perform such checks.</w:t>
      </w:r>
    </w:p>
    <w:p>
      <w:pPr>
        <w:pStyle w:val="TextBody"/>
        <w:bidi w:val="0"/>
        <w:spacing w:before="1" w:after="283"/>
        <w:ind w:left="0" w:right="0" w:firstLine="720"/>
        <w:jc w:val="left"/>
        <w:rPr/>
      </w:pPr>
      <w:r>
        <w:rPr/>
      </w:r>
    </w:p>
    <w:p>
      <w:pPr>
        <w:pStyle w:val="TextBody"/>
        <w:bidi w:val="0"/>
        <w:spacing w:lineRule="auto" w:line="292" w:before="0" w:after="0"/>
        <w:ind w:left="0" w:right="0" w:firstLine="720"/>
        <w:jc w:val="left"/>
        <w:rPr/>
      </w:pPr>
      <w:r>
        <w:rPr>
          <w:rFonts w:ascii="Times New Roman;serif" w:hAnsi="Times New Roman;serif"/>
          <w:b w:val="false"/>
          <w:color w:val="000000"/>
          <w:sz w:val="22"/>
        </w:rPr>
        <w:t>7.</w:t>
      </w:r>
      <w:r>
        <w:rPr>
          <w:rFonts w:ascii="Times New Roman;serif" w:hAnsi="Times New Roman;serif"/>
          <w:b/>
          <w:color w:val="232323"/>
          <w:sz w:val="22"/>
          <w:u w:val="single"/>
        </w:rPr>
        <w:t>Work Rules and Policies</w:t>
      </w:r>
      <w:r>
        <w:rPr>
          <w:rFonts w:ascii="Times New Roman;serif" w:hAnsi="Times New Roman;serif"/>
          <w:b w:val="false"/>
          <w:color w:val="232323"/>
          <w:sz w:val="22"/>
        </w:rPr>
        <w:t>. During your employment, you will be subject to all policies, rules and regulations applicable to employees of Incyte, as they currently exist and subject to any future modifications in Incyte's discretion including, without limitation, maintaining the confidential proprietary information of Incyte. The requirement that you maintain as confidential proprietary information of Incyte shall extend beyond termination of your employment.</w:t>
      </w:r>
    </w:p>
    <w:p>
      <w:pPr>
        <w:pStyle w:val="TextBody"/>
        <w:bidi w:val="0"/>
        <w:spacing w:before="0" w:after="0"/>
        <w:ind w:left="0" w:right="0" w:firstLine="692"/>
        <w:jc w:val="left"/>
        <w:rPr/>
      </w:pPr>
      <w:r>
        <w:rPr/>
      </w:r>
    </w:p>
    <w:p>
      <w:pPr>
        <w:pStyle w:val="TextBody"/>
        <w:bidi w:val="0"/>
        <w:spacing w:lineRule="auto" w:line="292" w:before="16" w:after="283"/>
        <w:ind w:left="0" w:right="0" w:firstLine="720"/>
        <w:jc w:val="left"/>
        <w:rPr/>
      </w:pPr>
      <w:r>
        <w:rPr>
          <w:rFonts w:ascii="Times New Roman;serif" w:hAnsi="Times New Roman;serif"/>
          <w:b w:val="false"/>
          <w:color w:val="000000"/>
          <w:sz w:val="22"/>
        </w:rPr>
        <w:t>8.</w:t>
      </w:r>
      <w:r>
        <w:rPr>
          <w:rFonts w:ascii="Times New Roman;serif" w:hAnsi="Times New Roman;serif"/>
          <w:b/>
          <w:color w:val="232323"/>
          <w:sz w:val="22"/>
          <w:u w:val="single"/>
        </w:rPr>
        <w:t>Representations and Warranties of Employee</w:t>
      </w:r>
      <w:r>
        <w:rPr>
          <w:rFonts w:ascii="Times New Roman;serif" w:hAnsi="Times New Roman;serif"/>
          <w:b w:val="false"/>
          <w:color w:val="232323"/>
          <w:sz w:val="22"/>
        </w:rPr>
        <w:t>. In accepting this offer, you are representing that (a) you are not a party to any employment agreement or other contract or arrangement which prohibits your full-time employment with Incyte (for example, you are not subject to any non-compete, non-solicitation, or non-disclosure agreements with any third-party), (b) you do not know of any conflict which would restrict in any way your employment with Incyte, and (c) you have not and will not bring with you to your employment at Incyte any documents, data, property, records or confidential information belonging to former employers or other third-parties. You further agree to indemnify and hold Incyte harmless from and against any claims, damages, liabilities, or expenses, including attorneys' fees, if at any time your representations in this regard shall cease to be true and accurate. You further represent and warrant that all information provided to Incyte during your application for employment, including your application and resume, is true and correct.</w:t>
      </w:r>
    </w:p>
    <w:p>
      <w:pPr>
        <w:pStyle w:val="TextBody"/>
        <w:bidi w:val="0"/>
        <w:ind w:left="0" w:right="0" w:firstLine="1080"/>
        <w:jc w:val="left"/>
        <w:rPr/>
      </w:pPr>
      <w:r>
        <w:rPr/>
      </w:r>
    </w:p>
    <w:p>
      <w:pPr>
        <w:pStyle w:val="TextBody"/>
        <w:bidi w:val="0"/>
        <w:spacing w:before="47"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14325"/>
                <wp:effectExtent l="0" t="0" r="0" b="0"/>
                <wp:wrapNone/>
                <wp:docPr id="85" name="Frame83"/>
                <a:graphic xmlns:a="http://schemas.openxmlformats.org/drawingml/2006/main">
                  <a:graphicData uri="http://schemas.microsoft.com/office/word/2010/wordprocessingShape">
                    <wps:wsp>
                      <wps:cNvSpPr txBox="1"/>
                      <wps:spPr>
                        <a:xfrm>
                          <a:off x="0" y="0"/>
                          <a:ext cx="6480175" cy="31432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ind w:left="0" w:right="0" w:firstLine="720"/>
                              <w:jc w:val="left"/>
                              <w:rPr>
                                <w:rFonts w:ascii="Times New Roman;serif" w:hAnsi="Times New Roman;serif"/>
                                <w:b w:val="false"/>
                                <w:color w:val="000000"/>
                                <w:sz w:val="19"/>
                              </w:rPr>
                            </w:pPr>
                            <w:r>
                              <w:rPr>
                                <w:rFonts w:ascii="Times New Roman;serif" w:hAnsi="Times New Roman;serif"/>
                                <w:b w:val="false"/>
                                <w:color w:val="000000"/>
                                <w:sz w:val="19"/>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9"/>
                        </w:rPr>
                      </w:pPr>
                      <w:r>
                        <w:rPr>
                          <w:rFonts w:ascii="Times New Roman;serif" w:hAnsi="Times New Roman;serif"/>
                          <w:b w:val="false"/>
                          <w:color w:val="000000"/>
                          <w:sz w:val="19"/>
                        </w:rPr>
                        <w:t>2</w:t>
                      </w:r>
                    </w:p>
                  </w:txbxContent>
                </v:textbox>
                <w10:wrap type="none"/>
              </v:rect>
            </w:pict>
          </mc:Fallback>
        </mc:AlternateContent>
      </w:r>
    </w:p>
    <w:p>
      <w:pPr>
        <w:pStyle w:val="TextBody"/>
        <w:bidi w:val="0"/>
        <w:spacing w:before="0" w:after="0"/>
        <w:ind w:left="0" w:right="0" w:firstLine="692"/>
        <w:jc w:val="left"/>
        <w:rPr/>
      </w:pPr>
      <w:r>
        <w:rPr/>
      </w:r>
    </w:p>
    <w:p>
      <w:pPr>
        <w:pStyle w:val="TextBody"/>
        <w:bidi w:val="0"/>
        <w:spacing w:before="0" w:after="0"/>
        <w:ind w:left="0" w:right="0" w:firstLine="692"/>
        <w:jc w:val="left"/>
        <w:rPr/>
      </w:pPr>
      <w:r>
        <w:rPr/>
      </w:r>
    </w:p>
    <w:p>
      <w:pPr>
        <w:pStyle w:val="TextBody"/>
        <w:bidi w:val="0"/>
        <w:spacing w:lineRule="auto" w:line="288" w:before="0" w:after="0"/>
        <w:jc w:val="left"/>
        <w:rPr/>
      </w:pPr>
      <w:r>
        <w:rPr/>
        <w:drawing>
          <wp:inline distT="0" distB="0" distL="0" distR="0">
            <wp:extent cx="2019300" cy="552450"/>
            <wp:effectExtent l="0" t="0" r="0" b="0"/>
            <wp:docPr id="8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 descr=""/>
                    <pic:cNvPicPr>
                      <a:picLocks noChangeAspect="1" noChangeArrowheads="1"/>
                    </pic:cNvPicPr>
                  </pic:nvPicPr>
                  <pic:blipFill>
                    <a:blip r:embed="rId4"/>
                    <a:stretch>
                      <a:fillRect/>
                    </a:stretch>
                  </pic:blipFill>
                  <pic:spPr bwMode="auto">
                    <a:xfrm>
                      <a:off x="0" y="0"/>
                      <a:ext cx="2019300" cy="552450"/>
                    </a:xfrm>
                    <a:prstGeom prst="rect">
                      <a:avLst/>
                    </a:prstGeom>
                  </pic:spPr>
                </pic:pic>
              </a:graphicData>
            </a:graphic>
          </wp:inline>
        </w:drawing>
      </w:r>
      <w:r>
        <w:rPr>
          <w:color w:val="000000"/>
        </w:rPr>
        <w:t xml:space="preserve"> </w:t>
      </w:r>
    </w:p>
    <w:p>
      <w:pPr>
        <w:pStyle w:val="TextBody"/>
        <w:bidi w:val="0"/>
        <w:spacing w:lineRule="auto" w:line="288" w:before="0" w:after="0"/>
        <w:jc w:val="right"/>
        <w:rPr>
          <w:rFonts w:ascii="Arial;sans-serif" w:hAnsi="Arial;sans-serif"/>
          <w:b w:val="false"/>
          <w:color w:val="005CAB"/>
          <w:sz w:val="17"/>
        </w:rPr>
      </w:pPr>
      <w:r>
        <w:rPr>
          <w:rFonts w:ascii="Arial;sans-serif" w:hAnsi="Arial;sans-serif"/>
          <w:b w:val="false"/>
          <w:color w:val="005CAB"/>
          <w:sz w:val="17"/>
        </w:rPr>
        <w:t>Incyte</w:t>
      </w:r>
    </w:p>
    <w:p>
      <w:pPr>
        <w:pStyle w:val="TextBody"/>
        <w:bidi w:val="0"/>
        <w:spacing w:lineRule="auto" w:line="240" w:before="0" w:after="0"/>
        <w:jc w:val="right"/>
        <w:rPr>
          <w:rFonts w:ascii="Arial;sans-serif" w:hAnsi="Arial;sans-serif"/>
          <w:b w:val="false"/>
          <w:color w:val="005CAB"/>
          <w:sz w:val="17"/>
        </w:rPr>
      </w:pPr>
      <w:r>
        <w:rPr>
          <w:rFonts w:ascii="Arial;sans-serif" w:hAnsi="Arial;sans-serif"/>
          <w:b w:val="false"/>
          <w:color w:val="005CAB"/>
          <w:sz w:val="17"/>
        </w:rPr>
        <w:t>1801 Augustine Cut-Off</w:t>
      </w:r>
    </w:p>
    <w:p>
      <w:pPr>
        <w:pStyle w:val="TextBody"/>
        <w:bidi w:val="0"/>
        <w:spacing w:lineRule="auto" w:line="288" w:before="0" w:after="0"/>
        <w:jc w:val="right"/>
        <w:rPr>
          <w:rFonts w:ascii="Arial;sans-serif" w:hAnsi="Arial;sans-serif"/>
          <w:b w:val="false"/>
          <w:color w:val="005CAB"/>
          <w:sz w:val="17"/>
        </w:rPr>
      </w:pPr>
      <w:r>
        <w:rPr>
          <w:rFonts w:ascii="Arial;sans-serif" w:hAnsi="Arial;sans-serif"/>
          <w:b w:val="false"/>
          <w:color w:val="005CAB"/>
          <w:sz w:val="17"/>
        </w:rPr>
        <w:t>Wilmington, DE 19803</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5CAB"/>
          <w:sz w:val="17"/>
        </w:rPr>
      </w:pPr>
      <w:r>
        <w:rPr>
          <w:rFonts w:ascii="Arial;sans-serif" w:hAnsi="Arial;sans-serif"/>
          <w:b w:val="false"/>
          <w:color w:val="005CAB"/>
          <w:sz w:val="17"/>
        </w:rPr>
        <w:t>302.498.6700</w:t>
      </w:r>
    </w:p>
    <w:p>
      <w:pPr>
        <w:pStyle w:val="TextBody"/>
        <w:bidi w:val="0"/>
        <w:spacing w:lineRule="auto" w:line="288" w:before="47" w:after="283"/>
        <w:jc w:val="right"/>
        <w:rPr/>
      </w:pPr>
      <w:r>
        <w:rPr>
          <w:rFonts w:ascii="Arial;sans-serif" w:hAnsi="Arial;sans-serif"/>
          <w:b/>
          <w:color w:val="1C469A"/>
          <w:sz w:val="17"/>
        </w:rPr>
        <w:t>incyt</w:t>
      </w:r>
      <w:r>
        <w:rPr>
          <w:rFonts w:ascii="Arial;sans-serif" w:hAnsi="Arial;sans-serif"/>
          <w:b/>
          <w:color w:val="1C3872"/>
          <w:sz w:val="17"/>
        </w:rPr>
        <w:t>e.co</w:t>
      </w:r>
      <w:r>
        <w:rPr>
          <w:rFonts w:ascii="Arial;sans-serif" w:hAnsi="Arial;sans-serif"/>
          <w:b/>
          <w:color w:val="1C469A"/>
          <w:sz w:val="17"/>
        </w:rPr>
        <w:t>m</w:t>
      </w:r>
    </w:p>
    <w:p>
      <w:pPr>
        <w:pStyle w:val="TextBody"/>
        <w:bidi w:val="0"/>
        <w:spacing w:lineRule="auto" w:line="292" w:before="224" w:after="283"/>
        <w:ind w:left="0" w:right="0" w:firstLine="720"/>
        <w:jc w:val="left"/>
        <w:rPr/>
      </w:pPr>
      <w:r>
        <w:rPr>
          <w:rFonts w:ascii="Times New Roman;serif" w:hAnsi="Times New Roman;serif"/>
          <w:b w:val="false"/>
          <w:color w:val="000000"/>
          <w:sz w:val="22"/>
        </w:rPr>
        <w:t>9.</w:t>
      </w:r>
      <w:r>
        <w:rPr>
          <w:rFonts w:ascii="Times New Roman;serif" w:hAnsi="Times New Roman;serif"/>
          <w:b/>
          <w:color w:val="232323"/>
          <w:sz w:val="22"/>
          <w:u w:val="single"/>
        </w:rPr>
        <w:t>At-Will Employment</w:t>
      </w:r>
      <w:r>
        <w:rPr>
          <w:rFonts w:ascii="Times New Roman;serif" w:hAnsi="Times New Roman;serif"/>
          <w:b w:val="false"/>
          <w:color w:val="232323"/>
          <w:sz w:val="22"/>
        </w:rPr>
        <w:t>. This letter is merely a summary of the principal terms of our employment offer and is not a contract of employment for any definite period of time and does not otherwise confer any contractual rights whatsoever. Unless otherwise provided by applicable law, your employment will be "at will," and as such you will be free to leave employment with Incyte at any time. Similarly, Incyte may terminate your employment at any time for any or no reason, with or without cause or notice. At-will status only may be modified on an individual or collective basis via a written contract or agreement signed by you.</w:t>
      </w:r>
    </w:p>
    <w:p>
      <w:pPr>
        <w:pStyle w:val="TextBody"/>
        <w:bidi w:val="0"/>
        <w:spacing w:before="0" w:after="0"/>
        <w:jc w:val="left"/>
        <w:rPr/>
      </w:pPr>
      <w:r>
        <w:rPr/>
      </w:r>
    </w:p>
    <w:p>
      <w:pPr>
        <w:pStyle w:val="TextBody"/>
        <w:bidi w:val="0"/>
        <w:spacing w:lineRule="auto" w:line="240"/>
        <w:ind w:left="0" w:right="0" w:firstLine="692"/>
        <w:jc w:val="left"/>
        <w:rPr/>
      </w:pPr>
      <w:r>
        <w:rPr>
          <w:rFonts w:ascii="Times New Roman;serif" w:hAnsi="Times New Roman;serif"/>
          <w:b/>
          <w:color w:val="232323"/>
          <w:sz w:val="22"/>
        </w:rPr>
        <w:t xml:space="preserve">10. </w:t>
      </w:r>
      <w:r>
        <w:rPr>
          <w:rFonts w:ascii="Times New Roman;serif" w:hAnsi="Times New Roman;serif"/>
          <w:b/>
          <w:color w:val="232323"/>
          <w:sz w:val="22"/>
          <w:u w:val="single"/>
        </w:rPr>
        <w:t>Acceptance</w:t>
      </w:r>
      <w:r>
        <w:rPr>
          <w:rFonts w:ascii="Times New Roman;serif" w:hAnsi="Times New Roman;serif"/>
          <w:b w:val="false"/>
          <w:color w:val="232323"/>
          <w:sz w:val="22"/>
        </w:rPr>
        <w:t>. If you wish to accept employment at Incyte under the terms set forth in this letter and in the attached Confidential Information and Invention Assignment Agreement, please sign and date this letter and the enclosed documents and return them to us as described above.</w:t>
      </w:r>
    </w:p>
    <w:p>
      <w:pPr>
        <w:pStyle w:val="TextBody"/>
        <w:bidi w:val="0"/>
        <w:spacing w:before="47"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14325"/>
                <wp:effectExtent l="0" t="0" r="0" b="0"/>
                <wp:wrapNone/>
                <wp:docPr id="87" name="Frame84"/>
                <a:graphic xmlns:a="http://schemas.openxmlformats.org/drawingml/2006/main">
                  <a:graphicData uri="http://schemas.microsoft.com/office/word/2010/wordprocessingShape">
                    <wps:wsp>
                      <wps:cNvSpPr txBox="1"/>
                      <wps:spPr>
                        <a:xfrm>
                          <a:off x="0" y="0"/>
                          <a:ext cx="6480175" cy="31432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ind w:left="0" w:right="0" w:firstLine="720"/>
                              <w:jc w:val="left"/>
                              <w:rPr>
                                <w:rFonts w:ascii="Times New Roman;serif" w:hAnsi="Times New Roman;serif"/>
                                <w:b w:val="false"/>
                                <w:color w:val="000000"/>
                                <w:sz w:val="19"/>
                              </w:rPr>
                            </w:pPr>
                            <w:r>
                              <w:rPr>
                                <w:rFonts w:ascii="Times New Roman;serif" w:hAnsi="Times New Roman;serif"/>
                                <w:b w:val="false"/>
                                <w:color w:val="000000"/>
                                <w:sz w:val="19"/>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9"/>
                        </w:rPr>
                      </w:pPr>
                      <w:r>
                        <w:rPr>
                          <w:rFonts w:ascii="Times New Roman;serif" w:hAnsi="Times New Roman;serif"/>
                          <w:b w:val="false"/>
                          <w:color w:val="000000"/>
                          <w:sz w:val="19"/>
                        </w:rPr>
                        <w:t>3</w:t>
                      </w:r>
                    </w:p>
                  </w:txbxContent>
                </v:textbox>
                <w10:wrap type="none"/>
              </v:rect>
            </w:pict>
          </mc:Fallback>
        </mc:AlternateContent>
      </w:r>
    </w:p>
    <w:p>
      <w:pPr>
        <w:pStyle w:val="TextBody"/>
        <w:bidi w:val="0"/>
        <w:spacing w:lineRule="auto" w:line="288" w:before="224" w:after="283"/>
        <w:jc w:val="right"/>
        <w:rPr>
          <w:color w:val="000000"/>
        </w:rPr>
      </w:pPr>
      <w:r>
        <w:rPr>
          <w:color w:val="000000"/>
        </w:rPr>
        <w:t>                    </w:t>
      </w:r>
    </w:p>
    <w:p>
      <w:pPr>
        <w:pStyle w:val="TextBody"/>
        <w:bidi w:val="0"/>
        <w:spacing w:before="0" w:after="0"/>
        <w:jc w:val="right"/>
        <w:rPr/>
      </w:pPr>
      <w:r>
        <w:rPr/>
      </w:r>
    </w:p>
    <w:p>
      <w:pPr>
        <w:pStyle w:val="TextBody"/>
        <w:bidi w:val="0"/>
        <w:spacing w:lineRule="auto" w:line="288" w:before="0" w:after="0"/>
        <w:jc w:val="left"/>
        <w:rPr/>
      </w:pPr>
      <w:r>
        <w:rPr/>
        <w:drawing>
          <wp:inline distT="0" distB="0" distL="0" distR="0">
            <wp:extent cx="2019300" cy="552450"/>
            <wp:effectExtent l="0" t="0" r="0" b="0"/>
            <wp:docPr id="8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 descr=""/>
                    <pic:cNvPicPr>
                      <a:picLocks noChangeAspect="1" noChangeArrowheads="1"/>
                    </pic:cNvPicPr>
                  </pic:nvPicPr>
                  <pic:blipFill>
                    <a:blip r:embed="rId5"/>
                    <a:stretch>
                      <a:fillRect/>
                    </a:stretch>
                  </pic:blipFill>
                  <pic:spPr bwMode="auto">
                    <a:xfrm>
                      <a:off x="0" y="0"/>
                      <a:ext cx="2019300" cy="552450"/>
                    </a:xfrm>
                    <a:prstGeom prst="rect">
                      <a:avLst/>
                    </a:prstGeom>
                  </pic:spPr>
                </pic:pic>
              </a:graphicData>
            </a:graphic>
          </wp:inline>
        </w:drawing>
      </w:r>
      <w:r>
        <w:rPr>
          <w:color w:val="000000"/>
        </w:rPr>
        <w:t xml:space="preserve"> </w:t>
      </w:r>
    </w:p>
    <w:p>
      <w:pPr>
        <w:pStyle w:val="TextBody"/>
        <w:bidi w:val="0"/>
        <w:spacing w:lineRule="auto" w:line="288" w:before="0" w:after="0"/>
        <w:jc w:val="right"/>
        <w:rPr>
          <w:rFonts w:ascii="Arial;sans-serif" w:hAnsi="Arial;sans-serif"/>
          <w:b w:val="false"/>
          <w:color w:val="005CAB"/>
          <w:sz w:val="17"/>
        </w:rPr>
      </w:pPr>
      <w:r>
        <w:rPr>
          <w:rFonts w:ascii="Arial;sans-serif" w:hAnsi="Arial;sans-serif"/>
          <w:b w:val="false"/>
          <w:color w:val="005CAB"/>
          <w:sz w:val="17"/>
        </w:rPr>
        <w:t>Incyte</w:t>
      </w:r>
    </w:p>
    <w:p>
      <w:pPr>
        <w:pStyle w:val="TextBody"/>
        <w:bidi w:val="0"/>
        <w:spacing w:lineRule="auto" w:line="240" w:before="0" w:after="0"/>
        <w:jc w:val="right"/>
        <w:rPr>
          <w:rFonts w:ascii="Arial;sans-serif" w:hAnsi="Arial;sans-serif"/>
          <w:b w:val="false"/>
          <w:color w:val="005CAB"/>
          <w:sz w:val="17"/>
        </w:rPr>
      </w:pPr>
      <w:r>
        <w:rPr>
          <w:rFonts w:ascii="Arial;sans-serif" w:hAnsi="Arial;sans-serif"/>
          <w:b w:val="false"/>
          <w:color w:val="005CAB"/>
          <w:sz w:val="17"/>
        </w:rPr>
        <w:t>1801 Augustine Cut-Off</w:t>
      </w:r>
    </w:p>
    <w:p>
      <w:pPr>
        <w:pStyle w:val="TextBody"/>
        <w:bidi w:val="0"/>
        <w:spacing w:lineRule="auto" w:line="288" w:before="0" w:after="0"/>
        <w:jc w:val="right"/>
        <w:rPr>
          <w:rFonts w:ascii="Arial;sans-serif" w:hAnsi="Arial;sans-serif"/>
          <w:b w:val="false"/>
          <w:color w:val="005CAB"/>
          <w:sz w:val="17"/>
        </w:rPr>
      </w:pPr>
      <w:r>
        <w:rPr>
          <w:rFonts w:ascii="Arial;sans-serif" w:hAnsi="Arial;sans-serif"/>
          <w:b w:val="false"/>
          <w:color w:val="005CAB"/>
          <w:sz w:val="17"/>
        </w:rPr>
        <w:t>Wilmington, DE 19803</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5CAB"/>
          <w:sz w:val="17"/>
        </w:rPr>
      </w:pPr>
      <w:r>
        <w:rPr>
          <w:rFonts w:ascii="Arial;sans-serif" w:hAnsi="Arial;sans-serif"/>
          <w:b w:val="false"/>
          <w:color w:val="005CAB"/>
          <w:sz w:val="17"/>
        </w:rPr>
        <w:t>302.498.6700</w:t>
      </w:r>
    </w:p>
    <w:p>
      <w:pPr>
        <w:pStyle w:val="TextBody"/>
        <w:bidi w:val="0"/>
        <w:spacing w:lineRule="auto" w:line="288" w:before="47" w:after="283"/>
        <w:jc w:val="right"/>
        <w:rPr/>
      </w:pPr>
      <w:r>
        <w:rPr>
          <w:rFonts w:ascii="Arial;sans-serif" w:hAnsi="Arial;sans-serif"/>
          <w:b/>
          <w:color w:val="1C469A"/>
          <w:sz w:val="17"/>
        </w:rPr>
        <w:t>incyt</w:t>
      </w:r>
      <w:r>
        <w:rPr>
          <w:rFonts w:ascii="Arial;sans-serif" w:hAnsi="Arial;sans-serif"/>
          <w:b/>
          <w:color w:val="1C3872"/>
          <w:sz w:val="17"/>
        </w:rPr>
        <w:t>e.co</w:t>
      </w:r>
      <w:r>
        <w:rPr>
          <w:rFonts w:ascii="Arial;sans-serif" w:hAnsi="Arial;sans-serif"/>
          <w:b/>
          <w:color w:val="1C469A"/>
          <w:sz w:val="17"/>
        </w:rPr>
        <w:t>m</w:t>
      </w:r>
    </w:p>
    <w:p>
      <w:pPr>
        <w:pStyle w:val="TextBody"/>
        <w:bidi w:val="0"/>
        <w:spacing w:before="52" w:after="283"/>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This letter supersedes any prior or subsequent oral or written representations regarding the terms of potential employment with Incyte. By signing below, you acknowledge that you are not relying on any representations other than those set forth in this letter.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 look forward to your favorable reply and to working with you at Incyte.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Sincerely,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u w:val="single"/>
        </w:rPr>
        <w:t>/s/ Bill Meury                    </w:t>
      </w: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Bill Meury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President &amp; Chief Executive Officer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Incyte Corporation                    </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Soni Basi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Soni Basi, Ph.D.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Executive Vice President &amp; Chief Human Resources Officer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Incyte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Reviewed, agreed and accepted: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w:t>
      </w:r>
      <w:r>
        <w:rPr>
          <w:rFonts w:ascii="Times New Roman;serif" w:hAnsi="Times New Roman;serif"/>
          <w:b w:val="false"/>
          <w:color w:val="000000"/>
          <w:sz w:val="22"/>
          <w:u w:val="single"/>
        </w:rPr>
        <w:t>/s/ Suketu Upadhyay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Suketu Upadhyay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Dated: March 27,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 will be available to report to work on Monday, May 4, 2026.</w:t>
      </w:r>
    </w:p>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14325"/>
                <wp:effectExtent l="0" t="0" r="0" b="0"/>
                <wp:wrapNone/>
                <wp:docPr id="89" name="Frame85"/>
                <a:graphic xmlns:a="http://schemas.openxmlformats.org/drawingml/2006/main">
                  <a:graphicData uri="http://schemas.microsoft.com/office/word/2010/wordprocessingShape">
                    <wps:wsp>
                      <wps:cNvSpPr txBox="1"/>
                      <wps:spPr>
                        <a:xfrm>
                          <a:off x="0" y="0"/>
                          <a:ext cx="6480175" cy="31432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9"/>
                              </w:rPr>
                            </w:pPr>
                            <w:r>
                              <w:rPr>
                                <w:rFonts w:ascii="Times New Roman;serif" w:hAnsi="Times New Roman;serif"/>
                                <w:b w:val="false"/>
                                <w:color w:val="000000"/>
                                <w:sz w:val="19"/>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9"/>
                        </w:rPr>
                      </w:pPr>
                      <w:r>
                        <w:rPr>
                          <w:rFonts w:ascii="Times New Roman;serif" w:hAnsi="Times New Roman;serif"/>
                          <w:b w:val="false"/>
                          <w:color w:val="000000"/>
                          <w:sz w:val="19"/>
                        </w:rPr>
                        <w:t>4</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William J. Meury,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Incyte Corporation;</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2502" w:type="dxa"/>
        <w:jc w:val="left"/>
        <w:tblInd w:w="0" w:type="dxa"/>
        <w:tblLayout w:type="fixed"/>
        <w:tblCellMar>
          <w:top w:w="28" w:type="dxa"/>
          <w:left w:w="28" w:type="dxa"/>
          <w:bottom w:w="28" w:type="dxa"/>
          <w:right w:w="28" w:type="dxa"/>
        </w:tblCellMar>
      </w:tblPr>
      <w:tblGrid>
        <w:gridCol w:w="124"/>
        <w:gridCol w:w="109"/>
        <w:gridCol w:w="109"/>
        <w:gridCol w:w="631"/>
        <w:gridCol w:w="631"/>
        <w:gridCol w:w="8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J. MEURY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Meury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Suketu Upadhyay,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Incyte Corporation;</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2577" w:type="dxa"/>
        <w:jc w:val="left"/>
        <w:tblInd w:w="0" w:type="dxa"/>
        <w:tblLayout w:type="fixed"/>
        <w:tblCellMar>
          <w:top w:w="28" w:type="dxa"/>
          <w:left w:w="28" w:type="dxa"/>
          <w:bottom w:w="28" w:type="dxa"/>
          <w:right w:w="28" w:type="dxa"/>
        </w:tblCellMar>
      </w:tblPr>
      <w:tblGrid>
        <w:gridCol w:w="124"/>
        <w:gridCol w:w="109"/>
        <w:gridCol w:w="109"/>
        <w:gridCol w:w="653"/>
        <w:gridCol w:w="653"/>
        <w:gridCol w:w="9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SUKETU UPADHYAY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Suketu Upadhyay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July 28,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STATEMENT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reference to the Quarterly Report of Incyte Corporation (the “Company”) on Form 10-Q for the quarter ended June 30, 2026, as filed with the Securities and Exchange Commission on the date hereof (the “Report”), I, William J. Meury, Chief Executive Officer of the Company, certify, for the purposes of 18 U.S.C. § 1350, as adopted pursuant to § 906 of the Sarbanes-Oxley Act of 2002, that, to my knowledge: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502" w:type="dxa"/>
        <w:jc w:val="left"/>
        <w:tblInd w:w="0" w:type="dxa"/>
        <w:tblLayout w:type="fixed"/>
        <w:tblCellMar>
          <w:top w:w="28" w:type="dxa"/>
          <w:left w:w="28" w:type="dxa"/>
          <w:bottom w:w="28" w:type="dxa"/>
          <w:right w:w="28" w:type="dxa"/>
        </w:tblCellMar>
      </w:tblPr>
      <w:tblGrid>
        <w:gridCol w:w="124"/>
        <w:gridCol w:w="109"/>
        <w:gridCol w:w="109"/>
        <w:gridCol w:w="631"/>
        <w:gridCol w:w="631"/>
        <w:gridCol w:w="8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J. MEURY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Meury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STATEMENT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reference to the Quarterly Report of Incyte Corporation (the “Company”) on Form 10-Q for the quarter ended June 30, 2026, as filed with the Securities and Exchange Commission on the date hereof (the “Report”), I, Suketu Upadhyay, Chief Financial Officer of the Company, certify, for the purposes of 18 U.S.C. § 1350, as adopted pursuant to § 906 of the Sarbanes-Oxley Act of 2002, that, to my knowledge: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577" w:type="dxa"/>
        <w:jc w:val="center"/>
        <w:tblInd w:w="0" w:type="dxa"/>
        <w:tblLayout w:type="fixed"/>
        <w:tblCellMar>
          <w:top w:w="28" w:type="dxa"/>
          <w:left w:w="28" w:type="dxa"/>
          <w:bottom w:w="28" w:type="dxa"/>
          <w:right w:w="28" w:type="dxa"/>
        </w:tblCellMar>
      </w:tblPr>
      <w:tblGrid>
        <w:gridCol w:w="124"/>
        <w:gridCol w:w="109"/>
        <w:gridCol w:w="109"/>
        <w:gridCol w:w="653"/>
        <w:gridCol w:w="653"/>
        <w:gridCol w:w="9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SUKETU UPADHYAY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Suketu Upadhyay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48744</Words>
  <Characters>275777</Characters>
  <CharactersWithSpaces>322884</CharactersWithSpaces>
  <Paragraphs>2974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