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427355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7" w:lineRule="exact"/>
        <w:rPr>
          <w:sz w:val="24"/>
          <w:szCs w:val="24"/>
          <w:color w:val="auto"/>
        </w:rPr>
      </w:pPr>
    </w:p>
    <w:p>
      <w:pPr>
        <w:ind w:left="440" w:hanging="332"/>
        <w:spacing w:after="0"/>
        <w:tabs>
          <w:tab w:leader="none" w:pos="440" w:val="left"/>
        </w:tabs>
        <w:numPr>
          <w:ilvl w:val="0"/>
          <w:numId w:val="1"/>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0" w:lineRule="exact"/>
        <w:rPr>
          <w:sz w:val="24"/>
          <w:szCs w:val="24"/>
          <w:color w:val="auto"/>
        </w:rPr>
      </w:pPr>
    </w:p>
    <w:p>
      <w:pPr>
        <w:ind w:left="440" w:hanging="315"/>
        <w:spacing w:after="0"/>
        <w:tabs>
          <w:tab w:leader="none" w:pos="440" w:val="left"/>
        </w:tabs>
        <w:numPr>
          <w:ilvl w:val="0"/>
          <w:numId w:val="2"/>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2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1" w:lineRule="exact"/>
        <w:rPr>
          <w:sz w:val="24"/>
          <w:szCs w:val="24"/>
          <w:color w:val="auto"/>
        </w:rPr>
      </w:pPr>
    </w:p>
    <w:p>
      <w:pPr>
        <w:sectPr>
          <w:pgSz w:w="11900" w:h="16838" w:orient="portrait"/>
          <w:cols w:equalWidth="0" w:num="2">
            <w:col w:w="5980" w:space="600"/>
            <w:col w:w="4660"/>
          </w:cols>
          <w:pgMar w:left="320" w:top="2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001-12400</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30"/>
                <w:szCs w:val="30"/>
                <w:b w:val="1"/>
                <w:bCs w:val="1"/>
                <w:color w:val="auto"/>
                <w:w w:val="99"/>
              </w:rPr>
              <w:t>INCYTE CORPORATION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Times New Roman" w:cs="Times New Roman" w:eastAsia="Times New Roman" w:hAnsi="Times New Roman"/>
                <w:sz w:val="16"/>
                <w:szCs w:val="16"/>
                <w:b w:val="1"/>
                <w:bCs w:val="1"/>
                <w:color w:val="auto"/>
              </w:rPr>
              <w:t>94-3136539</w:t>
            </w:r>
          </w:p>
        </w:tc>
        <w:tc>
          <w:tcPr>
            <w:tcW w:w="0" w:type="dxa"/>
            <w:vAlign w:val="bottom"/>
          </w:tcPr>
          <w:p>
            <w:pPr>
              <w:spacing w:after="0"/>
              <w:rPr>
                <w:sz w:val="1"/>
                <w:szCs w:val="1"/>
                <w:color w:val="auto"/>
              </w:rPr>
            </w:pPr>
          </w:p>
        </w:tc>
      </w:tr>
      <w:tr>
        <w:trPr>
          <w:trHeight w:val="243"/>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0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2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9"/>
              </w:rPr>
              <w:t>1801 Augustine Cut-Off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vMerge w:val="restart"/>
          </w:tcPr>
          <w:p>
            <w:pPr>
              <w:jc w:val="right"/>
              <w:ind w:right="2523"/>
              <w:spacing w:after="0"/>
              <w:rPr>
                <w:sz w:val="20"/>
                <w:szCs w:val="20"/>
                <w:color w:val="auto"/>
              </w:rPr>
            </w:pPr>
            <w:r>
              <w:rPr>
                <w:rFonts w:ascii="Times New Roman" w:cs="Times New Roman" w:eastAsia="Times New Roman" w:hAnsi="Times New Roman"/>
                <w:sz w:val="16"/>
                <w:szCs w:val="16"/>
                <w:b w:val="1"/>
                <w:bCs w:val="1"/>
                <w:color w:val="auto"/>
              </w:rPr>
              <w:t>19803</w:t>
            </w:r>
          </w:p>
        </w:tc>
        <w:tc>
          <w:tcPr>
            <w:tcW w:w="0" w:type="dxa"/>
            <w:vAlign w:val="bottom"/>
          </w:tcPr>
          <w:p>
            <w:pPr>
              <w:spacing w:after="0"/>
              <w:rPr>
                <w:sz w:val="1"/>
                <w:szCs w:val="1"/>
                <w:color w:val="auto"/>
              </w:rPr>
            </w:pPr>
          </w:p>
        </w:tc>
      </w:tr>
      <w:tr>
        <w:trPr>
          <w:trHeight w:val="21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8"/>
              </w:rPr>
              <w:t>Wilmington, DE 19803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40" w:type="dxa"/>
            <w:vAlign w:val="bottom"/>
            <w:gridSpan w:val="6"/>
          </w:tcPr>
          <w:p>
            <w:pPr>
              <w:jc w:val="center"/>
              <w:ind w:right="20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81"/>
        </w:trPr>
        <w:tc>
          <w:tcPr>
            <w:tcW w:w="3780" w:type="dxa"/>
            <w:vAlign w:val="bottom"/>
          </w:tcPr>
          <w:p>
            <w:pPr>
              <w:spacing w:after="0"/>
              <w:rPr>
                <w:sz w:val="24"/>
                <w:szCs w:val="24"/>
                <w:color w:val="auto"/>
              </w:rPr>
            </w:pPr>
          </w:p>
        </w:tc>
        <w:tc>
          <w:tcPr>
            <w:tcW w:w="314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b w:val="1"/>
                <w:bCs w:val="1"/>
                <w:color w:val="auto"/>
                <w:w w:val="99"/>
              </w:rPr>
              <w:t>(302) 498-6700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7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INCY</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64" w:lineRule="exact"/>
        <w:rPr>
          <w:sz w:val="24"/>
          <w:szCs w:val="24"/>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25"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type w:val="continuous"/>
        </w:sectPr>
      </w:pPr>
    </w:p>
    <w:p>
      <w:pPr>
        <w:spacing w:after="0" w:line="13" w:lineRule="exact"/>
        <w:rPr>
          <w:sz w:val="24"/>
          <w:szCs w:val="24"/>
          <w:color w:val="auto"/>
        </w:rPr>
      </w:pPr>
    </w:p>
    <w:p>
      <w:pPr>
        <w:ind w:left="25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560" w:space="720"/>
            <w:col w:w="3960"/>
          </w:cols>
          <w:pgMar w:left="320" w:top="227" w:right="3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220" w:space="720"/>
            <w:col w:w="4300"/>
          </w:cols>
          <w:pgMar w:left="320" w:top="227" w:right="339" w:bottom="1440" w:gutter="0" w:footer="0" w:header="0"/>
          <w:type w:val="continuous"/>
        </w:sectPr>
      </w:pPr>
    </w:p>
    <w:p>
      <w:pPr>
        <w:ind w:left="69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6" w:lineRule="exact"/>
        <w:rPr>
          <w:sz w:val="24"/>
          <w:szCs w:val="24"/>
          <w:color w:val="auto"/>
        </w:rPr>
      </w:pPr>
    </w:p>
    <w:p>
      <w:pPr>
        <w:ind w:left="320" w:right="2800"/>
        <w:spacing w:after="0" w:line="454"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The number of outstanding shares of the registrant’s Common Stock, $.001 par value, was 193,569,934 as of April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591185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-59690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-34925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4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7"/>
              </w:rPr>
              <w:t>INCYTE CORPORATION</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81"/>
              </w:rPr>
              <w:t>Item 1.</w:t>
            </w:r>
          </w:p>
        </w:tc>
        <w:tc>
          <w:tcPr>
            <w:tcW w:w="660" w:type="dxa"/>
            <w:vAlign w:val="bottom"/>
            <w:tcBorders>
              <w:top w:val="single" w:sz="8" w:color="0000FF"/>
            </w:tcBorders>
            <w:gridSpan w:val="2"/>
          </w:tcPr>
          <w:p>
            <w:pPr>
              <w:spacing w:after="0"/>
              <w:rPr>
                <w:sz w:val="24"/>
                <w:szCs w:val="24"/>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4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5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180" w:type="dxa"/>
            <w:vAlign w:val="bottom"/>
            <w:tcBorders>
              <w:top w:val="single" w:sz="8" w:color="0000FF"/>
            </w:tcBorders>
          </w:tcPr>
          <w:p>
            <w:pPr>
              <w:spacing w:after="0"/>
              <w:rPr>
                <w:sz w:val="24"/>
                <w:szCs w:val="24"/>
                <w:color w:val="auto"/>
              </w:rPr>
            </w:pPr>
          </w:p>
        </w:tc>
        <w:tc>
          <w:tcPr>
            <w:tcW w:w="36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1"/>
              </w:rPr>
              <w:t>Item 2.</w:t>
            </w:r>
          </w:p>
        </w:tc>
        <w:tc>
          <w:tcPr>
            <w:tcW w:w="6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0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1"/>
              </w:rPr>
              <w:t>Item 3.</w:t>
            </w:r>
          </w:p>
        </w:tc>
        <w:tc>
          <w:tcPr>
            <w:tcW w:w="6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4.</w:t>
            </w:r>
          </w:p>
        </w:tc>
        <w:tc>
          <w:tcPr>
            <w:tcW w:w="66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II: OTHER INFORMATION</w:t>
            </w:r>
          </w:p>
        </w:tc>
        <w:tc>
          <w:tcPr>
            <w:tcW w:w="6500" w:type="dxa"/>
            <w:vAlign w:val="bottom"/>
            <w:gridSpan w:val="12"/>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w:t>
            </w:r>
            <w:r>
              <w:rPr>
                <w:rFonts w:ascii="Times New Roman" w:cs="Times New Roman" w:eastAsia="Times New Roman" w:hAnsi="Times New Roman"/>
                <w:sz w:val="18"/>
                <w:szCs w:val="18"/>
                <w:b w:val="1"/>
                <w:bCs w:val="1"/>
                <w:color w:val="000000"/>
              </w:rPr>
              <w:t>.</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6.</w:t>
            </w:r>
          </w:p>
        </w:tc>
        <w:tc>
          <w:tcPr>
            <w:tcW w:w="66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90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5600" w:type="dxa"/>
            <w:vAlign w:val="bottom"/>
            <w:gridSpan w:val="15"/>
          </w:tcPr>
          <w:p>
            <w:pPr>
              <w:jc w:val="center"/>
              <w:ind w:left="1752"/>
              <w:spacing w:after="0"/>
              <w:rPr>
                <w:sz w:val="20"/>
                <w:szCs w:val="20"/>
                <w:color w:val="auto"/>
              </w:rPr>
            </w:pPr>
            <w:r>
              <w:rPr>
                <w:rFonts w:ascii="Times New Roman" w:cs="Times New Roman" w:eastAsia="Times New Roman" w:hAnsi="Times New Roman"/>
                <w:sz w:val="18"/>
                <w:szCs w:val="18"/>
                <w:color w:val="auto"/>
                <w:w w:val="88"/>
              </w:rPr>
              <w:t>2</w:t>
            </w: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1,687,829</w:t>
            </w:r>
          </w:p>
        </w:tc>
        <w:tc>
          <w:tcPr>
            <w:tcW w:w="0" w:type="dxa"/>
            <w:vAlign w:val="bottom"/>
          </w:tcPr>
          <w:p>
            <w:pPr>
              <w:spacing w:after="0"/>
              <w:rPr>
                <w:sz w:val="1"/>
                <w:szCs w:val="1"/>
                <w:color w:val="auto"/>
              </w:rPr>
            </w:pPr>
          </w:p>
        </w:tc>
      </w:tr>
      <w:tr>
        <w:trPr>
          <w:trHeight w:val="198"/>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Marketable securities—available-for-sale (amortized cost $465,659 and $469,917 as of March 31, 2025 and December 31,</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2024, respectively; allowance for credit losses $0 as of March 31, 2025 and December 31, 2024)</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466,936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470,263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853,154</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168,912</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3,507,421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3,239,030</w:t>
            </w: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equity investments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348,327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763,411</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113,803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762,071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5,749,365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5,444,322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197,465</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188,677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1,212,048</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39,238</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1,720,290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1,641,847</w:t>
            </w: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153,762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33,542</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167,543</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2,081,802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1,996,694</w:t>
            </w:r>
          </w:p>
        </w:tc>
        <w:tc>
          <w:tcPr>
            <w:tcW w:w="0" w:type="dxa"/>
            <w:vAlign w:val="bottom"/>
          </w:tcPr>
          <w:p>
            <w:pPr>
              <w:spacing w:after="0"/>
              <w:rPr>
                <w:sz w:val="1"/>
                <w:szCs w:val="1"/>
                <w:color w:val="auto"/>
              </w:rPr>
            </w:pPr>
          </w:p>
        </w:tc>
      </w:tr>
      <w:tr>
        <w:trPr>
          <w:trHeight w:val="88"/>
        </w:trPr>
        <w:tc>
          <w:tcPr>
            <w:tcW w:w="8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none issued or outstanding</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818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6"/>
                <w:szCs w:val="16"/>
                <w:color w:val="auto"/>
              </w:rPr>
              <w:t>Common stock, $0.001 par value; 400,000,000 shares authorized; 193,783,446 and 193,434,305 shares issued and</w:t>
            </w:r>
          </w:p>
        </w:tc>
        <w:tc>
          <w:tcPr>
            <w:tcW w:w="2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outstanding as of March 31, 2025 and December 31, 2024, respectively</w:t>
            </w:r>
          </w:p>
        </w:tc>
        <w:tc>
          <w:tcPr>
            <w:tcW w:w="2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4,533,437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(914,678)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(1,072,881)</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3,667,563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3,447,628</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5,749,365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5,444,322</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left="4720" w:right="640" w:hanging="4714"/>
        <w:spacing w:after="0" w:line="335" w:lineRule="auto"/>
        <w:tabs>
          <w:tab w:leader="none" w:pos="3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at December 31, 2024 has been derived from the audited consolidated financial statements at that date. 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revenues, net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922,274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729,923</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125,966</w:t>
            </w: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8"/>
        </w:trPr>
        <w:tc>
          <w:tcPr>
            <w:tcW w:w="8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1,052,898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880,889</w:t>
            </w:r>
          </w:p>
        </w:tc>
      </w:tr>
      <w:tr>
        <w:trPr>
          <w:trHeight w:val="245"/>
        </w:trPr>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product revenues (including definite-lived intangible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429,260</w:t>
            </w: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300,256</w:t>
            </w:r>
          </w:p>
        </w:tc>
      </w:tr>
      <w:tr>
        <w:trPr>
          <w:trHeight w:val="225"/>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(gain) on change in fair value of acquisition-related contingent consideration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5"/>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8"/>
        </w:trPr>
        <w:tc>
          <w:tcPr>
            <w:tcW w:w="8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788,991</w:t>
            </w:r>
          </w:p>
        </w:tc>
      </w:tr>
      <w:tr>
        <w:trPr>
          <w:trHeight w:val="245"/>
        </w:trPr>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91,898</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equity investments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19"/>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236,159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66,611</w:t>
            </w:r>
          </w:p>
        </w:tc>
      </w:tr>
      <w:tr>
        <w:trPr>
          <w:trHeight w:val="219"/>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169,548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1"/>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65"/>
        </w:trPr>
        <w:tc>
          <w:tcPr>
            <w:tcW w:w="8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224,484</w:t>
            </w: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227,219</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169,548</w:t>
            </w:r>
          </w:p>
        </w:tc>
      </w:tr>
      <w:tr>
        <w:trPr>
          <w:trHeight w:val="265"/>
        </w:trPr>
        <w:tc>
          <w:tcPr>
            <w:tcW w:w="454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w:t>
            </w:r>
          </w:p>
        </w:tc>
      </w:tr>
      <w:tr>
        <w:trPr>
          <w:trHeight w:val="225"/>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3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r>
      <w:tr>
        <w:trPr>
          <w:trHeight w:val="225"/>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gain, net of tax</w:t>
            </w:r>
          </w:p>
        </w:tc>
        <w:tc>
          <w:tcPr>
            <w:tcW w:w="3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8"/>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w:t>
            </w:r>
          </w:p>
        </w:tc>
      </w:tr>
      <w:tr>
        <w:trPr>
          <w:trHeight w:val="265"/>
        </w:trPr>
        <w:tc>
          <w:tcPr>
            <w:tcW w:w="4540" w:type="dxa"/>
            <w:vAlign w:val="bottom"/>
            <w:tcBorders>
              <w:bottom w:val="single" w:sz="8" w:color="CCEEFF"/>
            </w:tcBorders>
          </w:tcPr>
          <w:p>
            <w:pPr>
              <w:spacing w:after="0"/>
              <w:rPr>
                <w:sz w:val="23"/>
                <w:szCs w:val="23"/>
                <w:color w:val="auto"/>
              </w:rPr>
            </w:pPr>
          </w:p>
        </w:tc>
        <w:tc>
          <w:tcPr>
            <w:tcW w:w="36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4540" w:type="dxa"/>
            <w:vAlign w:val="bottom"/>
          </w:tcPr>
          <w:p>
            <w:pPr>
              <w:spacing w:after="0"/>
              <w:rPr>
                <w:sz w:val="24"/>
                <w:szCs w:val="24"/>
                <w:color w:val="auto"/>
              </w:rPr>
            </w:pPr>
          </w:p>
        </w:tc>
        <w:tc>
          <w:tcPr>
            <w:tcW w:w="4000" w:type="dxa"/>
            <w:vAlign w:val="bottom"/>
            <w:gridSpan w:val="2"/>
          </w:tcPr>
          <w:p>
            <w:pPr>
              <w:jc w:val="center"/>
              <w:ind w:right="1752"/>
              <w:spacing w:after="0"/>
              <w:rPr>
                <w:sz w:val="20"/>
                <w:szCs w:val="20"/>
                <w:color w:val="auto"/>
              </w:rPr>
            </w:pPr>
            <w:r>
              <w:rPr>
                <w:rFonts w:ascii="Times New Roman" w:cs="Times New Roman" w:eastAsia="Times New Roman" w:hAnsi="Times New Roman"/>
                <w:sz w:val="18"/>
                <w:szCs w:val="18"/>
                <w:color w:val="auto"/>
                <w:w w:val="98"/>
              </w:rPr>
              <w:t>See accompanying notes.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95"/>
        </w:trPr>
        <w:tc>
          <w:tcPr>
            <w:tcW w:w="4540" w:type="dxa"/>
            <w:vAlign w:val="bottom"/>
          </w:tcPr>
          <w:p>
            <w:pPr>
              <w:spacing w:after="0"/>
              <w:rPr>
                <w:sz w:val="24"/>
                <w:szCs w:val="24"/>
                <w:color w:val="auto"/>
              </w:rPr>
            </w:pPr>
          </w:p>
        </w:tc>
        <w:tc>
          <w:tcPr>
            <w:tcW w:w="3640" w:type="dxa"/>
            <w:vAlign w:val="bottom"/>
          </w:tcPr>
          <w:p>
            <w:pPr>
              <w:jc w:val="right"/>
              <w:ind w:right="2432"/>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45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1000" w:type="dxa"/>
            <w:vAlign w:val="bottom"/>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3"/>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100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80" w:type="dxa"/>
            <w:vAlign w:val="bottom"/>
          </w:tcPr>
          <w:p>
            <w:pPr>
              <w:spacing w:after="0"/>
              <w:rPr>
                <w:sz w:val="17"/>
                <w:szCs w:val="17"/>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4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4,533,437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3,447,628</w:t>
            </w: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363,987 shares of Common Stock upon exercise of</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10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0" w:type="dxa"/>
            <w:vAlign w:val="bottom"/>
          </w:tcPr>
          <w:p>
            <w:pPr>
              <w:spacing w:after="0"/>
              <w:rPr>
                <w:sz w:val="1"/>
                <w:szCs w:val="1"/>
                <w:color w:val="auto"/>
              </w:rPr>
            </w:pPr>
          </w:p>
        </w:tc>
      </w:tr>
      <w:tr>
        <w:trPr>
          <w:trHeight w:val="20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1,208 shares of Common Stock for services</w:t>
            </w: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rendered</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60,982</w:t>
            </w:r>
          </w:p>
        </w:tc>
        <w:tc>
          <w:tcPr>
            <w:tcW w:w="0" w:type="dxa"/>
            <w:vAlign w:val="bottom"/>
          </w:tcPr>
          <w:p>
            <w:pPr>
              <w:spacing w:after="0"/>
              <w:rPr>
                <w:sz w:val="1"/>
                <w:szCs w:val="1"/>
                <w:color w:val="auto"/>
              </w:rPr>
            </w:pPr>
          </w:p>
        </w:tc>
      </w:tr>
      <w:tr>
        <w:trPr>
          <w:trHeight w:val="21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c>
          <w:tcPr>
            <w:tcW w:w="0" w:type="dxa"/>
            <w:vAlign w:val="bottom"/>
          </w:tcPr>
          <w:p>
            <w:pPr>
              <w:spacing w:after="0"/>
              <w:rPr>
                <w:sz w:val="1"/>
                <w:szCs w:val="1"/>
                <w:color w:val="auto"/>
              </w:rPr>
            </w:pPr>
          </w:p>
        </w:tc>
      </w:tr>
      <w:tr>
        <w:trPr>
          <w:trHeight w:val="23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00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3,667,563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080" w:type="dxa"/>
            <w:vAlign w:val="bottom"/>
          </w:tcPr>
          <w:p>
            <w:pPr>
              <w:spacing w:after="0"/>
              <w:rPr>
                <w:sz w:val="24"/>
                <w:szCs w:val="24"/>
                <w:color w:val="auto"/>
              </w:rPr>
            </w:pPr>
          </w:p>
        </w:tc>
        <w:tc>
          <w:tcPr>
            <w:tcW w:w="1000" w:type="dxa"/>
            <w:vAlign w:val="bottom"/>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24"/>
                <w:szCs w:val="24"/>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80" w:type="dxa"/>
            <w:vAlign w:val="bottom"/>
          </w:tcPr>
          <w:p>
            <w:pPr>
              <w:spacing w:after="0"/>
              <w:rPr>
                <w:sz w:val="24"/>
                <w:szCs w:val="24"/>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00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80" w:type="dxa"/>
            <w:vAlign w:val="bottom"/>
          </w:tcPr>
          <w:p>
            <w:pPr>
              <w:spacing w:after="0"/>
              <w:rPr>
                <w:sz w:val="16"/>
                <w:szCs w:val="16"/>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1000" w:type="dxa"/>
            <w:vAlign w:val="bottom"/>
            <w:tcBorders>
              <w:top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5,016,122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5,189,837</w:t>
            </w:r>
          </w:p>
        </w:tc>
        <w:tc>
          <w:tcPr>
            <w:tcW w:w="0" w:type="dxa"/>
            <w:vAlign w:val="bottom"/>
          </w:tcPr>
          <w:p>
            <w:pPr>
              <w:spacing w:after="0"/>
              <w:rPr>
                <w:sz w:val="1"/>
                <w:szCs w:val="1"/>
                <w:color w:val="auto"/>
              </w:rPr>
            </w:pPr>
          </w:p>
        </w:tc>
      </w:tr>
      <w:tr>
        <w:trPr>
          <w:trHeight w:val="159"/>
        </w:trPr>
        <w:tc>
          <w:tcPr>
            <w:tcW w:w="408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245,228 shares of Common Stock upon exercise of</w:t>
            </w: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8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10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10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1,359 shares of Common Stock for services</w:t>
            </w:r>
          </w:p>
        </w:tc>
        <w:tc>
          <w:tcPr>
            <w:tcW w:w="10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rendered</w:t>
            </w:r>
          </w:p>
        </w:tc>
        <w:tc>
          <w:tcPr>
            <w:tcW w:w="10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59,781</w:t>
            </w:r>
          </w:p>
        </w:tc>
        <w:tc>
          <w:tcPr>
            <w:tcW w:w="0" w:type="dxa"/>
            <w:vAlign w:val="bottom"/>
          </w:tcPr>
          <w:p>
            <w:pPr>
              <w:spacing w:after="0"/>
              <w:rPr>
                <w:sz w:val="1"/>
                <w:szCs w:val="1"/>
                <w:color w:val="auto"/>
              </w:rPr>
            </w:pPr>
          </w:p>
        </w:tc>
      </w:tr>
      <w:tr>
        <w:trPr>
          <w:trHeight w:val="21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c>
          <w:tcPr>
            <w:tcW w:w="0" w:type="dxa"/>
            <w:vAlign w:val="bottom"/>
          </w:tcPr>
          <w:p>
            <w:pPr>
              <w:spacing w:after="0"/>
              <w:rPr>
                <w:sz w:val="1"/>
                <w:szCs w:val="1"/>
                <w:color w:val="auto"/>
              </w:rPr>
            </w:pPr>
          </w:p>
        </w:tc>
      </w:tr>
      <w:tr>
        <w:trPr>
          <w:trHeight w:val="23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100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5,394,271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8"/>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21,947</w:t>
            </w: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59,778</w:t>
            </w: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(34,251)</w:t>
            </w: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(gain) on equity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(99,947)</w:t>
            </w: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(gain) on change in fair value of acquisition-related contingent consideration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r>
      <w:tr>
        <w:trPr>
          <w:trHeight w:val="210"/>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(57,197)</w:t>
            </w:r>
          </w:p>
        </w:tc>
      </w:tr>
      <w:tr>
        <w:trPr>
          <w:trHeight w:val="210"/>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54,637</w:t>
            </w: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105,465</w:t>
            </w:r>
          </w:p>
        </w:tc>
      </w:tr>
      <w:tr>
        <w:trPr>
          <w:trHeight w:val="20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266,067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218,811</w:t>
            </w: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equity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(165,808)</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and maturities of marketable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102,245</w:t>
            </w:r>
          </w:p>
        </w:tc>
      </w:tr>
      <w:tr>
        <w:trPr>
          <w:trHeight w:val="20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(73,112)</w:t>
            </w: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stock plans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and performance share vesting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finance lease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w:t>
            </w:r>
          </w:p>
        </w:tc>
      </w:tr>
      <w:tr>
        <w:trPr>
          <w:trHeight w:val="20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(12,413)</w:t>
            </w: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132,610</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1,689,451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3,215,221</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1,943,387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3,347,831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8"/>
        </w:trPr>
        <w:tc>
          <w:tcPr>
            <w:tcW w:w="81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excise tax on repurchase of common stock</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and ZYNYZ® (retifanlimab-dlwr), as well as NIKTIMVO™ (axatilimab-csfr), which is co-commercialized. Our operations are treated as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March 31, 2025, the condensed consolidated statements of operations, comprehensive income (loss), stockholders’ equity and cash flows for the three months ended March 31, 2025 and 2024,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2024 has been derived from our audited consolidated financial statements.</w:t>
      </w:r>
    </w:p>
    <w:p>
      <w:pPr>
        <w:spacing w:after="0" w:line="18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 (the “SEC”).</w:t>
      </w:r>
    </w:p>
    <w:p>
      <w:pPr>
        <w:spacing w:after="0" w:line="15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2024.</w:t>
      </w:r>
    </w:p>
    <w:p>
      <w:pPr>
        <w:spacing w:after="0" w:line="17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 Corporation and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transactions, and profits have been eliminated in consolidation.</w:t>
      </w:r>
    </w:p>
    <w:p>
      <w:pPr>
        <w:spacing w:after="0" w:line="16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and are applicable for disclosures in our Annual Report on Form 10-K beginning with the year ending December 31, 2025. We are currently evaluating the impact that ASU No. 2023-09 will have on our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 xml:space="preserve">Revenues are recognized under guidance within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following table presents our disaggregated revenue for the periods presented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571,839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30,343</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NIKTIMVO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89,595</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 royalty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125,966</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8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For further information on the MINJUVI/MONJUVI revenues, refer to Note 6, and for further information on our revenue-generating contracts, refer to Note 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3"/>
                <w:szCs w:val="13"/>
                <w:color w:val="auto"/>
              </w:rPr>
            </w:pPr>
          </w:p>
        </w:tc>
        <w:tc>
          <w:tcPr>
            <w:tcW w:w="122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465,659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466,936</w:t>
            </w:r>
          </w:p>
        </w:tc>
        <w:tc>
          <w:tcPr>
            <w:tcW w:w="0" w:type="dxa"/>
            <w:vAlign w:val="bottom"/>
          </w:tcPr>
          <w:p>
            <w:pPr>
              <w:spacing w:after="0"/>
              <w:rPr>
                <w:sz w:val="1"/>
                <w:szCs w:val="1"/>
                <w:color w:val="auto"/>
              </w:rPr>
            </w:pPr>
          </w:p>
        </w:tc>
      </w:tr>
      <w:tr>
        <w:trPr>
          <w:trHeight w:val="265"/>
        </w:trPr>
        <w:tc>
          <w:tcPr>
            <w:tcW w:w="5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469,917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the contractual maturities of our available-for-sale debt securities as of March 31, 2025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60" w:type="dxa"/>
            <w:vAlign w:val="bottom"/>
          </w:tcPr>
          <w:p>
            <w:pPr>
              <w:spacing w:after="0"/>
              <w:rPr>
                <w:sz w:val="16"/>
                <w:szCs w:val="16"/>
                <w:color w:val="auto"/>
              </w:rPr>
            </w:pPr>
          </w:p>
        </w:tc>
        <w:tc>
          <w:tcPr>
            <w:tcW w:w="12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1-5 Years</w:t>
            </w:r>
          </w:p>
        </w:tc>
      </w:tr>
      <w:tr>
        <w:trPr>
          <w:trHeight w:val="24"/>
        </w:trPr>
        <w:tc>
          <w:tcPr>
            <w:tcW w:w="4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debt securities (government)</w:t>
            </w:r>
          </w:p>
        </w:tc>
        <w:tc>
          <w:tcPr>
            <w:tcW w:w="26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466,936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256,929</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210,007</w:t>
            </w:r>
          </w:p>
        </w:tc>
      </w:tr>
      <w:tr>
        <w:trPr>
          <w:trHeight w:val="902"/>
        </w:trPr>
        <w:tc>
          <w:tcPr>
            <w:tcW w:w="4280" w:type="dxa"/>
            <w:vAlign w:val="bottom"/>
          </w:tcPr>
          <w:p>
            <w:pPr>
              <w:spacing w:after="0"/>
              <w:rPr>
                <w:sz w:val="24"/>
                <w:szCs w:val="24"/>
                <w:color w:val="auto"/>
              </w:rPr>
            </w:pPr>
          </w:p>
        </w:tc>
        <w:tc>
          <w:tcPr>
            <w:tcW w:w="268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98"/>
        </w:trPr>
        <w:tc>
          <w:tcPr>
            <w:tcW w:w="428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available-for-sale debt securities generally have contractual maturity dates of between 12 to 18 months. Debt security assets were assessed for risk of expected credit losses. As of March 31, 2025 and December 31, 2024, the available-for-sale debt securities were held in U.S.-government backed securities and in Treasury bonds and were assessed on an individual security basis to have a de minimis risk of credit loss.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March 31, 2025 and December 31, 2024,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three months ended March 31, 2025.</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4"/>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3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80" w:type="dxa"/>
            <w:vAlign w:val="bottom"/>
          </w:tcPr>
          <w:p>
            <w:pPr>
              <w:spacing w:after="0"/>
              <w:rPr>
                <w:sz w:val="16"/>
                <w:szCs w:val="16"/>
                <w:color w:val="auto"/>
              </w:rPr>
            </w:pPr>
          </w:p>
        </w:tc>
        <w:tc>
          <w:tcPr>
            <w:tcW w:w="13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1,941,722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1,941,722</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466,936</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17,463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17,463</w:t>
            </w: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1,959,185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2,426,121</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8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8"/>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1,687,829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1,687,829</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18,814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0" w:type="dxa"/>
            <w:vAlign w:val="bottom"/>
          </w:tcPr>
          <w:p>
            <w:pPr>
              <w:spacing w:after="0"/>
              <w:rPr>
                <w:sz w:val="1"/>
                <w:szCs w:val="1"/>
                <w:color w:val="auto"/>
              </w:rPr>
            </w:pP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1,706,643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2,176,906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7"/>
                <w:szCs w:val="17"/>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0" w:type="dxa"/>
            <w:vAlign w:val="bottom"/>
          </w:tcPr>
          <w:p>
            <w:pPr>
              <w:spacing w:after="0"/>
              <w:rPr>
                <w:sz w:val="1"/>
                <w:szCs w:val="1"/>
                <w:color w:val="auto"/>
              </w:rPr>
            </w:pP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3"/>
              <w:spacing w:after="0" w:line="128"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3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4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6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March 31, 2025 and December 31, 2024 included a discount rate of 10% and updated projections of future net revenues of ICLUSIG in the European Union and other countries for the approved third line treatment. The change in fair value of the contingent consideration during the three months ended March 31, 2025 was due primarily to fluctuations in foreign currency exchange rates impacting future revenue projections of ICLUSIG and the passage of time.</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generally make payments to Takeda Pharmaceutical Company Limited quarterly based on the royalties earned in the previous quarter. As of March 31, 2025 and December 31, 2024, contingent consideration earned but not yet paid was $9.6 million and $10.0 million, respectively, and was included in accrued and other current liabilities.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Concentration of Credit Risk and Current Expected Credit Losses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Pharmaceutical International Ltd. ("Novartis"). In December 2009, we entered into a license, development and commercialization agreement with Eli Lilly and Company ("Lilly"). The above collaboration partners comprised, in aggregate, 16% and 19% of the accounts receivable balance as of March 31, 2025 and December 31, 2024, respectively. For further information relating to these collaboration and license agreements, refer to Note 8.</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and in October 2021, we began commercialization and distribution of OPZELURA. Our product revenues are concentrated in a number of customers for these products. The concentration of credit risk related to our JAKAFI and OPZELURA product revenues is as follows:</w:t>
      </w:r>
    </w:p>
    <w:p>
      <w:pPr>
        <w:spacing w:after="0" w:line="2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Percentage of Total Net</w:t>
      </w:r>
    </w:p>
    <w:p>
      <w:pPr>
        <w:spacing w:after="0" w:line="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Product Revenues for the</w:t>
      </w:r>
    </w:p>
    <w:p>
      <w:pPr>
        <w:spacing w:after="0" w:line="1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22860</wp:posOffset>
            </wp:positionV>
            <wp:extent cx="2094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4865" cy="8255"/>
                    </a:xfrm>
                    <a:prstGeom prst="rect">
                      <a:avLst/>
                    </a:prstGeom>
                    <a:noFill/>
                  </pic:spPr>
                </pic:pic>
              </a:graphicData>
            </a:graphic>
          </wp:anchor>
        </w:drawing>
      </w:r>
    </w:p>
    <w:p>
      <w:pPr>
        <w:spacing w:after="0" w:line="17"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5"/>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5"/>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and E comprised, in the aggregate, 51% and 52% of the accounts receivable balance as of March 31, 2025 and December 31, 2024, respectively. The concentration of credit risk relating to our other product revenues or accounts receivable is not significant.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assessed our collaborative and customer receivable assets as of March 31, 2025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March 31, 2025 and December 31, 2024, we had no allowance for doubtful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February 5, 2024, pursuant to a purchase agreement with MorphoSys AG and MorphoSys US Inc., a wholly-owned subsidiary of MorphoSys AG (together with MorphoSys AG, "MorphoSys"), we acquired exclusive global rights to tafasitamab, a humanized Fc-modified CD19-targeting immunotherapy marketed in the United States as MONJUVI (tafasitamab-cxix) and outside of the United States as MINJUVI (tafasitamab). We previously had the rights to tafasitamab outside of the United States under a January 2020 collaboration and license agreement with MorphoSys, which has now been terminated; therefore, this new agreement gave us all of the remaining global rights to tafasitamab. Under the terms of the purchase agreement, we made a payment of $25.0 million to MorphoSys and gained global development and commercialization rights for tafasitamab along with MONJUVI inventory. We recognize revenue and costs for all U.S. commercialization and clinical development and MorphoSys is no longer be eligible to receive future milestone, profit split and royalty payments under the now-terminated collaboration and license agreement.</w:t>
      </w:r>
    </w:p>
    <w:p>
      <w:pPr>
        <w:spacing w:after="0" w:line="19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evaluated the set of activities and assets acquired under the purchase agreement and concluded that it did not meet the definition of a business because the acquired set did not include a substantive process. Therefore, the transaction was accounted for as an asset acquisition under U.S. GAAP and the total purchase price, inclusive of direct transaction costs, was allocated to the acquired MONJUVI inventory,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Under the purchase agreement, we also became the successor to MorphoSys under its collaboration and license agreement with Xencor, Inc. (“Xencor”), pursuant to which Xencor granted MorphoSys an exclusive, worldwide license, including the right to sublicense under certain conditions, for tafasitamab. During the first quarter of 2025, we paid Xencor a development milestone of $12.5 million for the U.S. Food and Drug Administration's acceptance of the Biologics License Application filing for the use of tafasitamab for follicular lymphoma. Xencor is entitled to receive up to an additional $174.0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 (ii) Xencor terminates due to our material breach, our challenge of Xencor’s licensed patents or our insolvency, worldwide rights to develop, manufacture and commercialize licensed products, including tafasitamab, revert back to Xencor.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Escient Pharmaceuticals, Inc. ("Escient")</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May 30, 2024 we acquired all of the outstanding shares of common stock of Escient, a clinical-stage drug development company advancing novel small molecule therapeutics for systemic immune and neuro-immune disorders, for $782.5 million cash consideration, which included Escient's net cash remaining at the close of the transaction, subject to adjustments set forth in the merger agreement with Escient.</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Escient’s lead molecule, INCB000262 (formerly EP262), is a first-in-class oral Mas-related G protein-coupled receptor X2 (MRGPRX2) antagonist that has the potential to treat a broad range of inflammatory disorders. We accounted for the Escient transaction as an asset acquisition under U.S. GAAP because INCB000262 represents substantially all of the fair value of the gross assets acquired.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API and Work-in-process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331,178</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48,431</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407,199</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active pharmaceutical ingredients ("API"), work in process, and finished goods, inclusive of freight and inventoriable overhead. At March 31, 2025, $64.0 million of inventory was classified as current on the condensed consolidated balance sheet as we expect this inventory to be consumed for commercial use within the next twelve months. At March 31, 2025, $365.3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We capitalize inventory after regulatory approval as the related costs are expected to be recoverable through the commercialization of the product. Costs incurred prior to regulatory approval are recorded as research and development expense in our condensed consolidated statements of operations. At March 31, 2025, inventory with approximately $27.7 million of product costs incurred prior to regulatory approval had not yet been sold. We expect to sell the pre-commercialization inventory over the next 4 to 38 months and, as a result, cost of product revenues will reflect a lower average per unit cost of materials.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License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Under this agreement,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Initially, we were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March 31, 2025, we have recognized and received, in the aggregate, $157.0 million for the achievement of development milestones, $345.0 million for the achievement of regulatory milestones, and $200.0 million for the achievement of sales milestones.</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months ended March 31, 2025 and 2024, such royalties on net sales within the United States totaled $29.8 million and $23.0 million, respectively, and were reflected in cost of product revenues on the condensed consolidated statements of operations. At March 31, 2025 and December 31, 2024, approximately $537.1 million and $507.4 million, respectively, of accrued royalties were included in accrued and other current liabilities on the condensed consolidated balance sheets. Payment of accrued royalties, if any, is dependent on the outcome of a contract dispute with Novartis pending in the U.S. District Court for the Southern District of New York. A trial has been scheduled for May 2025.</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 related to Novartis net sales of JAKAVI outside of the United States for the three months ended March 31, 2025 and 2024 was $92.1 million and $89.6 million, respectively. Product royalty revenue related to Novartis net sales of TABRECTA worldwide for the three months ended March 31, 2025 and 2024 was $6.4 million and $5.2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March 31, 2025,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Product royalty revenue related to Lilly net sales of OLUMIANT outside of the United States for the three months ended March 31, 2025 and 2024 was $30.8 million and $30.6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agreed to collaborate on the discovery of novel immuno-therapeutics using Agenus’ antibody discovery platforms. In February 2025, we provided Agenus with notice that we are terminating the parties’ agreement based upon a strategic review. Under the terms of the agreement, the termination will become effective in February 2026, unless Agenus agrees to accelerate the notice period.</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Since the inception of the agreement through March 31, 2025, we have paid Agenus milestones totaling $30.0 million, and Agenus is eligible to receive up to an additional $500.0 million in future contingent development, regulatory and commercialization milestones across all programs in the collaboration.</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2024, we sold our shares of Agenus Inc. common stock, and as of December 31, 2024, we had no remaining investment in Agenus Inc. common stock. For the three months ended March 31, 2024 we recorded an unrealized loss of $3.0 million based on the change in fair value of Agenus Inc.’s common stock during the respective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Since the inception of the agreement through March 31, 2025, we have paid and expensed Merus milestones totaling $10.0 million.</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2024, we sold our investment of Merus’ common shares, and as of December 31, 2024, we had no remaining investment in Merus’ common shares. For the three months ended March 31, 2024 we recorded an unrealized gain of $70.2 million, based on the change in fair value of remaining Merus’ common shares during the respective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Since the inception of the agreement, inclusive of the July 2022 and July 2024 amendments to the agreement, through March 31, 2025,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2025 and 2024 also included $7.1 million and $12.1 million, respectively, of development costs incurred pursuant to the MacroGenics agreement. At March 31, 2025 and December 31, 2024, a total of $0.0 million and $0.5 million of such costs were included in accrued and other liabilities on the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As described in Note 6, 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Prior to the acquisition, pursuant to a now-terminated collaboration and license agreement, we and MorphoSys agreed to co-develop tafasitamab and to share development costs associated with global and U.S.-specific clinical trials, with Incyte responsible for 55% of such costs and MorphoSys responsible for 45% of such costs. Each company was responsible for funding any independent development activities, and we were responsible for funding development activities specific to territories outside of the United States.</w:t>
      </w:r>
    </w:p>
    <w:p>
      <w:pPr>
        <w:spacing w:after="0" w:line="16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2024, we sold our investment of MorphoSys AG’s ordinary shares, and as of December 31, 2024, we had no remaining investment in MorphoSys AG’s ordinary shares. For the three months ended March 31, 2024, we recorded an unrealized gain of $29.9 million, respectively, based on the change in fair value of MorphoSys AG’s ordinary shares during the respective period.</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50% share of the United States loss or profit for the commercialization of tafasitamab for the period from January 1, 2024 to the asset acquisition on February 5, 2024, was a profit of $1.0 million, and is recorded as (Profit) and loss sharing under collaboration agreements on the condensed consolidated statement of operations. As described in Note 6, subsequent to the asset acquisition, we recognize revenue and costs for all commercialization and clinical development of tafasitamab in the United States. Research and development expenses for the period from January 1, 2024 to the asset acquisition on February 5, 2024, includes $10.7 million, related to our 55% share of the co-development costs for tafasitamab.</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share equally the profits and losses from the co-commercialization efforts in the United States. Sales of axatilimab outside the United States are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August 2024, we made a $12.5 million regulatory milestone payment to Syndax for the FDA approval of NIKTIMVO for the treatment of GVHD. This milestone payment was capitalized as an intangible asset and included in other intangible assets, net on the condensed consolidated balance sheet as of March 31, 2025, and is being amortized through cost of product revenues over the estimated useful life of 10 years.</w:t>
      </w:r>
    </w:p>
    <w:p>
      <w:pPr>
        <w:spacing w:after="0" w:line="17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Inclusive of an upfront, non-refundable payment, since the inception of the agreement through March 31, 2025, we have made payments of $129.5 million to Syndax, which were previously recorded in research and development expense or in other intangible assets, as discussed above. Syndax is eligible to receive up to $207.5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of March 31, 2025, we held an investment of approximately 1.4 million shares of Syndax common stock. The fair market value of our long term investment in Syndax as of March 31, 2025 and December 31, 2024 was $17.5 million and $18.8 million, respectively. For the three months ended March 31, 2025 and 2024, we recorded an unrealized loss of $1.3 million and gain of $3.1 million, respectively, based on the change in fair value of Syndax’s common stock during the respective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2025 and 2024, includes $4.7 million and $7.1 million, respectively, related to our 55% share of the co-development costs for axatilimab. At March 31, 2025 and December 31, 2024, $2.1 million and $2.2 million, respectively, was included in accrued and other liabilities on the condensed consolidated balance sheet for amounts due to Syndax under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Skinhealth, a wholly-owned dermatology medical aesthetic company and subsidiary of China Medical System Holdings Limited (“CMSHL”), for the development and commercialization of povorcitinib, a selective oral JAK1 inhibitor, in certain indications in certain Asian territories. In March 2024, we recognized an upfront payment under this agreement of $25.0 million upon our transfer of the functional intellectual property related to povorcitinib to CMSHL which was recorded in milestone and contract revenues on the condensed consolidated statement of operations during the first quarter of 2024. We are eligible to receive additional potential development and commercial milestones, as well as royalties on net sales of the licensed product in CMSHL’s territory. CMSHL received an exclusive license to develop and commercialize and a non-exclusive license to manufacture povorcitinib in autoimmune and inflammatory dermatologic diseases, including non-segmental vitiligo, hidradenitis suppurativa, prurigo nodularis, asthma and chronic spontaneous urticaria, for patients in mainland China, Hong Kong, Macau, Taiwan and certain countries in Southeast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net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229,797</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156,859</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597,342</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w:t>
            </w:r>
          </w:p>
        </w:tc>
      </w:tr>
      <w:tr>
        <w:trPr>
          <w:trHeight w:val="219"/>
        </w:trPr>
        <w:tc>
          <w:tcPr>
            <w:tcW w:w="8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1,091,395</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(327,984)</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763,411</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2024, we purchased additional property in Wilmington, Delaware, including land, office buildings and parking garages for a purchase price of $48.7 million. During the year ended December 31, 2024, we capitalized $4.9 million of land and $19.5 million of building and parking garage. As of March 31, 2025 we have $33.9 million of construction in progress relating to the downtown Wilmington properties.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519,881</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132,446</w:t>
            </w:r>
          </w:p>
        </w:tc>
      </w:tr>
      <w:tr>
        <w:trPr>
          <w:trHeight w:val="25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438,053</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w:t>
            </w:r>
          </w:p>
        </w:tc>
      </w:tr>
      <w:tr>
        <w:trPr>
          <w:trHeight w:val="2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r>
      <w:tr>
        <w:trPr>
          <w:trHeight w:val="24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r>
      <w:tr>
        <w:trPr>
          <w:trHeight w:val="2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58,865</w:t>
            </w:r>
          </w:p>
        </w:tc>
      </w:tr>
      <w:tr>
        <w:trPr>
          <w:trHeight w:val="251"/>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1,375,738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1,212,048</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 Compensation</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2010 Stock Incentive Plan. </w:t>
      </w:r>
      <w:r>
        <w:rPr>
          <w:rFonts w:ascii="Times New Roman" w:cs="Times New Roman" w:eastAsia="Times New Roman" w:hAnsi="Times New Roman"/>
          <w:sz w:val="18"/>
          <w:szCs w:val="18"/>
          <w:color w:val="auto"/>
        </w:rPr>
        <w:t>In May 2010 the Board of Directors adopted the 2010 Stock Incentive Plan (the “2010 Stock Plan”), which was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amended in April 2023, for issuance of common stock to employees, non-employee directors, consultants, and scientific advisors. Awards under the 2010 Stock Plan include stock options, restricted stock units (“RSUs”) and performance shares (“PSUs”).</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Inducement Stock Incentive Plan. </w:t>
      </w:r>
      <w:r>
        <w:rPr>
          <w:rFonts w:ascii="Times New Roman" w:cs="Times New Roman" w:eastAsia="Times New Roman" w:hAnsi="Times New Roman"/>
          <w:sz w:val="18"/>
          <w:szCs w:val="18"/>
          <w:color w:val="auto"/>
        </w:rPr>
        <w:t>In January 2024, our Board of Directors adopted the Incyte Corporation 2024 Inducement Stock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“2024 Inducement Plan”). In reliance on Nasdaq Marketplace Rule 5635(c)(4), stockholder approval was not obtained. A total of 1,000,000 shares of common stock are reserved for issuance pursuant to the 2024 Inducement Plan.</w:t>
      </w:r>
    </w:p>
    <w:p>
      <w:pPr>
        <w:spacing w:after="0" w:line="17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recorded $61.0 million and $59.8 million of stock compensation expense on our condensed consolidated statements of operations for the three months ended March 31, 2025 and 2024, respectively. Stock compensation expense included within our condensed consolidated statements of operations included research and development expense of $36.7 million, and $36.8 million for the three months ended March 31, 2025 and 2024, respectively. Stock compensation expense included within our condensed consolidated statements of operations also included selling, general and administrative expense of $23.4 million and $22.4 million for the three months ended March 31, 2025 and 2024, respectively. Stock compensation expense included within our condensed consolidated statements of operations also included cost of product revenues of $0.9 million and $0.6 million respectively, for the three months ended March 31, 2025 and 2024.</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31115</wp:posOffset>
            </wp:positionV>
            <wp:extent cx="14389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3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31115</wp:posOffset>
            </wp:positionV>
            <wp:extent cx="14389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3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31115</wp:posOffset>
            </wp:positionV>
            <wp:extent cx="14389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31" w:lineRule="exact"/>
        <w:rPr>
          <w:sz w:val="20"/>
          <w:szCs w:val="20"/>
          <w:color w:val="auto"/>
        </w:rPr>
      </w:pPr>
    </w:p>
    <w:p>
      <w:pPr>
        <w:ind w:left="694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80"/>
        <w:spacing w:after="0" w:line="316" w:lineRule="auto"/>
        <w:rPr>
          <w:sz w:val="20"/>
          <w:szCs w:val="20"/>
          <w:color w:val="auto"/>
        </w:rPr>
      </w:pPr>
      <w:r>
        <w:rPr>
          <w:rFonts w:ascii="Times New Roman" w:cs="Times New Roman" w:eastAsia="Times New Roman" w:hAnsi="Times New Roman"/>
          <w:sz w:val="14"/>
          <w:szCs w:val="14"/>
          <w:b w:val="1"/>
          <w:bCs w:val="1"/>
          <w:color w:val="auto"/>
        </w:rPr>
        <w:t>Employee Stock Purchase Plan 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-635</wp:posOffset>
            </wp:positionV>
            <wp:extent cx="14389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3891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-135255</wp:posOffset>
            </wp:positionV>
            <wp:extent cx="14389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3891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-269875</wp:posOffset>
            </wp:positionV>
            <wp:extent cx="14389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ind w:left="200"/>
        <w:spacing w:after="0"/>
        <w:tabs>
          <w:tab w:leader="none" w:pos="1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9" w:lineRule="exact"/>
        <w:rPr>
          <w:sz w:val="20"/>
          <w:szCs w:val="20"/>
          <w:color w:val="auto"/>
        </w:rPr>
      </w:pPr>
    </w:p>
    <w:p>
      <w:pPr>
        <w:sectPr>
          <w:pgSz w:w="11900" w:h="16838" w:orient="portrait"/>
          <w:cols w:equalWidth="0" w:num="2">
            <w:col w:w="8560" w:space="540"/>
            <w:col w:w="2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23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80" w:type="dxa"/>
            <w:vAlign w:val="bottom"/>
          </w:tcPr>
          <w:p>
            <w:pPr>
              <w:spacing w:after="0"/>
              <w:rPr>
                <w:sz w:val="20"/>
                <w:szCs w:val="20"/>
                <w:color w:val="auto"/>
              </w:rPr>
            </w:pPr>
          </w:p>
        </w:tc>
      </w:tr>
      <w:tr>
        <w:trPr>
          <w:trHeight w:val="22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9"/>
                <w:szCs w:val="19"/>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r>
      <w:tr>
        <w:trPr>
          <w:trHeight w:val="23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(in dollars)</w:t>
            </w:r>
          </w:p>
        </w:tc>
        <w:tc>
          <w:tcPr>
            <w:tcW w:w="2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20"/>
                <w:szCs w:val="20"/>
                <w:color w:val="auto"/>
              </w:rPr>
            </w:pPr>
          </w:p>
        </w:tc>
      </w:tr>
      <w:tr>
        <w:trPr>
          <w:trHeight w:val="883"/>
        </w:trPr>
        <w:tc>
          <w:tcPr>
            <w:tcW w:w="4180" w:type="dxa"/>
            <w:vAlign w:val="bottom"/>
          </w:tcPr>
          <w:p>
            <w:pPr>
              <w:spacing w:after="0"/>
              <w:rPr>
                <w:sz w:val="24"/>
                <w:szCs w:val="24"/>
                <w:color w:val="auto"/>
              </w:rPr>
            </w:pPr>
          </w:p>
        </w:tc>
        <w:tc>
          <w:tcPr>
            <w:tcW w:w="23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8"/>
        </w:trPr>
        <w:tc>
          <w:tcPr>
            <w:tcW w:w="418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activity under our 2010 Stock Plan and 2024 Inducement Plan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33"/>
        </w:trPr>
        <w:tc>
          <w:tcPr>
            <w:tcW w:w="8180" w:type="dxa"/>
            <w:vAlign w:val="bottom"/>
          </w:tcPr>
          <w:p>
            <w:pPr>
              <w:spacing w:after="0"/>
              <w:rPr>
                <w:sz w:val="11"/>
                <w:szCs w:val="11"/>
                <w:color w:val="auto"/>
              </w:rPr>
            </w:pPr>
          </w:p>
        </w:tc>
        <w:tc>
          <w:tcPr>
            <w:tcW w:w="148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17"/>
              <w:spacing w:after="0" w:line="13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(151,857)</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13,103,299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RSU and PSU award activity under the 2010 Stock Plan and 2024 Inducement Plan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(109,016)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67.17</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8,450,295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spacing w:after="0" w:line="18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months ended March 31, 2025 and 2024 we recorded $3.1 million and $3.4 million, respectively, of stock compensation expense for PSUs on our condensed consolidated statements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Stock Plan and 2024 Inducement Plan. Each RSU and PSU grant reduces the available share pool by 2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6"/>
        </w:trPr>
        <w:tc>
          <w:tcPr>
            <w:tcW w:w="9760" w:type="dxa"/>
            <w:vAlign w:val="bottom"/>
          </w:tcPr>
          <w:p>
            <w:pPr>
              <w:spacing w:after="0"/>
              <w:rPr>
                <w:sz w:val="16"/>
                <w:szCs w:val="16"/>
                <w:color w:val="auto"/>
              </w:rPr>
            </w:pPr>
          </w:p>
        </w:tc>
        <w:tc>
          <w:tcPr>
            <w:tcW w:w="14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4"/>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4,013,611</w:t>
            </w:r>
          </w:p>
        </w:tc>
      </w:t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 and issuance of shares for services rendered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(1,223,546)</w:t>
            </w:r>
          </w:p>
        </w:tc>
      </w:tr>
      <w:tr>
        <w:trPr>
          <w:trHeight w:val="25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369,889</w:t>
            </w:r>
          </w:p>
        </w:tc>
      </w:tr>
      <w:tr>
        <w:trPr>
          <w:trHeight w:val="25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3,159,954</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March 31, 2025, was $22.2 million, which is expected to be recognized over the weighted average period of approximately 1.1 years. Total compensation cost of RSUs granted but not yet vested, as of March 31, 2025, was $209.7 million, which is expected to be recognized over the weighted average period of approximately 1.5 years. Total compensation cost of PSUs granted but not yet vested, as of March 31, 2025, was $13.7 million, which is expected to be recognized over the weighted average period of 1.4 years, should the underlying performance conditions be deemed probable of achievement.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19" w:lineRule="exact"/>
        <w:rPr>
          <w:sz w:val="20"/>
          <w:szCs w:val="20"/>
          <w:color w:val="auto"/>
        </w:rPr>
      </w:pPr>
    </w:p>
    <w:p>
      <w:pPr>
        <w:ind w:right="140" w:firstLine="636"/>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2025 and 2024, we recorded the following provisions for income taxes and effective tax rates as compared to our income before provision for income taxes (in thousands):</w:t>
      </w:r>
    </w:p>
    <w:p>
      <w:pPr>
        <w:spacing w:after="0" w:line="186"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236,159</w:t>
            </w:r>
          </w:p>
        </w:tc>
      </w:tr>
      <w:tr>
        <w:trPr>
          <w:trHeight w:val="24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66,611</w:t>
            </w:r>
          </w:p>
        </w:tc>
      </w:tr>
      <w:tr>
        <w:trPr>
          <w:trHeight w:val="271"/>
        </w:trPr>
        <w:tc>
          <w:tcPr>
            <w:tcW w:w="8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bl>
    <w:p>
      <w:pPr>
        <w:spacing w:after="0" w:line="2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and 2024 was higher than the U.S. statutory rate primarily due to an increase in our valuation allowance against certain U.S. federal and state deferred tax assets and foreign losses with no associated tax benefit (i.e., full valuation allowance). This was partially offset by tax rate benefits associated with research and development and orphan drug tax credit generations and the foreign derived intangible income deduction.</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2025 was unfavorable as compared to the prior year period primarily due to an increase in our valuation allowance against certain U.S. federal and state deferred tax assets, partially offset by a decrease in foreign losses with no associated tax benefit and an increase in tax credit generations.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accrue interest and penalties related to unrecognized tax benefits as a component of the provision for income taxes.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2021. We are currently under U.S. federal audit for tax year 2021.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2 guidelines, which were supported by over 130 countries worldwide, are designed to impose a 15% global minimum tax on adjusted financial results. We have evaluated the impact of Pillar 2 on our business, and determined there are no material impacts on our effective tax rate at this time. As countries we operate in enact legislation implementing Pillar 2, we will assess the impact on our financial statements in the period of enactment.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Income Per Share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income per share was calculated as follows for the periods indicated below:</w:t>
      </w:r>
    </w:p>
    <w:p>
      <w:pPr>
        <w:spacing w:after="0" w:line="25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1"/>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169,548</w:t>
            </w:r>
          </w:p>
        </w:tc>
      </w:tr>
      <w:tr>
        <w:trPr>
          <w:trHeight w:val="265"/>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5"/>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224,484</w:t>
            </w:r>
          </w:p>
        </w:tc>
      </w:tr>
      <w:tr>
        <w:trPr>
          <w:trHeight w:val="265"/>
        </w:trPr>
        <w:tc>
          <w:tcPr>
            <w:tcW w:w="8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44"/>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169,548</w:t>
            </w:r>
          </w:p>
        </w:tc>
      </w:tr>
      <w:tr>
        <w:trPr>
          <w:trHeight w:val="265"/>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5"/>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224,484</w:t>
            </w:r>
          </w:p>
        </w:tc>
      </w:tr>
      <w:tr>
        <w:trPr>
          <w:trHeight w:val="225"/>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45"/>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shares used to compute diluted net income per share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227,219</w:t>
            </w:r>
          </w:p>
        </w:tc>
      </w:tr>
      <w:tr>
        <w:trPr>
          <w:trHeight w:val="265"/>
        </w:trPr>
        <w:tc>
          <w:tcPr>
            <w:tcW w:w="8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4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potential common shares that were excluded from the diluted net income per share computation are as follows:</w:t>
      </w:r>
    </w:p>
    <w:p>
      <w:pPr>
        <w:spacing w:after="0" w:line="24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11,075,503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13,165,842</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months ended March 31, 2025 and 2024 was $5.8 million and $5.4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5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Other, net on the condensed consolidated statements of operations. We expect to contribute a total of $10.1 million to the pension plans in 2025 inclusive of the amounts contributed to the plan during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entered into a revolving credit and guaranty agreement, which was subsequently amended in May 2023 and June 2024 (as amended, the “Credit Agreement”), among Incyte Corporation, as borrower, our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our consolidated leverage ratio in effect immediately prior to giving effect to such increase.</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Loans under the Credit Agreement will bear interest, at our option, at a per annum rate equal to either (a) a base rate (but not less than 1.00%) plus an applicable rate per annum varying from 0.125% to 0.875% depending on our consolidated leverage ratio or (b) a rate based on the secured overnight financing rate (“SOFR”) plus a credit spread adjustment of 0.10% (but not less than 0.00%), plus an applicable rate per annum varying from 1.125% to 1.875% depending on our consolidated leverage ratio. Commitment fees payable on the undrawn commitment range from 0.15% per annum to 0.225% per annum, based on our consolidated leverage ratio. We may, at our option, prepay any borrowings under the Credit Agreement, in whole or in part, at any time and from time to time without premium or penalty, subject to customary exceptions. As of March 31, 2025 and December 31, 2024, we had no outstanding borrowings and were in compliance with all covenants under this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8,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March 31, 2025, we have accrued approximately $145.4 million within accrued and other current liabilities on the condensed consolidated balance sheet, relating to the incremental rebates that would be owed were OPZELURA considered a line extension of JAKAFI. The impact on OPZELURA gross to net deductions for the quarter ending March 31, 2025 is approximately 7.3%.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as described in Note 8, we have an outstanding contractual dispute with Novartis relating to royalties allegedly owed or the amount of royalties owed on JAKAFI net sales within the United States, as well as various disputes related to potential generic competition for our products, as described under Part II, Item 1A. “Risk Factors—Risks Relating to Commercialization of Our Products— Competition for our products could harm our business and result in a decrease in our revenue”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Information</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operate in one operating segment, and therefore one reportable segment, focused on the global discovery, development and commercialization of proprietary therapeutics. We manage business activities on a consolidated basis through the development and commercialization of oncology and dermatology products, which are sold to U.S. and international customers. Our determination that we operate as a single operating segment is consistent with the financial information regularly reviewed by the chief operating decision maker for purposes of evaluating performance, allocating resources, setting incentive compensation targets, and planning and forecasting for future periods. Our chief operating decision maker is the Chief Executive Officer.</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accounting policies for our single operating segment are the same as those described in the summary of significant accounting policies in our Annual Report on Form 10-K for the year ended December 31, 2024. Our single operating segment generates revenues from the development and commercialization of oncology and dermatology pharmaceutical products, which are developed by our research and development department, as well as from product royalties, milestone and contract revenues from the out-licensing of our intellectual property to third parties.</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For our segment, the chief operating decision maker uses net income or loss, that also is reported on the condensed consolidated statements of operations as consolidated net income, to allocate resources (including employees, property, and financial resources), predominantly during the annual budget and forecasting process. The chief operating decision maker also uses consolidated net income or loss, along with non-financial inputs and qualitative information, to evaluate our performance, establish compensation, monitor budget versus actual results, and decide the level of investment in our various operating activities and other capital allocation activities. The measure of segment assets is reported on the condensed consolidated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income for our segment was as follows (in thousands):</w:t>
      </w:r>
    </w:p>
    <w:p>
      <w:pPr>
        <w:spacing w:after="0" w:line="25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922,274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729,923</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125,966</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1,052,898</w:t>
            </w:r>
          </w:p>
        </w:tc>
        <w:tc>
          <w:tcPr>
            <w:tcW w:w="10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880,889</w:t>
            </w:r>
          </w:p>
        </w:tc>
      </w:tr>
      <w:tr>
        <w:trPr>
          <w:trHeight w:val="245"/>
        </w:trPr>
        <w:tc>
          <w:tcPr>
            <w:tcW w:w="8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revenues (including definite-lived intangible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60,956</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Research and development - internal</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223,096</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Research and development - external</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205,164</w:t>
            </w:r>
          </w:p>
        </w:tc>
      </w:tr>
      <w:tr>
        <w:trPr>
          <w:trHeight w:val="225"/>
        </w:trPr>
        <w:tc>
          <w:tcPr>
            <w:tcW w:w="8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216,813</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change in fair value of acquisition-related contingent consideration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(77,650)</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158,203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169,548</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60" w:hanging="154"/>
        <w:spacing w:after="0"/>
        <w:tabs>
          <w:tab w:leader="none" w:pos="1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internal is comprised of internally generated costs such as salaries, travel, regulatory costs, lab costs, contracting, etc.</w:t>
      </w:r>
    </w:p>
    <w:p>
      <w:pPr>
        <w:ind w:left="160" w:hanging="154"/>
        <w:spacing w:after="0" w:line="215" w:lineRule="auto"/>
        <w:tabs>
          <w:tab w:leader="none" w:pos="15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external is comprised of specific program spend with external vendors (i.e. contract manufacturing organization, contract research organization and lab vendors for clinical, technical operations and toxicology services).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215" w:lineRule="auto"/>
        <w:tabs>
          <w:tab w:leader="none" w:pos="15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research and development is comprised of all other costs including certain one-time costs resulting from the acquisition of IPR&amp;D assets and one-time development milestone expenses.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215" w:lineRule="auto"/>
        <w:tabs>
          <w:tab w:leader="none" w:pos="15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is comprised of interest income, interest expense, realized and unrealized (gain) loss on equity investments, other, net, and provision for income taxes.</w:t>
      </w:r>
    </w:p>
    <w:p>
      <w:pPr>
        <w:spacing w:after="0" w:line="19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total revenues from the United States were approximately $981.6 million, total revenues from Europe were approximately $68.6 million, and total revenues from other countries were approximately $2.7 million. During the three months ended March 31, 2024, total revenues from the United States were approximately $828.2 million, total revenues from Europe were approximately $51.5 million, and total revenues from other countries were approximately $1.2 million.</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of March 31, 2025, property and equipment, net was approximately $469.6 million in the United States, approximately $282.7 million in Switzerland and approximately $13.0 million in other countries. As of December 31, 2024, property and equipment, net was approximately $474.1 million in the United States, approximately $277.6 million in Switzerland and approximately $11.7 million in other countries.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months ended March 31, 2025 should be read in conjunction with the unaudited condensed consolidated financial statements and notes to those statements included elsewhere in this Quarterly Report on Form 10-Q and our audited consolidated financial statements as of and for the year ended December 31, 2024 included in our Annual Report on Form 10-K for the year ended December 31, 2024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68" w:lineRule="exact"/>
        <w:rPr>
          <w:sz w:val="20"/>
          <w:szCs w:val="20"/>
          <w:color w:val="auto"/>
        </w:rPr>
      </w:pPr>
    </w:p>
    <w:p>
      <w:pPr>
        <w:jc w:val="both"/>
        <w:ind w:left="960" w:hanging="318"/>
        <w:spacing w:after="0" w:line="247"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(tafasitamab-cxix) / MINJUVI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ZYNYZ</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 and NIKTIMVO</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8"/>
          <w:szCs w:val="18"/>
          <w:i w:val="1"/>
          <w:iCs w:val="1"/>
          <w:color w:val="auto"/>
        </w:rPr>
        <w:t xml:space="preserve"> (axatilimab);</w:t>
      </w:r>
    </w:p>
    <w:p>
      <w:pPr>
        <w:spacing w:after="0" w:line="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further develop our operations outside of the United States;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non-U.S. operations and collaboration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and other financial impacts associated with resolving matters in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17" w:lineRule="exact"/>
        <w:rPr>
          <w:sz w:val="20"/>
          <w:szCs w:val="20"/>
          <w:color w:val="auto"/>
        </w:rPr>
      </w:pPr>
    </w:p>
    <w:p>
      <w:pPr>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60" w:lineRule="exact"/>
        <w:rPr>
          <w:sz w:val="20"/>
          <w:szCs w:val="20"/>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1" w:lineRule="exact"/>
        <w:rPr>
          <w:rFonts w:ascii="Times New Roman" w:cs="Times New Roman" w:eastAsia="Times New Roman" w:hAnsi="Times New Roman"/>
          <w:sz w:val="18"/>
          <w:szCs w:val="18"/>
          <w:color w:val="auto"/>
        </w:rPr>
      </w:pPr>
    </w:p>
    <w:p>
      <w:pPr>
        <w:ind w:left="960" w:right="2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 including geopolitical risks;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drug products and the drug candidates licensed from us;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tariffs and trade conflicts and the effects of any economic slowdown;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1" w:lineRule="exact"/>
        <w:rPr>
          <w:rFonts w:ascii="Times New Roman" w:cs="Times New Roman" w:eastAsia="Times New Roman" w:hAnsi="Times New Roman"/>
          <w:sz w:val="18"/>
          <w:szCs w:val="18"/>
          <w:i w:val="1"/>
          <w:iCs w:val="1"/>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ability to sustain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natural disasters, or geopolitical events such as the Russian invasion of Ukraine and conflicts in the Middle East; and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and NIKTIMVO is our trademark. We also refer to trademarks of other corporations and organizations in this Quarterly Report on Form 10-Q.</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9" w:lineRule="exact"/>
        <w:rPr>
          <w:sz w:val="20"/>
          <w:szCs w:val="20"/>
          <w:color w:val="auto"/>
        </w:rPr>
      </w:pPr>
    </w:p>
    <w:p>
      <w:pPr>
        <w:jc w:val="both"/>
        <w:ind w:left="320" w:right="20" w:firstLine="636"/>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8" w:lineRule="exact"/>
        <w:rPr>
          <w:sz w:val="20"/>
          <w:szCs w:val="20"/>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JAKAFI/JAKAVI (ruxolitinib), and if we are not able to maintain revenues from JAKAFI/JAKAVI or those revenues decrease, our business may be materially harmed.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38"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between us and our collaborators or termination of our collaboration agreements could limit future development and commercialization of our drug candidates and harm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in-licensing agreements or if these arrangements are unsuccessful, we may be unable to increase our number of successfully marketed products and our revenues.</w:t>
      </w:r>
    </w:p>
    <w:p>
      <w:pPr>
        <w:spacing w:after="0" w:line="12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those resulting from public health pandemics, natural disasters, and other geopolitical events, could adversely affect our business and results of operations.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one of our drug candidates receives regulatory approval, we may determine that commercialization would not be worth the investment.</w:t>
      </w:r>
    </w:p>
    <w:p>
      <w:pPr>
        <w:spacing w:after="0" w:line="202"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extensive legal and regulatory requirements affecting the health care industry, we could face increased costs, penalties and a loss of business.</w:t>
      </w:r>
    </w:p>
    <w:p>
      <w:pPr>
        <w:spacing w:after="0" w:line="136"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any of our key employees or are unable to attract and retain additional personnel, our business and ability to achieve our objectives could be harmed.</w:t>
      </w:r>
    </w:p>
    <w:p>
      <w:pPr>
        <w:spacing w:after="0" w:line="13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90"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in the future when we require it, our efforts to broaden our product portfolio or commercialization efforts could be limited.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and equity investments are subject to risks that could adversely affect our overall financial position, and tax law changes could adversely affect our results of operations and financial condition.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or litigation involving us and regarding intellectual property infringement claims could be costly and disrupt our drug discovery and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or enforce our proprietary information may result in loss of revenues or otherwise reduce our ability to compete.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may result in the expenditure of substantial sums and management resources.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social media and new technology could give rise to liability, breaches of data security, or reputational damage, which could harm our business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 and Oncology</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hematology and oncology franchise comprises six approved products, which are JAKAFI (ruxolitinib), MONJUVI (tafasitamab-cxix)/MINJUVI (tafasitamab), PEMAZYRE (pemigatinib), ICLUSIG (ponatinib), ZYNYZ (retifanlimab-dlwr), and NIKTIMVO (axatilimab-csfr), as well as numerous clinical development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0" w:lineRule="exact"/>
        <w:rPr>
          <w:sz w:val="20"/>
          <w:szCs w:val="20"/>
          <w:color w:val="auto"/>
        </w:rPr>
      </w:pPr>
    </w:p>
    <w:p>
      <w:pPr>
        <w:ind w:right="120" w:firstLine="636"/>
        <w:spacing w:after="0" w:line="259"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2023, we were notified by the Centers for Medicare and Medicaid Services (CMS) that ruxolitinib phosphate qualified for the Small Biotech Exception.</w:t>
      </w:r>
    </w:p>
    <w:p>
      <w:pPr>
        <w:spacing w:after="0" w:line="16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MF is a rare, life-threatening condition. MF, considered the most serious of the myeloproliferative neoplasms, can occur either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MF, or as secondary MF that develops in some patients who previously had polycythemia vera or essential thrombocythemia.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3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78"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 percentage of red blood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blood, which can lead to a thickening of the blood and an increased risk of blood clots, as well as an elevated white blood cell and platelet count.</w:t>
      </w:r>
    </w:p>
    <w:p>
      <w:pPr>
        <w:spacing w:after="0" w:line="162"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3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2016, we announced data from the Phase 3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Graft-versus-host disease. </w:t>
      </w:r>
      <w:r>
        <w:rPr>
          <w:rFonts w:ascii="Times New Roman" w:cs="Times New Roman" w:eastAsia="Times New Roman" w:hAnsi="Times New Roman"/>
          <w:sz w:val="17"/>
          <w:szCs w:val="17"/>
          <w:color w:val="auto"/>
        </w:rPr>
        <w:t>GVHD is a condition that can occur after an allogeneic HSCT (the transfer of genetically dissimilar stem cells or tissue).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GVHD, the donated bone marrow or peripheral blood stem cells view the recipient’s body as foreign and attack various tissues.</w:t>
      </w:r>
    </w:p>
    <w:p>
      <w:pPr>
        <w:spacing w:after="0" w:line="19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3,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7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 and late 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January 2020, we and MorphoSys AG entered into a collaboration and license agreement to further develop and commercialize MorphoSys’ proprietary anti-CD19 antibody tafasitamab (MOR208) globally. Tafasitamab is an Fc-engineered antibody against CD19 currently in clinical development for the treatment of B cell malignancies. Under the terms of the collaboration and license agreement, we received rights to co-commercialize tafasitamab in the United States with MorphoSys, and exclusive development and commercialization rights outside of the United States. As more fully described in Note 6 of Notes to the Condensed Consolidated Financial Statements, in February 2024, we entered into a purchase agreement with MorphoSys, and as a result, we now hold exclusive global rights for tafasitamab, and the collaboration and license agreement was terminated.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In July 2020, we and MorphoSys announced that the FDA had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2 L-MIND study, an open label, multicenter, single arm trial of MONJUVI in combination with lenalidomide as a treatment for adult patients with r/r DLBCL. Results from the study showed an objective response rate of 55% (39 out of 71 patients; primary endpoint) and a complete response rate of 37% (26 out of 71 patients). The median duration of response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9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2020, we and MorphoSys announced that MONJUVI in combination with lenalidomide had been included in the latest NCCN Clinical Practice Guidelines in Oncology for B-cell Lymphomas.</w:t>
      </w:r>
    </w:p>
    <w:p>
      <w:pPr>
        <w:spacing w:after="0" w:line="163"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August 2021, we and MorphoSys announced that the European Commission had granted conditional marketing authorization for MINJUVI (tafasitamab) in combination with lenalidomide, followed by MINJUVI monotherapy, for the treatment of adult patients with relapsed or refractory DLBCL who are not eligible for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of 56.8% (primary endpoint), including a complete response rate of 39.5% and a partial response rate of 17.3%, as assessed by an independent review committee. The median duration of response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7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December 2024, we submitted a supplemental Biologics License Application (sBLA) for tafasitamab in relapsed or refractory follicular lymphoma (FL) to the FDA.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PEMAZYRE is the first internally discovered product to be internationally commercialized by us.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2020, we announced that the FDA had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July 2021, the UK’s National Institute for Health and Care Excellence (NICE) recommended PEMAZYRE for patients with cholangiocarcinoma with a FGFR2 fusion or rearrangement that have progressed after at least one prior line of systemic therapy. NICE’s guidance enables all eligible patients in England and Wales to have access to PEMAZYRE through the National Health Service.</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2022, PEMAZYRE was approved by the National Medical Products Administration of the People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 Republic of China for the treatment of adults with locally advanced or metastatic cholangiocarcinoma with a FGFR2 fusion or rearrangement as confirmed by a validated diagnostic test that has progressed after at least one prior line of systemic therapy.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3 trial of pemigatinib for the first-line treatment of patients with cholangiocarcinoma and FGFR2 fusions or rearrangements, is ongoing.</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March 2023, PEMAZYRE was approved by the MHLW for the treatment of MLNs with FGFR1 fusion.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 The molecule currently is being evaluated both as monotherapy and in combination therapy across various tumor types. Two Phase 3 trials evaluating retifanlimab in squamous cell anal cancer (SCAC) and non-small cell lung cancer (NSCLC) are ongoing.</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March 2023, we announced that the FDA had approved ZYNYZ (retifanlimab-dlwr) under accelerated approval, for the treatment of adults with metastatic or recurrent locally advanced Merkel cell carcinoma (MCC). This represents the first regulatory approval for our PD-1 inhibitor.</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April 2024, the European Commission approved ZYNYZ (retifanlimab) as monotherapy for the first-line treatment of adult patients with metastatic or recurrent locally advanced MCC not amenable to curative surgery or radiation therapy following a positive opinion from the Committee for Medicinal Products for Human Use (CHMP).</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2024, we announced positive results from the Phase 3 POD1UM-303/InterAACT2 trial of ZYNYZ (retifanlimab) in combination with platinum-based chemotherapy (carboplatin–paclitaxel) for the treatment of adults with inoperable locally recurrent or metastatic SCAC.</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December 2024, the sBLA submission for retifanlimab in advanced/metastatic SCAC was filed with the FDA with approval anticipated in the second half of 2025.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221"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In September 2021, we and Syndax Pharmaceuticals, Inc. announced an exclusive worldwide collaboration and license agreement to develop and commercialize axatilimab, Syndax’s anti-CSF-1R monoclonal antibody. Together, we are developing axatilimab as a therapy for patients with chronic GVHD where CSF-1R-dependent monocytes and macrophages are believed to contribute to organ fibrosis. In December 2021, updated positive data were presented at ASH from the Phase 1/2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In May 2022, Syndax announced that axatilimab had been granted fast-track designation by the FDA for the treatment of patients with chronic GVHD after failure of two or more lines of systemic therapy.</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 In December 2023, a Biologics License Application (BLA) was submitted to the FDA for axatilimab for the treatment of patients with chronic GVHD after failure of two or more lines of systemic therapy and accepted for Priority Review in February 2024. We have initiated two combination trials with axatilimab in cGVHD in 2024, including a randomized Phase 2 combination trial with ruxolitinib and a randomized Phase 3 combination trial with steroids, both directed at treating patients with cGVHD in earlier lines of therapy.</w:t>
      </w:r>
    </w:p>
    <w:p>
      <w:pPr>
        <w:spacing w:after="0" w:line="1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August 2024, we and Syndax announced the FDA approval of NIKTIMVO (axatilimab-csfr) for the treatment of chronic GVHD after failure of at least two prior lines of systemic therapy in adult and pediatric patients. NIKTIMVO is the first approved anti-CSF-1R antibody targeting the drivers of inflammation and fibrosis seen in chronic GVHD. In September, we and Syndax announced the New England Journal of Medicine publication of data from the pivotal AGAVE-201 trial of NIKTIMVO in chronic GVHD and the addition of NIKTIMVO to the NCCN Clinical Practice Guidelines in Oncology for the treatment of chronic GVHD. In January 2025, the FDA approved two smaller vial sizes (9mg and 22mg) of NIKTIMVO to facilitate patient dosing and limit product waste. The U.S. commercial launch of NIKTIMVO commenced at the end of January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are evaluating combinations of ruxolitinib with other therapeutic modalities, as well as developing a once-a-day formulation of ruxolitinib for potential use as monotherapy and in combinations. Bioavailability and bioequivalence data were published for ruxolitinib’s once-daily (QD) extended release (XR) formulation at the European Hematology Association (EHA) Virtual Congress in June 2021. In March 2023, the FDA issued a complete response letter for ruxolitinib extended-release (XR) tablets for once-daily (QD) use in the treatment of certain types of MF, PV and GVHD. In December 2023, we received FDA feedback and agreed on the requirements to address the complete response letter.</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Phase 2 trials combining ruxolitinib with investigational agents from our portfolio such as INCB57643 (BET) in patients with MF are ongoing with data presented demonstrating early signals of clinical activity in monotherapy and in combination with ruxolitinib.</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INCA033989 (mutCALR)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a Phase 1 study evaluating INCA033989 was initiated.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INCB160058 (JAK2V617Fi)</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2023, new research detailing the development and mechanism of action of INCB160058, an Incyte-discovered, investigational novel potent and selective JAK2 pseudokinase domain binder with potential to be a disease modifying therapeutic was disclosed at the 65th ASH Annual Meeting. Pseudokinase binding offers a new mechanism of action for selective inhibition of JAK2V617F, with potential to eradicate mutant clones. In preclinical studies, INCB160058 inhibited cytokine independent activity of JAK2V617F while sparing WT JAK2. The JAK2V617F mutation is found in 55% of primary myelofibrosis, 95% of polycythemia vera and 60% of essential thrombocythemia patients. A Phase 1 study of INCB160058 was initiated in the first quarter of 2024.</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An open-label Phase 2 combination trial (L-MIND) is investigating the safety and efficacy of tafasitamab in combination with lenalidomide in patients with relapsed or refractory diffuse large B-cell lymphoma (r/r DLBCL), and the ongoing Phase 3 B-MIND trial is assessing the combination of tafasitamab and bendamustine versus rituximab and bendamustine in r/r DLBCL. firstMIND is a Phase 1b safety trial of tafasitamab as a first-line therapy for patients with DLBCL, and frontMIND, a placebo-controlled Phase 3 trial evaluating tafasitamab in combination with lenalidomide added to rituximab plus chemotherapy (R-CHOP) as a first-line therapy for patients with DLBCL, is ongoing.</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January 2021, the FDA granted orphan drug designation to tafasitamab as a treatment for patients with follicular lymphoma.</w:t>
      </w:r>
    </w:p>
    <w:p>
      <w:pPr>
        <w:spacing w:after="0" w:line="21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2024, we announced the full results from the pivotal Phase 3 inMIND trial evaluating treatment with tafasitamab in combination with lenalidomide and rituximab compared with placebo plus lenalidomide and rituximab in patients with relapsed or refractory follicular lymphoma (FL). The data showed that the study met its primary endpoint by demonstrating a statistically significant and clinically meaningful improvement in progression-free survival (PFS) by investigator assessment in 548 patients with FL. Tafasitamab was generally well-tolerated, and safety was consistent with other CD19 and immunotherapy combination regimens.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Retifanlimab</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July 2024, we announced positive topline results from both the two Phase 3 clinical studies evaluating retifanlimab, a humanized monoclonal antibody targeting programmed cell death receptor-1 (PD-1), in SCAC and NSCLC. The phase 3 study in SCAC met its primary endpoint of progression free survival while the Phase 3 study in NSCLC meet its primary endpoint of overall survival. The safety analysis from both studies showed retifanlimab was generally well-tolerated with no new safety signals observed. POD1UM-303 is a Phase 3, global, multicenter, randomized, double-blind study evaluating carboplatin-paclitaxel with retifanlimab or placebo in patients with inoperable locally recurrent or metastatic SCAC who have not previously been treated with chemotherapy. POD1UM-304 is a Phase 3, global, multicenter, randomized, double-blind study evaluating platinum-based chemotherapy with retifanlimab or placebo in patients with first-line, metastatic squamous or nonsquamous NSCLC.</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2024, we presented late-breaking Phase 3 results for retifanlimab that were featured during the 2024 European Society for Medical Oncology (ESMO) Presidential Symposium. The Phase 3 POD1UM-303/InterAACT2 trial for retifanlimab met the primary endpoint of PFS and demonstrated improvement across key secondary endpoints in patients with SCAC receiving retifanlimab in combination with platinum-based chemotherapy (carboplatin-paclitaxel).</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April 2023, we presented data at the AACR Annual Meeting, demonstrating that INCB123667 exhibited significant single-agent activity in vivo, in CCNE1 high breast cancer xenograft and patient-derived xenograft models. INCB123667 currently is being evaluated in a Phase 1 clinical trial in patients with advanced malignancies including CCNE1 high TNBC and HR+HER2- tumors post-CDK4/6 inhibitors.</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2024, we disclosed that early clinical activity was observed in patients with amplification/over expression of CCNE1 in a Phase 1 clinical trial, with significant tumor shrinkage observed. Several patients achieved partial responses across multiple tumor types including ovarian cancer patients with CCNE1 amplification and/or over expression. The safety data seen during this disclosure aligns with CDK2 mechanism of action. Additional data from this trial is anticipated in 2025.</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2024, we presented initial data from the Phase 1 CDK2 inhibitor program at the 2024 ESMO Congress. Phase 1 data of INCB123667 were presented demonstrating single-agent antitumor activity across a range of doses and regimens, notably in patients with ovarian cancer and endometrial cancer whose tumors overexpress Cyclin E1. The Phase 1 trial is ongoing with INCB123667 in combination with other agents. We currently anticipate initiating a pivotal trial in ovarian cancer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MPN, GVHD and Oncology Programs</w:t>
            </w:r>
          </w:p>
        </w:tc>
        <w:tc>
          <w:tcPr>
            <w:tcW w:w="7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34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Ruxolitinib XR (QD)</w:t>
            </w:r>
          </w:p>
        </w:tc>
        <w:tc>
          <w:tcPr>
            <w:tcW w:w="7800" w:type="dxa"/>
            <w:vAlign w:val="bottom"/>
            <w:shd w:val="clear" w:color="auto" w:fill="CCEEFF"/>
          </w:tcPr>
          <w:p>
            <w:pPr>
              <w:ind w:left="520"/>
              <w:spacing w:after="0" w:line="185" w:lineRule="exact"/>
              <w:rPr>
                <w:sz w:val="20"/>
                <w:szCs w:val="20"/>
                <w:color w:val="auto"/>
              </w:rPr>
            </w:pPr>
            <w:r>
              <w:rPr>
                <w:rFonts w:ascii="Times New Roman" w:cs="Times New Roman" w:eastAsia="Times New Roman" w:hAnsi="Times New Roman"/>
                <w:sz w:val="18"/>
                <w:szCs w:val="18"/>
                <w:color w:val="auto"/>
              </w:rPr>
              <w:t>Myelofibrosis, polycythemia vera and GVHD</w:t>
            </w: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800" w:type="dxa"/>
            <w:vAlign w:val="bottom"/>
            <w:shd w:val="clear" w:color="auto" w:fill="CCEEFF"/>
          </w:tcPr>
          <w:p>
            <w:pPr>
              <w:spacing w:after="0"/>
              <w:rPr>
                <w:sz w:val="19"/>
                <w:szCs w:val="19"/>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INCB57643</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BETi)</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 axatilimab</w:t>
            </w:r>
            <w:r>
              <w:rPr>
                <w:rFonts w:ascii="Times New Roman" w:cs="Times New Roman" w:eastAsia="Times New Roman" w:hAnsi="Times New Roman"/>
                <w:sz w:val="22"/>
                <w:szCs w:val="22"/>
                <w:b w:val="1"/>
                <w:bCs w:val="1"/>
                <w:color w:val="auto"/>
                <w:vertAlign w:val="superscript"/>
              </w:rPr>
              <w:t>1</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Chronic GVHD: Phase 2</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anti-CSF-1R)</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Steroids + axatilimab</w:t>
            </w:r>
            <w:r>
              <w:rPr>
                <w:rFonts w:ascii="Times New Roman" w:cs="Times New Roman" w:eastAsia="Times New Roman" w:hAnsi="Times New Roman"/>
                <w:sz w:val="22"/>
                <w:szCs w:val="22"/>
                <w:b w:val="1"/>
                <w:bCs w:val="1"/>
                <w:color w:val="auto"/>
                <w:vertAlign w:val="superscript"/>
              </w:rPr>
              <w:t>1</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Chronic GVHD: Phase 3</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(Steroids + anti-CSF-1R)</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05"/>
        </w:trPr>
        <w:tc>
          <w:tcPr>
            <w:tcW w:w="3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INCA33989</w:t>
            </w:r>
          </w:p>
        </w:tc>
        <w:tc>
          <w:tcPr>
            <w:tcW w:w="780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Myelofibrosis, essential thrombocythemia: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(mutCALR)</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05"/>
        </w:trPr>
        <w:tc>
          <w:tcPr>
            <w:tcW w:w="3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INCB160058</w:t>
            </w:r>
          </w:p>
        </w:tc>
        <w:tc>
          <w:tcPr>
            <w:tcW w:w="78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Myelofibrosis: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(JAK2V617Fi)</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Tafasitamab (MONJUVI/MINJUVI)</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Relapsed or refractory diffuse large B-cell lymphoma (DLBCL): Phase 3 (B-MIND)</w:t>
            </w:r>
          </w:p>
        </w:tc>
      </w:tr>
      <w:tr>
        <w:trPr>
          <w:trHeight w:val="21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(CD19)</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First-line DLBCL: Phase 3 (</w:t>
            </w:r>
            <w:r>
              <w:rPr>
                <w:rFonts w:ascii="Times New Roman" w:cs="Times New Roman" w:eastAsia="Times New Roman" w:hAnsi="Times New Roman"/>
                <w:sz w:val="18"/>
                <w:szCs w:val="18"/>
                <w:i w:val="1"/>
                <w:iCs w:val="1"/>
                <w:color w:val="auto"/>
              </w:rPr>
              <w:t>front</w:t>
            </w:r>
            <w:r>
              <w:rPr>
                <w:rFonts w:ascii="Times New Roman" w:cs="Times New Roman" w:eastAsia="Times New Roman" w:hAnsi="Times New Roman"/>
                <w:sz w:val="18"/>
                <w:szCs w:val="18"/>
                <w:color w:val="auto"/>
              </w:rPr>
              <w:t>MIND)</w:t>
            </w:r>
          </w:p>
        </w:tc>
      </w:tr>
      <w:tr>
        <w:trPr>
          <w:trHeight w:val="239"/>
        </w:trPr>
        <w:tc>
          <w:tcPr>
            <w:tcW w:w="34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Relapsed or refractory follicular lymphoma (FL): Phase 3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MIND)</w:t>
            </w:r>
          </w:p>
        </w:tc>
      </w:tr>
      <w:tr>
        <w:trPr>
          <w:trHeight w:val="218"/>
        </w:trPr>
        <w:tc>
          <w:tcPr>
            <w:tcW w:w="34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Retifanlimab (ZYNYZ)</w:t>
            </w:r>
            <w:r>
              <w:rPr>
                <w:rFonts w:ascii="Times New Roman" w:cs="Times New Roman" w:eastAsia="Times New Roman" w:hAnsi="Times New Roman"/>
                <w:sz w:val="22"/>
                <w:szCs w:val="22"/>
                <w:b w:val="1"/>
                <w:bCs w:val="1"/>
                <w:color w:val="auto"/>
                <w:vertAlign w:val="superscript"/>
              </w:rPr>
              <w:t>2</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Squamous cell anal cancer (SCAC): Phase 3 (POD1UM-303)</w:t>
            </w:r>
          </w:p>
        </w:tc>
      </w:tr>
      <w:tr>
        <w:trPr>
          <w:trHeight w:val="21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(PD-1)</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Non-small cell lung cancer (NSCLC): Phase 3 (POD1UM-304)</w:t>
            </w:r>
          </w:p>
        </w:tc>
      </w:tr>
      <w:tr>
        <w:trPr>
          <w:trHeight w:val="231"/>
        </w:trPr>
        <w:tc>
          <w:tcPr>
            <w:tcW w:w="3440" w:type="dxa"/>
            <w:vAlign w:val="bottom"/>
          </w:tcPr>
          <w:p>
            <w:pPr>
              <w:spacing w:after="0"/>
              <w:rPr>
                <w:sz w:val="20"/>
                <w:szCs w:val="20"/>
                <w:color w:val="auto"/>
              </w:rPr>
            </w:pP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MSI-high endometrial cancer: Phase 2 (POD1UM-101, POD1UM-204)</w:t>
            </w: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INCB123667</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Solid tumors with CCNE1 amplification/Cyclin E overexpression: Phase 1</w:t>
            </w:r>
          </w:p>
        </w:tc>
      </w:tr>
      <w:tr>
        <w:trPr>
          <w:trHeight w:val="239"/>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(CDK2i)</w:t>
            </w:r>
          </w:p>
        </w:tc>
        <w:tc>
          <w:tcPr>
            <w:tcW w:w="7800" w:type="dxa"/>
            <w:vAlign w:val="bottom"/>
            <w:tcBorders>
              <w:bottom w:val="single" w:sz="8" w:color="CCEEFF"/>
            </w:tcBorders>
            <w:shd w:val="clear" w:color="auto" w:fill="CCEEFF"/>
          </w:tcPr>
          <w:p>
            <w:pPr>
              <w:spacing w:after="0"/>
              <w:rPr>
                <w:sz w:val="20"/>
                <w:szCs w:val="20"/>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INCB161734</w:t>
            </w:r>
          </w:p>
        </w:tc>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Advanced metastatic solid tumors with a KRASG12D mutation: Phase 1</w:t>
            </w:r>
          </w:p>
        </w:tc>
      </w:tr>
      <w:tr>
        <w:trPr>
          <w:trHeight w:val="23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(KRASG12D)</w:t>
            </w:r>
          </w:p>
        </w:tc>
        <w:tc>
          <w:tcPr>
            <w:tcW w:w="7800" w:type="dxa"/>
            <w:vAlign w:val="bottom"/>
          </w:tcPr>
          <w:p>
            <w:pPr>
              <w:spacing w:after="0"/>
              <w:rPr>
                <w:sz w:val="20"/>
                <w:szCs w:val="20"/>
                <w:color w:val="auto"/>
              </w:rPr>
            </w:pPr>
          </w:p>
        </w:tc>
      </w:tr>
      <w:tr>
        <w:trPr>
          <w:trHeight w:val="25"/>
        </w:trPr>
        <w:tc>
          <w:tcPr>
            <w:tcW w:w="3440" w:type="dxa"/>
            <w:vAlign w:val="bottom"/>
          </w:tcPr>
          <w:p>
            <w:pPr>
              <w:spacing w:after="0"/>
              <w:rPr>
                <w:sz w:val="2"/>
                <w:szCs w:val="2"/>
                <w:color w:val="auto"/>
              </w:rPr>
            </w:pPr>
          </w:p>
        </w:tc>
        <w:tc>
          <w:tcPr>
            <w:tcW w:w="7800" w:type="dxa"/>
            <w:vAlign w:val="bottom"/>
          </w:tcPr>
          <w:p>
            <w:pPr>
              <w:spacing w:after="0"/>
              <w:rPr>
                <w:sz w:val="2"/>
                <w:szCs w:val="2"/>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INCA33890</w:t>
            </w:r>
          </w:p>
        </w:tc>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Advanced or metastatic solid tumors: Phase 1</w:t>
            </w:r>
          </w:p>
        </w:tc>
      </w:tr>
      <w:tr>
        <w:trPr>
          <w:trHeight w:val="262"/>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(TGFßR2×PD-1)</w:t>
            </w:r>
            <w:r>
              <w:rPr>
                <w:rFonts w:ascii="Times New Roman" w:cs="Times New Roman" w:eastAsia="Times New Roman" w:hAnsi="Times New Roman"/>
                <w:sz w:val="22"/>
                <w:szCs w:val="22"/>
                <w:b w:val="1"/>
                <w:bCs w:val="1"/>
                <w:color w:val="auto"/>
                <w:vertAlign w:val="superscript"/>
              </w:rPr>
              <w:t>3</w:t>
            </w:r>
          </w:p>
        </w:tc>
        <w:tc>
          <w:tcPr>
            <w:tcW w:w="7800" w:type="dxa"/>
            <w:vAlign w:val="bottom"/>
            <w:tcBorders>
              <w:bottom w:val="single" w:sz="8" w:color="auto"/>
            </w:tcBorders>
            <w:shd w:val="clear" w:color="auto" w:fill="CCEEFF"/>
          </w:tcPr>
          <w:p>
            <w:pPr>
              <w:spacing w:after="0"/>
              <w:rPr>
                <w:sz w:val="22"/>
                <w:szCs w:val="22"/>
                <w:color w:val="auto"/>
              </w:rPr>
            </w:pPr>
          </w:p>
        </w:tc>
      </w:tr>
    </w:tbl>
    <w:p>
      <w:pPr>
        <w:spacing w:after="0" w:line="74" w:lineRule="exact"/>
        <w:rPr>
          <w:sz w:val="20"/>
          <w:szCs w:val="20"/>
          <w:color w:val="auto"/>
        </w:rPr>
      </w:pPr>
    </w:p>
    <w:p>
      <w:pPr>
        <w:ind w:left="160" w:hanging="154"/>
        <w:spacing w:after="0"/>
        <w:tabs>
          <w:tab w:leader="none" w:pos="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Clinical development of axatilimab in GVHD conducted in collaboration with Syndax Pharmaceuticals.</w:t>
      </w:r>
    </w:p>
    <w:p>
      <w:pPr>
        <w:spacing w:after="0" w:line="24" w:lineRule="exact"/>
        <w:rPr>
          <w:rFonts w:ascii="Times New Roman" w:cs="Times New Roman" w:eastAsia="Times New Roman" w:hAnsi="Times New Roman"/>
          <w:sz w:val="14"/>
          <w:szCs w:val="14"/>
          <w:color w:val="auto"/>
        </w:rPr>
      </w:pPr>
    </w:p>
    <w:p>
      <w:pPr>
        <w:ind w:left="160" w:hanging="154"/>
        <w:spacing w:after="0" w:line="192" w:lineRule="auto"/>
        <w:tabs>
          <w:tab w:leader="none" w:pos="1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191" w:lineRule="auto"/>
        <w:tabs>
          <w:tab w:leader="none" w:pos="1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Development collaboration with Merus.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INCB161734 (KRAS G12D)</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A Phase 1 study evaluating INCB161734 (KRASG12D) was initiated in the first quarter of 2024. INCB161734 is a potent, selective and orally bioavailable KRAS G12D inhibitor and, as highlighted at AACR in April 2024, has shown excellent efficacy in several preclinical models. With no currently approved G12D-targeting agents, INCB161734 could address an important patient need as the KRASG12D mutation is found in 40% of pancreatic ductal adenocarcinoma, 15% of colorectal cancers, and 5% of non-small cell lung cancers. Data from the ongoing Phase 1 study is expected in 2025.</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r>
        <w:rPr>
          <w:rFonts w:ascii="Times New Roman" w:cs="Times New Roman" w:eastAsia="Times New Roman" w:hAnsi="Times New Roman"/>
          <w:sz w:val="22"/>
          <w:szCs w:val="22"/>
          <w:b w:val="1"/>
          <w:bCs w:val="1"/>
          <w:i w:val="1"/>
          <w:iCs w:val="1"/>
          <w:color w:val="auto"/>
          <w:vertAlign w:val="superscript"/>
        </w:rPr>
        <w:t>1</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INCA33890 is a TGFβR2xPD-1 bispecific antibody that has been engineered to avoid the known toxicity of broad TGFβ pathway blockade. INCA33890 has a 10-fold higher binding affinity for PD-1 relative to TGFβR2, and specifically blocks TGFβ signaling in cells co-expressing PD-1. In April 2023, we presented preclinical data at AACR that showed that INCA33890 inhibits tumor growth in PD-1-resistant mouse models. In July 2023, we initiated a Phase 1 study evaluating INCA33890 in patients with select advanced solid tumors. Data from the ongoing Phase 1 study is expected in 2025.</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INCB186748 (Next-generation KRAS G12D)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INCB186748 is a next-generation KRAS G12D inhibitor that demonstrated high potency, selectivity and oral bioavailability in preclinical studies.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INCB186748 is being evaluated in KRAS G12D mutant tumors.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 (IAI)</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Incyte Dermatology launched its first approved product, OPZELURA (ruxolitinib) cream, in October 2021, following FDA approval for atopic dermatitis in September 2021. OPZELURA subsequently was approved by the FDA and European Commission for vitiligo in July 2022 and April 2023, respectively.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IAI efforts also include numerous clinical development programs.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we announced that the FDA approved OPZELURA (ruxolitinib) cream, a novel cream formulation of Incyte’s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approval of OPZELURA was based on data from two randomized, double-blind, vehicle-controlled Phase 3 studies (TRuE-AD1 and TRuE-AD</w:t>
      </w:r>
    </w:p>
    <w:p>
      <w:pPr>
        <w:spacing w:after="0" w:line="36" w:lineRule="exact"/>
        <w:rPr>
          <w:sz w:val="20"/>
          <w:szCs w:val="20"/>
          <w:color w:val="auto"/>
        </w:rPr>
      </w:pPr>
    </w:p>
    <w:p>
      <w:pPr>
        <w:jc w:val="both"/>
        <w:ind w:firstLine="6"/>
        <w:spacing w:after="0" w:line="246" w:lineRule="auto"/>
        <w:tabs>
          <w:tab w:leader="none" w:pos="2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16827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5" w:lineRule="exact"/>
        <w:rPr>
          <w:sz w:val="20"/>
          <w:szCs w:val="20"/>
          <w:color w:val="auto"/>
        </w:rPr>
      </w:pPr>
    </w:p>
    <w:p>
      <w:pPr>
        <w:ind w:left="100" w:hanging="94"/>
        <w:spacing w:after="0"/>
        <w:tabs>
          <w:tab w:leader="none" w:pos="1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collaboration with Merus.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we announced that the FDA approved OPZELURA for the topical treatment of nonsegmental vitiligo in adult and pediatric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12 years of age and older. OPZELURA was approved for continuous use and no limits to duration as a treatment for nonsegmental vitiligo.</w:t>
      </w:r>
    </w:p>
    <w:p>
      <w:pPr>
        <w:spacing w:after="0" w:line="16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Vitiligo is a chronic autoimmune depigmenting skin disease characterized by patches of the skin losing their pigment. OPZELURA is the first and only FDA approved treatment for repigmentation of vitiligo lesions.</w:t>
      </w:r>
    </w:p>
    <w:p>
      <w:pPr>
        <w:spacing w:after="0" w:line="163"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approval of OPZELURA in vitiligo was based on two randomized, double-blind, vehicle-controlled Phase 3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long-term 104-week safety and efficacy data for ruxolitinib cream in vitiligo were presented at the American Academy of Dermatology (AAD) conference,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9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April 2023, we announced that the European Commission had approved OPZELURA for the topical treatment of nonsegmental vitiligo with facial involvement in adults and adolescents 12 years and older following a positive opinion from the CHMP.</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October 2023, new results of a pooled analysis of long-term extension (LTE) data from the pivotal Phase 3 TRuE-V program assessing OPZELURA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that patients who initially experienced limited or no facial or total body repigmentation at six months achieved improved repigmentation after continued treatment with OPZELURA for up to two years.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October 2024, OPZELURA cream 1.5% was granted a Notice of Compliance by Health Canada for the topical treatment of both mild to moderate atopic dermatitis and nonsegmental vitiligo in patients 12 years of age and older.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1"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Ruxolitinib cream is a potent, selective inhibitor of JAK1 and JAK2 that provides the opportunity to directly target diverse pathogenic pathways that underlie certain dermatologic conditions, including AD, vitiligo, lichen planus, lichen sclerosus, hidradenitis suppurativa (HS) and prurigo nodularis (PN).</w:t>
      </w:r>
    </w:p>
    <w:p>
      <w:pPr>
        <w:spacing w:after="0" w:line="14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2022, we initiated two Phase 2 trials evaluating ruxolitinib cream in lichen planus and lichen sclerosus. Lichen planus is a recurrent inflammatory condition affecting the skin and mucosal surfaces and can result in itchy, purple bumps on the skin. Two Phase 3 trials evaluating ruxolitinib cream in prurigo nodularis were initiated in 2023. We continue to expand the development of ruxolitinib cream into new indications as part of our efforts to maximize the potential opportunity with ruxolitinib cream.</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In July 2023, we announced that the Phase 3 trial (TRuE-AD3) evaluating ruxolitinib cream in pediatric AD patients (age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and &lt;12) had met its primary endpoint. The study showed that significantly more patients treated with ruxolitinib cream 0.75% and 1.5% achieved Investigator's Global Assessment Treatment Success (IGA-TS) than patients treated with vehicle control. In October 2023, the expanded results from the pivotal Phase 3 TRuE-AD3 were presented at EADV. Again, significantly more patients treated with ruxolitinib cream (0.75% and 1.5%) achieved Investigator’s Global Assessment Treatment Success (IGA-TS) than patients treated with vehicle control (non-medicated cream).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January 2024, we announced positive topline results from a randomized controlled Phase 2 study evaluating ruxolitinib cream in HS. Ruxolitinib 1.5% cream BID met the primary efficacy endpoint as measured by a change from baseline in abscess and nodule count at Week 16 versus placebo in patients with mild to moderate HS. Ruxolitinib cream was well tolerated and consistent with its known safety profile. A Phase 3 study is expected to initiate in 2025.</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October 2024, we disclosed results from the Phase 2 study of ruxolitinib cream in patients with cutaneous lichen planus. At this time, we do not plan to advance ruxolitinib cream into a registrational study for lichen planus and plan to publish the results of this study in the future. Additionally, the Phase 2 study evaluating ruxolitinib cream for lichen sclerosus did not meet our internal bar for success and at this time, we are not planning to advance this indication into a registrational study.</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October 2024, we announced the Phase 3 trial for ruxolitinib cream in mild to moderate HS is on track to initiate in the first half of 2025 following achieving alignment on the study design with the FDA.</w:t>
      </w:r>
    </w:p>
    <w:p>
      <w:pPr>
        <w:spacing w:after="0" w:line="163"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March 2025, results from two Phase 3 studies (TRuE-PN1 and TRuE-PN2) evaluating ruxolitinib cream in patients with prurigo nodularis were presented in a late-breaking oral session at the American Academy of Dermatology annual meeting. The TRuE-PN1 study met the primary endpoint of a &gt; 4-point improvement from baseline in Worst-Itch Numeric Rating Scale (WI-NRS4) at Week 12 and all key secondary endpoints. The TRuE-PN2 study did not reach statistical significance for the primary endpoint, resulting in the key secondary endpoints with nominal p-values. These key secondary endpoints still demonstrate positive trends for ruxolitinib cream 1.5% versus vehicle. These data will inform planned discussions with regulatory authorities on submission.</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also are developing povorcitinib, which is an oral small molecule selective JAK1 inhibitor. Povorcitinib is undergoing evaluation in patients with hidradenitis suppurativa, nonsegmental vitiligo, prurigo nodularis, asthma and chronic spontaneous urticaria (CSU).</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HS is a chronic skin condition where lesions develop as a result of inflammation and infection of the sweat glands.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2020, initial results from the clinical program were presented and a randomized Phase 2b trial of povorcitinib was initiated in patients with HS. In August 2022, we presented positive results from the Phase 2 trial of povorcitinib in HS. In December 2022, we initiated two Phase 3 trials (STOP-HS1 and STOP-HS2) in moderate to severe HS.</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February 2023, 52-week results from the Phase 2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that importantly, 22-29% of patients achieved HiSCR100, which is defined as a 100% reduction from baseline in total AN count with no increase from baseline in abscess or draining tunnel count.</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March 2025, positive results from two Phase 3 studies (STOP-HS1 and STOP-HS2) evaluating povorcitinib in patients with HS were presented and demonstrated that both studies met their primary endpoint of Hidradenitis Suppurativa Clinical Response (HiSCR) at Week 12 and at both tested doses (45mg and 75mg). In addition, at Week 12, patients treated with povorcitinib achieved deep levels of clinical response with a greater proportion achieving HiSCR75, reduction in flares, &gt;3-point decrease in the Skin Pain NRS score and Skin Pain NRS30. Furthermore, povorcitinib demonstrated rapid onset of response, including rapid skin pain reduction. These data support the planned regulatory submission of povorcitinib for the treatment of HS worldwide.</w:t>
      </w:r>
    </w:p>
    <w:p>
      <w:pPr>
        <w:spacing w:after="0" w:line="183"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2023, 36-week results from the Phase 2b study evaluating povorcitinib in patients with extensive nonsegmental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October 2023, positive 52-week data from a Phase 2b clinical trial evaluating the safety and efficacy of povorcitinib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w:t>
      </w:r>
    </w:p>
    <w:p>
      <w:pPr>
        <w:spacing w:after="0" w:line="17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and safety of povorcitinib in participants with PN had met its primary endpoint. In October 2024, following the positive Phase 2 results, two Phase 3 studies in patients with PN were initiated.</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Asthma and Chronic Spontaneous Urticaria. </w:t>
      </w:r>
      <w:r>
        <w:rPr>
          <w:rFonts w:ascii="Times New Roman" w:cs="Times New Roman" w:eastAsia="Times New Roman" w:hAnsi="Times New Roman"/>
          <w:sz w:val="18"/>
          <w:szCs w:val="18"/>
          <w:color w:val="auto"/>
        </w:rPr>
        <w:t>In July 2023, we initiated two Phase 2 trials evaluating povorcitinib in patients with moderate to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uncontrolled asthma and in chronic spontaneous urticaria. Data for CSU are anticipated in the first half of 2025 and data in asthma are anticipated in the second half of 2025.</w:t>
      </w:r>
    </w:p>
    <w:p>
      <w:pPr>
        <w:spacing w:after="0" w:line="17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2025, we announced positive topline results from the Phase 2 study evaluating povorcitinib in patients with chronic spontaneous urticaria. The study met the primary endpoint at Week 12 of change from baseline in the Urticaria Activity Score summed over 7 days (UAS7). Povorcitinib was well tolerated with no new safety signals observed. These data will support planned discussions with regulatory agencies and will be presented at an upcoming medical conference.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INCB000262 (MRGPRX2) &amp; INCB000547 (MRGPRX4)</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As more fully described in Note 6 of Notes to the Condensed Consolidated Financial Statements, in May 2024, we acquired Escient Pharmaceuticals, Inc. Escient is a clinical-stage drug discovery and development company advancing novel small molecule therapeutics for systemic immune and neuro-immune disorders. Escient’s clinical development portfolio includes INCB000262, a potent, highly selective, once-daily small molecule antagonist of Mas-related G protein-coupled receptor (MRGPRX2) and INCB000547, an oral MRGPRX4 antagonist.</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November 2024, we announced that enrollment was paused in the ongoing Phase 2 study of MRGPRX2 (INCB000262) in CSU. The decision was made following the observation of certain in vivo preclinical toxicology findings. These data have been shared with the FDA and at this time, we have no intention to enroll additional patients. Enrollment in the other INCB000262 proof-of-concept studies in chronic inducible urticaria and AD is complete.</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November 2024, we announced that data from the Phase 2 study evaluating MRGPRX4 (INCB000547) in cholestatic pruritus did not support further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IAI and Dermatology Programs</w:t>
            </w:r>
          </w:p>
        </w:tc>
        <w:tc>
          <w:tcPr>
            <w:tcW w:w="8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7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cream (OPZELURA)</w:t>
            </w:r>
            <w:r>
              <w:rPr>
                <w:rFonts w:ascii="Times New Roman" w:cs="Times New Roman" w:eastAsia="Times New Roman" w:hAnsi="Times New Roman"/>
                <w:sz w:val="22"/>
                <w:szCs w:val="22"/>
                <w:b w:val="1"/>
                <w:bCs w:val="1"/>
                <w:color w:val="auto"/>
                <w:vertAlign w:val="superscript"/>
              </w:rPr>
              <w:t>1</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Atopic dermatitis: Phase 3 pediatric study (TRuE-AD3)</w:t>
            </w:r>
          </w:p>
        </w:tc>
      </w:tr>
      <w:tr>
        <w:trPr>
          <w:trHeight w:val="21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2; Phase 3 expected to initiate in 2025</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Prurigo nodularis: Phase 3 (TRuE-PN1, TRuE-PN2)</w:t>
            </w:r>
          </w:p>
        </w:tc>
      </w:tr>
      <w:tr>
        <w:trPr>
          <w:trHeight w:val="21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Povorcitinib</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Hidradenitis suppurativa: Phase 3 (STOP-HS1, STOP-HS2)</w:t>
            </w:r>
          </w:p>
        </w:tc>
      </w:tr>
      <w:tr>
        <w:trPr>
          <w:trHeight w:val="21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Vitiligo: Phase 3 (STOP-V1, STOP-V2)</w:t>
            </w:r>
          </w:p>
        </w:tc>
      </w:tr>
      <w:tr>
        <w:trPr>
          <w:trHeight w:val="212"/>
        </w:trPr>
        <w:tc>
          <w:tcPr>
            <w:tcW w:w="2720" w:type="dxa"/>
            <w:vAlign w:val="bottom"/>
          </w:tcPr>
          <w:p>
            <w:pPr>
              <w:spacing w:after="0"/>
              <w:rPr>
                <w:sz w:val="18"/>
                <w:szCs w:val="18"/>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Prurigo nodularis: Phase 3 (STOP-PN1, STOP-PN2)</w:t>
            </w:r>
          </w:p>
        </w:tc>
      </w:tr>
      <w:tr>
        <w:trPr>
          <w:trHeight w:val="212"/>
        </w:trPr>
        <w:tc>
          <w:tcPr>
            <w:tcW w:w="2720" w:type="dxa"/>
            <w:vAlign w:val="bottom"/>
          </w:tcPr>
          <w:p>
            <w:pPr>
              <w:spacing w:after="0"/>
              <w:rPr>
                <w:sz w:val="18"/>
                <w:szCs w:val="18"/>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31"/>
        </w:trPr>
        <w:tc>
          <w:tcPr>
            <w:tcW w:w="2720" w:type="dxa"/>
            <w:vAlign w:val="bottom"/>
          </w:tcPr>
          <w:p>
            <w:pPr>
              <w:spacing w:after="0"/>
              <w:rPr>
                <w:sz w:val="20"/>
                <w:szCs w:val="20"/>
                <w:color w:val="auto"/>
              </w:rPr>
            </w:pPr>
          </w:p>
        </w:tc>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Asthma: Phase 2</w:t>
            </w:r>
          </w:p>
        </w:tc>
      </w:tr>
      <w:tr>
        <w:trPr>
          <w:trHeight w:val="25"/>
        </w:trPr>
        <w:tc>
          <w:tcPr>
            <w:tcW w:w="272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INCA034460</w:t>
            </w:r>
          </w:p>
        </w:tc>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Vitiligo: Phase 1</w:t>
            </w:r>
          </w:p>
        </w:tc>
      </w:tr>
      <w:tr>
        <w:trPr>
          <w:trHeight w:val="23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(anti-CD122)</w:t>
            </w:r>
          </w:p>
        </w:tc>
        <w:tc>
          <w:tcPr>
            <w:tcW w:w="8520" w:type="dxa"/>
            <w:vAlign w:val="bottom"/>
            <w:tcBorders>
              <w:bottom w:val="single" w:sz="8" w:color="CCEEFF"/>
            </w:tcBorders>
            <w:shd w:val="clear" w:color="auto" w:fill="CCEEFF"/>
          </w:tcPr>
          <w:p>
            <w:pPr>
              <w:spacing w:after="0"/>
              <w:rPr>
                <w:sz w:val="20"/>
                <w:szCs w:val="20"/>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852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ind w:firstLine="6"/>
        <w:spacing w:after="0" w:line="225" w:lineRule="auto"/>
        <w:tabs>
          <w:tab w:leader="none" w:pos="15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INCA034460 (anti-CD122)</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(TRM) that has demonstrated efficacy as a treatment for vitiligo in preclinical models. In July 2023, INCA034460 received Investigational New Drug application (IND) clearance and in October 2023, we announced the first patient had been dosed.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Clinical Programs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Clinical Program</w:t>
            </w:r>
          </w:p>
        </w:tc>
        <w:tc>
          <w:tcPr>
            <w:tcW w:w="8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5"/>
        </w:trPr>
        <w:tc>
          <w:tcPr>
            <w:tcW w:w="23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Zilurgisertib</w:t>
            </w:r>
          </w:p>
        </w:tc>
        <w:tc>
          <w:tcPr>
            <w:tcW w:w="8900" w:type="dxa"/>
            <w:vAlign w:val="bottom"/>
            <w:shd w:val="clear" w:color="auto" w:fill="CCEEFF"/>
          </w:tcPr>
          <w:p>
            <w:pPr>
              <w:ind w:left="520"/>
              <w:spacing w:after="0" w:line="185" w:lineRule="exact"/>
              <w:rPr>
                <w:sz w:val="20"/>
                <w:szCs w:val="20"/>
                <w:color w:val="auto"/>
              </w:rPr>
            </w:pPr>
            <w:r>
              <w:rPr>
                <w:rFonts w:ascii="Times New Roman" w:cs="Times New Roman" w:eastAsia="Times New Roman" w:hAnsi="Times New Roman"/>
                <w:sz w:val="18"/>
                <w:szCs w:val="18"/>
                <w:color w:val="auto"/>
              </w:rPr>
              <w:t>Fibrodysplasia ossificans progressiva: Pivotal Phase 2</w:t>
            </w:r>
          </w:p>
        </w:tc>
      </w:tr>
      <w:tr>
        <w:trPr>
          <w:trHeight w:val="225"/>
        </w:trPr>
        <w:tc>
          <w:tcPr>
            <w:tcW w:w="2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(ALK2)</w:t>
            </w:r>
          </w:p>
        </w:tc>
        <w:tc>
          <w:tcPr>
            <w:tcW w:w="8900" w:type="dxa"/>
            <w:vAlign w:val="bottom"/>
            <w:tcBorders>
              <w:bottom w:val="single" w:sz="8" w:color="auto"/>
            </w:tcBorders>
            <w:shd w:val="clear" w:color="auto" w:fill="CCEEFF"/>
          </w:tcPr>
          <w:p>
            <w:pPr>
              <w:spacing w:after="0"/>
              <w:rPr>
                <w:sz w:val="19"/>
                <w:szCs w:val="19"/>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6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 immune mechanisms that lead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and swelling and, in some patients, the progressive destruction of joints. Rheumatoid arthritis also can affect connective tissue in the skin and organs of the body.</w:t>
      </w:r>
    </w:p>
    <w:p>
      <w:pPr>
        <w:spacing w:after="0" w:line="17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safe and effective treatment options for these patients. Rheumatoid arthritis is estimated to affect about 1% of the world’s population.</w:t>
      </w:r>
    </w:p>
    <w:p>
      <w:pPr>
        <w:spacing w:after="0" w:line="18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 Phase 3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3 trials met their respective primary endpoints.</w:t>
      </w:r>
    </w:p>
    <w:p>
      <w:pPr>
        <w:spacing w:after="0" w:line="159"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 Marketing Authorization Application to the European Medicines Agency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2a trial and a Phase 3 program to evaluate the safety and efficacy of baricitinib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5"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7"/>
          <w:szCs w:val="17"/>
          <w:color w:val="auto"/>
        </w:rPr>
        <w:t>In February 2019, we and Lilly announced that baricitinib met the primary endpoint in BREEZE-AD1 and BREEZE-AD2, two Phase 3 studies evaluating the efficacy and safety of baricitinib monotherapy for the treatment of adult patients with moderate-to-severe AD and, in August 2019, we and Lilly announced that baricitinib met the primary endpoint in BREEZE-AD7, a Phase 3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 causing hair loss in patches.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2020, Lilly announced that baricitinib received Breakthrough Therapy designation for the treatment of alopecia areata, based on the positive Phase 2 results of Lilly’s adaptive Phase 2/3 study BRAVE-AA1. In March 2021, we and Lilly announced positive results from BRAVE-AA2, the Phase 3 trial evaluating the efficacy and safety of once-daily baricitinib in adults with severe alopecia areata. In April 2021, we and Lilly announced positive results from the Phase 3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 In addition to affecting the skin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joints, it can affect other organs in the body such as the kidneys, the tissue lining the lungs and heart, and the brain. Lilly has conducted a Phase 2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8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January 2022, Lilly announced the discontinuation of the Phase 3 development program for baricitinib in SLE based on top-line efficacy results from two pivotal Phase 3 trials (SLE-BRAVE-I and –II). The primary endpoint of SRI-4 response was reached in SLE-BRAVE-I but was not reached in SLE-BRAVE-II and key secondary endpoints were not met in either study.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COVID-19. </w:t>
      </w:r>
      <w:r>
        <w:rPr>
          <w:rFonts w:ascii="Times New Roman" w:cs="Times New Roman" w:eastAsia="Times New Roman" w:hAnsi="Times New Roman"/>
          <w:sz w:val="17"/>
          <w:szCs w:val="17"/>
          <w:color w:val="auto"/>
        </w:rPr>
        <w:t>In May 2020, we amended our agreement with Lilly to enable Lilly to commercialize baricitinib for the treatment of COVID-19.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6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2 GEOMETRY mono-1 study showing an overall response rate (ORR) of 51.6% in a cohort evaluating second-line patients only and 44% in all previously-treated patients with advanced NSCLC harboring alterations leading to MET exon 14 skipping.</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June 2022, we and Novartis announced the European Commission approval of capmatinib as TABRECTA as monotherapy treatment of adults with advanced NSCLC harboring alterations leading to mesenchymal-epithelial-transition factor gene (MET) exon 14 (METex14) skipping who require systemic therapy following prior treatment with immunotherapy and/or platinum-based chemotherapy.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1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March 2022, we and Novartis announced a positive opinion from the CHMP for ruxolitinib in acute and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GVHD, based on data from the Phase 3 REACH2 and REACH3 trials. GVHD is a life-threatening complication of stem cell transplants, with no established standard of care in Europe for patients who do not adequately respond to first-line steroid treatment. In May 2022, we and Novartis announced the European Commission approval of ruxolitinib as JAKAVI for the treatment of acute or chronic GVHD in patients aged 12 years and older who have inadequate response to corticosteroids or other systemic therapies. In August 2023, Novartis announced that JAKAVI had been approved in Japan for use in graft-versus-host disease after hematopoietic stem cell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Partnered Programs</w:t>
            </w:r>
          </w:p>
        </w:tc>
        <w:tc>
          <w:tcPr>
            <w:tcW w:w="8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Ruxolitinib (JAKAVI)</w:t>
            </w:r>
            <w:r>
              <w:rPr>
                <w:rFonts w:ascii="Times New Roman" w:cs="Times New Roman" w:eastAsia="Times New Roman" w:hAnsi="Times New Roman"/>
                <w:sz w:val="22"/>
                <w:szCs w:val="22"/>
                <w:b w:val="1"/>
                <w:bCs w:val="1"/>
                <w:color w:val="auto"/>
                <w:vertAlign w:val="superscript"/>
              </w:rPr>
              <w:t>1</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Acute and chronic GVHD: Approved in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18"/>
        </w:trPr>
        <w:tc>
          <w:tcPr>
            <w:tcW w:w="23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Baricitinib (OLUMIANT)</w:t>
            </w:r>
            <w:r>
              <w:rPr>
                <w:rFonts w:ascii="Times New Roman" w:cs="Times New Roman" w:eastAsia="Times New Roman" w:hAnsi="Times New Roman"/>
                <w:sz w:val="22"/>
                <w:szCs w:val="22"/>
                <w:b w:val="1"/>
                <w:bCs w:val="1"/>
                <w:color w:val="auto"/>
                <w:vertAlign w:val="superscript"/>
              </w:rPr>
              <w:t>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 Approved in Europe and Japan</w:t>
            </w:r>
          </w:p>
        </w:tc>
      </w:tr>
      <w:tr>
        <w:trPr>
          <w:trHeight w:val="21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Severe alopecia areata (AA): Approved in the U.S., Europe and Japan</w:t>
            </w:r>
          </w:p>
        </w:tc>
      </w:tr>
      <w:tr>
        <w:trPr>
          <w:trHeight w:val="231"/>
        </w:trPr>
        <w:tc>
          <w:tcPr>
            <w:tcW w:w="2360" w:type="dxa"/>
            <w:vAlign w:val="bottom"/>
          </w:tcPr>
          <w:p>
            <w:pPr>
              <w:spacing w:after="0"/>
              <w:rPr>
                <w:sz w:val="20"/>
                <w:szCs w:val="20"/>
                <w:color w:val="auto"/>
              </w:rPr>
            </w:pPr>
          </w:p>
        </w:tc>
        <w:tc>
          <w:tcPr>
            <w:tcW w:w="8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 Approved in the U.S., Europe and Japan</w:t>
            </w:r>
          </w:p>
        </w:tc>
      </w:tr>
      <w:tr>
        <w:trPr>
          <w:trHeight w:val="25"/>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18"/>
        </w:trPr>
        <w:tc>
          <w:tcPr>
            <w:tcW w:w="23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Capmatinib (TABRECTA)</w:t>
            </w:r>
            <w:r>
              <w:rPr>
                <w:rFonts w:ascii="Times New Roman" w:cs="Times New Roman" w:eastAsia="Times New Roman" w:hAnsi="Times New Roman"/>
                <w:sz w:val="22"/>
                <w:szCs w:val="22"/>
                <w:b w:val="1"/>
                <w:bCs w:val="1"/>
                <w:color w:val="auto"/>
                <w:vertAlign w:val="superscript"/>
              </w:rPr>
              <w:t>3</w:t>
            </w:r>
          </w:p>
        </w:tc>
        <w:tc>
          <w:tcPr>
            <w:tcW w:w="8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NSCLC (with MET exon 14 skipping mutations): Approved in the U.S., Europe and Japan</w:t>
            </w:r>
          </w:p>
        </w:tc>
      </w:tr>
      <w:tr>
        <w:trPr>
          <w:trHeight w:val="23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w:t>
            </w:r>
          </w:p>
        </w:tc>
        <w:tc>
          <w:tcPr>
            <w:tcW w:w="8880" w:type="dxa"/>
            <w:vAlign w:val="bottom"/>
            <w:tcBorders>
              <w:bottom w:val="single" w:sz="8" w:color="CCEEFF"/>
            </w:tcBorders>
            <w:shd w:val="clear" w:color="auto" w:fill="CCEEFF"/>
          </w:tcPr>
          <w:p>
            <w:pPr>
              <w:spacing w:after="0"/>
              <w:rPr>
                <w:sz w:val="20"/>
                <w:szCs w:val="20"/>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888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Ruxolitinib (JAKAVI) licensed to Novartis outside of the United States for use in hematology and oncology excluding topical administration.</w:t>
      </w:r>
    </w:p>
    <w:p>
      <w:pPr>
        <w:ind w:left="140" w:hanging="134"/>
        <w:spacing w:after="0" w:line="201" w:lineRule="auto"/>
        <w:tabs>
          <w:tab w:leader="none" w:pos="1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Baricitinib (OLUMIANT) licensed to Lilly.</w:t>
      </w:r>
    </w:p>
    <w:p>
      <w:pPr>
        <w:spacing w:after="0" w:line="1" w:lineRule="exact"/>
        <w:rPr>
          <w:rFonts w:ascii="Times New Roman" w:cs="Times New Roman" w:eastAsia="Times New Roman" w:hAnsi="Times New Roman"/>
          <w:sz w:val="23"/>
          <w:szCs w:val="23"/>
          <w:color w:val="auto"/>
          <w:vertAlign w:val="superscript"/>
        </w:rPr>
      </w:pPr>
    </w:p>
    <w:p>
      <w:pPr>
        <w:ind w:left="140" w:hanging="134"/>
        <w:spacing w:after="0" w:line="191" w:lineRule="auto"/>
        <w:tabs>
          <w:tab w:leader="none" w:pos="1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Capmatinib (TABRECTA) licensed to Novartis.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5 and Note 7 of Notes to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ten independent programs.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NIKTIMVO (axatilimab-csfr), Syndax’s anti-CSF-1R monoclonal antibody. Under the terms of this agreement, we received exclusive commercialization rights to axatilimab outside of the United States, and co-commercialization rights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“Item 7. Management’s Discussion and Analysis of Financial Condition and Results of Operations” in our Annual Report on Form 10-K for the year ended December 31, 2024. There have been no significant changes to our critical accounting policies or estimates during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and are applicable for disclosures in our Annual Report on Form 10-K beginning with the year ending December 31, 2025. We are currently evaluating the impact that ASU No. 2023-09 will have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condensed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recorded net income of $158.2 million and basic net income per share of $0.82 and diluted net income per share of $0.80 for the three months</w:t>
      </w:r>
    </w:p>
    <w:p>
      <w:pPr>
        <w:spacing w:after="0" w:line="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ended March 31, 2025, as compared to net income of $169.5 million and basic net income per share of $0.76 and diluted net income per share of $0.75 in the corresponding period in 2024.</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8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NIKTIMVO revenues, net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 royalty revenues</w:t>
            </w:r>
          </w:p>
        </w:tc>
        <w:tc>
          <w:tcPr>
            <w:tcW w:w="8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8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6"/>
        </w:trPr>
        <w:tc>
          <w:tcPr>
            <w:tcW w:w="8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The increase in JAKAFI product revenues for the three months ended March 31, 2025 as compared to the corresponding period in 2024 was comprised of a volume increase of $98.7 million and a price increase of $38.9 million. The increase was primarily driven by an increase in paid demand of 10% reflecting continued demand growth in all indications, the positive impact of the Part D redesign under the Inflation Reduction Act, and 7% favorable impact from less de-stocking compared to the first quarter of 2024. JAKAFI inventory levels were within normal range at the end of the first quarter of 2025.</w:t>
      </w:r>
    </w:p>
    <w:p>
      <w:pPr>
        <w:spacing w:after="0" w:line="16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increase in OPZELURA net product revenues for the three months ended March 31, 2025 as compared to the corresponding period in 2024 was primarily due to continued growth in new patient starts and refills in the U.S. with U.S. prescription paid demand up 24% compared to the first quarter of 2024. Additionally, $23.5 million of net product revenues during the first quarter of 2025 were from outside of the U.S., driven by continued uptake in Germany and France, as well as growth from the recent launches in Italy and Spain. The increases were partially offset by a reduction in channel inventory. OPZELURA inventory levels were within normal range at the end of the first quarter of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increase in MINJUVI/MONJUVI net product revenues for the three months ended March 31, 2025 was as a result of the first quarter of 2025 reflecting three months of net product revenues in the U.S., compared to two months of net product revenue in the first quarter of 2024 due to the acquisition of U.S. rights to MONJUVI, which closed in February 2024. Refer to Note 6 of Notes to the Condensed Consolidated Financial Statements for further information related to the acquisition.</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NIKTIMVO net product revenues for the three months ended March 31, 2025 was driven by the commercial launch of the product during the first quarter of 2025.</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Commercial &amp;</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Co-Pay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446,301</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454,455</w:t>
            </w:r>
          </w:p>
        </w:tc>
        <w:tc>
          <w:tcPr>
            <w:tcW w:w="0" w:type="dxa"/>
            <w:vAlign w:val="bottom"/>
          </w:tcPr>
          <w:p>
            <w:pPr>
              <w:spacing w:after="0"/>
              <w:rPr>
                <w:sz w:val="1"/>
                <w:szCs w:val="1"/>
                <w:color w:val="auto"/>
              </w:rPr>
            </w:pPr>
          </w:p>
        </w:tc>
      </w:tr>
      <w:tr>
        <w:trPr>
          <w:trHeight w:val="258"/>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(270,169)</w:t>
            </w:r>
          </w:p>
        </w:tc>
        <w:tc>
          <w:tcPr>
            <w:tcW w:w="0" w:type="dxa"/>
            <w:vAlign w:val="bottom"/>
          </w:tcPr>
          <w:p>
            <w:pPr>
              <w:spacing w:after="0"/>
              <w:rPr>
                <w:sz w:val="1"/>
                <w:szCs w:val="1"/>
                <w:color w:val="auto"/>
              </w:rPr>
            </w:pPr>
          </w:p>
        </w:tc>
      </w:tr>
      <w:tr>
        <w:trPr>
          <w:trHeight w:val="252"/>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(118,487)</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(147,360)</w:t>
            </w:r>
          </w:p>
        </w:tc>
        <w:tc>
          <w:tcPr>
            <w:tcW w:w="0" w:type="dxa"/>
            <w:vAlign w:val="bottom"/>
          </w:tcPr>
          <w:p>
            <w:pPr>
              <w:spacing w:after="0"/>
              <w:rPr>
                <w:sz w:val="1"/>
                <w:szCs w:val="1"/>
                <w:color w:val="auto"/>
              </w:rPr>
            </w:pPr>
          </w:p>
        </w:tc>
      </w:tr>
      <w:tr>
        <w:trPr>
          <w:trHeight w:val="25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29,381</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406,877</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474,583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U.S. government rebates and chargebacks are the most significant component of our sales allowances. Increases in certain U.S.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March 31, 2025, we have accrued approximately $145.4 million within accrued and other current liabilities on the condensed consolidated balance sheet, relating to the incremental rebates that would be owed were OPZELURA considered a line extension of JAKAFI. The impact on OPZELURA gross to net deductions for the quarter ending March 31, 2025 is approximately 7.3%.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volume of purchases eligible for government mandated discounts and rebates as well as changes in discount percentages which are impacted by potential future price increases, rate of inflation, and other factors.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milestone and contract revenues for the three months ended March 31, 2024, was derived from a $25.0 million upfront payment received during the first quarter of 2024 upon our transfer of functional intellectual property to CMSHL.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6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8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10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reserves for obsolescence, employee personnel costs, including stock compensation, for those employees dedicated to the production of our commercial products, royalties under our collaborative agreements and amortization of our licensed intellectual property rights for ICLUSIG and the amortization of capitalized milestone payments. The increase in cost of product revenues for the three months ended March 31, 2025 as compared to the same periods in 2024 was primarily due to increased royalty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8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The increase in salary and benefits related expense for the three months ended March 31, 2025 as compared to the corresponding period in 2024 was due primarily to increased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increase in clinical research and outside services expense for the three months ended March 31, 2025 as compared to the corresponding period in 2024, was primarily due to continued investment in our late stage development assets and timing of certain expenses. Research and development expenses include upfront and milestone expenses related to our collaborative agreements of $15.5 million and $1.0 million, respectively, for the three months ended March 31, 2025 and 2024. Research and development expenses for the three months ended March 31, 2025 and 2024 were net of approximately $2.6 million and $17.1 million, respectively, of costs reimbursed by our collaborative partners.</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7"/>
        </w:trPr>
        <w:tc>
          <w:tcPr>
            <w:tcW w:w="8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r>
      <w:tr>
        <w:trPr>
          <w:trHeight w:val="24"/>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51"/>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94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increase in salary and benefits related expense for the three months ended March 31, 2025 as compared to the corresponding period in 2024 was due primarily to increased headcount.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three months ended March 31, 2025, as compared to the corresponding period in 2024, was primarily due to the timing of consumer marketing activities and of certain other expenses.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(gain) on change in fair value of acquisition-related contingent consideration</w:t>
      </w:r>
    </w:p>
    <w:p>
      <w:pPr>
        <w:spacing w:after="0" w:line="21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change in fair value of the acquisition-related contingent consideration for the three months ended March 31, 2025 and 2024 was a loss of $11.6 million and gain of $0.5 million, respectively, which is recorded in loss (gain) on change in fair value of acquisition-related contingent consideration on the condensed consolidated statements of operations. The change in fair value of the contingent consideration during the three months ended March 31, 2025 and 2024 was due primarily to fluctuations in foreign currency exchange rates impacting future revenue projections of ICLUSIG and the passage of time.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Profit sharing from co-commercialization activities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the former collaboration and license agreement with MorphoSys, which was executed in March 2020 and continued through February 5, 2024 as described further in Note 6 of Notes to the Condensed Consolidated Financial Statements, we and MorphoSys were both responsible for the commercialization efforts of tafasitamab in the United States and shared equally the profits and losses from the co-commercialization efforts. For the period from January 1, 2024 through February 5, 2024, our 50% share of the profits for tafasitamab was $1.0 million, as recorded in (Profit) and loss sharing under collaboration agreements on the condensed consolidated statement of operations.</w:t>
      </w:r>
    </w:p>
    <w:p>
      <w:pPr>
        <w:spacing w:after="0" w:line="1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Under the collaboration agreement with Syndax, as described further in Note 8 of the Notes to the Condensed Consolidated Financial Statements, we and Syndax are both responsible for the co-commercialization of axatilimab in the United States and share equally in the profits and losses from those efforts. We are the principal in the U.S. axatilimab co-commercialization efforts and record 100% of all product revenues and associated costs in accordance with our profit sharing from co-commercialization activities accounting policy outlined in our Annual Report on Form 10-K for the year ended December 31, 2024. For the three months ended March 31, 2025, we recorded $13.6 million of revenues from sales of axatilimab and a nominal loss from co-commercialization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Interest income for the three months ended March 31, 2025 and 2024 was $22.9 million and $46.8 million, respectively. The decrease in Interest income for the three months ended March 31, 2025 primarily relates to a decrease in interest earned on our cash equivalents and marketable securities generally due to lower cash equivalent and marketable securities balance in first quarter of 2025 as compared to the corresponding period in 2024.</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(Loss) gain on equity investments</w:t>
      </w:r>
    </w:p>
    <w:p>
      <w:pPr>
        <w:spacing w:after="0" w:line="219"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Losses and gains on equity investments will fluctuate from period to period, based on sales of securities and the change in fair value of the securities we hold in our publicly held collaboration partners. The following table provides a summary of those (losses) gains:</w:t>
      </w:r>
    </w:p>
    <w:p>
      <w:pPr>
        <w:spacing w:after="0" w:line="21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8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r>
      <w:tr>
        <w:trPr>
          <w:trHeight w:val="24"/>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2"/>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6"/>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Merus</w:t>
            </w:r>
          </w:p>
        </w:tc>
        <w:tc>
          <w:tcPr>
            <w:tcW w:w="840" w:type="dxa"/>
            <w:vAlign w:val="bottom"/>
          </w:tcPr>
          <w:p>
            <w:pPr>
              <w:spacing w:after="0"/>
              <w:rPr>
                <w:sz w:val="21"/>
                <w:szCs w:val="21"/>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5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MorphoSys</w:t>
            </w:r>
          </w:p>
        </w:tc>
        <w:tc>
          <w:tcPr>
            <w:tcW w:w="8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6"/>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840" w:type="dxa"/>
            <w:vAlign w:val="bottom"/>
          </w:tcPr>
          <w:p>
            <w:pPr>
              <w:spacing w:after="0"/>
              <w:rPr>
                <w:sz w:val="21"/>
                <w:szCs w:val="21"/>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2"/>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1"/>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gain on equity investments</w:t>
            </w:r>
          </w:p>
        </w:tc>
        <w:tc>
          <w:tcPr>
            <w:tcW w:w="84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provision for income taxes for the three months ended March 31, 2025 and 2024 was $76.0 million and $66.6 million, respectively.</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was higher than the U.S. statutory rate primarily due to an increase in our valuation allowance against certain U.S. federal and state deferred tax assets and foreign losses with no associated tax benefit (i.e., full valuation allowance). This was partially offset by tax rate benefits associated with research and development and orphan drug tax credit generations and the foreign derived intangible income deduction.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At March 31, 2025, we had available cash, cash equivalents and marketable securities of $2.4 billion. Our cash and marketable securities balances are primarily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was $266.1 million and net cash provided by operating activities for the three months ended March 31, 2024 was $218.8 million. The increase in cash provided by operating activities was due primarily to changes in working capital.</w:t>
      </w:r>
    </w:p>
    <w:p>
      <w:pPr>
        <w:spacing w:after="0" w:line="17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Our investing activities, other than purchases, sales and maturities of marketable securities, have consisted predominantly of capital expenditures and sales of long term investments. Net cash provided by investing activities was $1.1 million for the three months ended March 31, 2025, which primarily represented by sales and maturities of marketable securities of $45.5 million, offset in part by purchases of marketable securities of $41.2 million and capital expenditures of $3.2 million. Net cash used in investing activities was $73.1 million for the three months ended March 31, 2024, which represented purchases of marketable securities of $165.8 million, and capital expenditures of $9.5 million, offset in part by the sales and maturities of marketable securities of $102.2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was $12.7 million and $12.4 million for the three months ended March 31, 2025 and 2024, respectively, primarily representing cash paid to ARIAD/Takeda for contingent consideration and cash paid for tax withholdings related to restricted and performance share vesting.</w:t>
      </w:r>
    </w:p>
    <w:p>
      <w:pPr>
        <w:spacing w:after="0" w:line="178"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In August 2021, we entered into a $500.0 million, senior unsecured revolving credit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March 31, 2025, we had no outstanding borrowings and were in compliance with all covenants under this facility. The Credit Agreement is described further in Note 15 of Notes to the Condensed Consolidated Financial Statements.</w:t>
      </w:r>
    </w:p>
    <w:p>
      <w:pPr>
        <w:spacing w:after="0" w:line="16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U.S. tax liabilities continue to reflect the adverse impacts of the mandatory capitalization and amortization of research and development expenses as required under the Tax Cuts and Jobs Act of 2017, which eliminated the immediate expensing of such expenses.</w:t>
      </w:r>
    </w:p>
    <w:p>
      <w:pPr>
        <w:spacing w:after="0" w:line="163"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8 of Notes to the Condensed Consolidated Financial Statements.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March 31, 2025, marketable securities were $466.9 million. Due to the nature of these investments, if market interest rates were to increase immediately and uniformly by 10% from levels as of March 31, 2025, the decline in fair value would not be material.</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the extent that we continue to hold strategic equity investments in publicly traded companies, we expect that due to the volatility of the stock price of biotechnology companies, our (loss) gain on equity investments will fluctuate in future periods based on increases or decreases in the fair value of our strategic equity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5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 reporting (as defined in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13a-15(f) and 15d-15(f) under the Exchange Act) for the three months ended March 31, 2025,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15 to our Condensed Consolidated Financial Statements included in this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While we also sell our and our licensors’ other approved products ICLUSIG, PEMAZYRE, MONJUVI/MINJUVI, OPZELURA, ZYNYZ and NIKTIMVO and our exclusive licensees sell OLUMIANT and TABRECTA, we anticipate that JAKAFI product sales will continue to contribute a significant percentage of our total revenues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The commercial success of JAKAFI and our ability to maintain and continue to increase revenues from the sale of JAKAFI will depend on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 or in combination with other therapeutic modalities;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ZYNYZ and NIKTIMVO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9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for OPZELURA or additional products in the future.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obtaining and maintaining broad coverage and reimbursement for our products, our anticipated revenue from and growth prospects for our products could be negatively affected.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6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OPZELURA. Successful commercialization of our drug candidates for dermatology indications requires us to establish new physician and payor relationships, PBM and pharmacy network relationships, reimbursement strategies and governmental interactions, separate from our existing capabilities for oncology indications. Our inability to commercialize successfully products in indications outside of oncology could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17"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Furthermore, disruptions at the FDA and other regulatory agencies could prevent those agencies from performing normal business functions on which the operation of our business relies,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testing of JAKAFI, ICLUSIG, PEMAZYRE, MONJUVI/MINJUVI, OPZELURA, ZYNYZ and NIKTIMVO, the manufacturing, marketing and sale of JAKAFI, PEMAZYRE, OPZELURA and NIKTIMVO and the marketing and sale of ICLUSIG, MONJUVI/MINJUVI and ZYNYZ expose us to product liability and other risks. Side effects and other problems experienced by patients from the use of our products could:</w:t>
      </w:r>
    </w:p>
    <w:p>
      <w:pPr>
        <w:spacing w:after="0" w:line="178" w:lineRule="exact"/>
        <w:rPr>
          <w:sz w:val="20"/>
          <w:szCs w:val="20"/>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ZYNYZ and NIKTIMVO.</w:t>
      </w:r>
    </w:p>
    <w:p>
      <w:pPr>
        <w:spacing w:after="0" w:line="17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license collaborators in the jurisdictions in which they have development and commercialization rights.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These Physician Payment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2024 for additional information regarding the effects of competition. If we are unable to compete successfully, our commercial opportunities will be reduced and our business, results of operations and financial conditions may be materially harmed.</w:t>
      </w:r>
    </w:p>
    <w:p>
      <w:pPr>
        <w:spacing w:after="0" w:line="198"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from Apotex, Inc. regarding its filing of an ANDA that requested approval to market a generic version of JAKAFI and purported to challenge patents covering ruxolitinib phosphate and its use that expire (with pediatric extension) in December 2028. The notice letter does not challenge the ruxolitinib composition of matter patent, which expires (with pediatric extension) in June 2028. Subsequently, we received a notice letter in February 2024 from Apotex challenging the patent covering ruxolitinib composition of matter and its use, which expires (with pediatric extension) in June 2028. In response, in March 2024, we initiated a patent infringement action against Apotex in the U.S. District Court for the District of New Jersey asserting certain FDA Orange Book listed patents. That action remains pending. In January 2025, we received a notice letter from Hikma Pharmaceuticals USA Inc. regarding its filing of an ANDA that requested approval to market a generic version of JAKAFI and purported to challenge patents covering ruxolitinib phosphate and its use that expire (with pediatric extension) in December 2028 and patents covering ruxolitinib composition of matter and its use that expire (with pediatric extension) in June 2028. In response, in March 2025, we initiated a patent infringement action against Hikma in the U.S. District Court for the District of New Jersey asserting certain FDA Orange Book listed patents. That action remains pending.</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respect to deuterated ruxolitinib, in January 2018 the Patent Trial and Appeal Board, or PTAB, of United States Patent and Trademark Office</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denied institution of a petition challenging our patent covering deuterated ruxolitinib analogs. The PTAB subsequently denied the petitioner’s request for rehearing in May 2018. Although the PTAB's decision is now final, the petitioner still has the right separately to challenge the validity of our patent in federal court.</w:t>
      </w:r>
    </w:p>
    <w:p>
      <w:pPr>
        <w:spacing w:after="0" w:line="17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July 2024, the FDA approved a deuterated ruxolitinib product owned by Sun Pharmaceutical Industries Ltd. and Sun Pharmaceutical Industries, Inc., collectively referred to as Sun, for the treatment of severe alopecia areata to be commercialized as “Leqselvi (deuruxolitinib)”. Prior to the regulatory approval of Leqselvi, we sued Sun for infringement of our patent covering deuterated ruxolitinib analogs in the U.S. District Court for the District of New Jersey and sought a preliminary injunction to bar Sun’s launch of Leqselvi during the pendency of the litigation. On November 1, 2024, the court entered an order granting our preliminary injunction request. Sun appealed the court’s preliminary injunction order to the U.S. Court of Appeals for the Federal Circuit. On April 9, 2025, the Federal Circuit vacated the preliminary injunction order that had enjoined Leqselvi's launch. Our underlying patent infringement action against Sun in the District of New Jersey remains pending.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spacing w:after="0" w:line="18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and prescription topical treatments, as well as oral and injectable therapies, from major pharmaceutical and biotechnology companies, and companies that produce generic version of prescription treatments. In September 2023, we received a notice letter from Padagis Israel Pharmaceuticals Ltd. regarding its filing of an ANDA that requested approval to market a generic version of OPZELURA and purported to challenge patents covering ruxolitinib phosphate cream and its uses that expire in 2031 and 2040. The notice letter does not challenge the ruxolitinib or ruxolitinib phosphate composition of matter patents, providing patent coverage (with pediatric extension) until December 2028. In November 2023, we initiated a patent infringement action against Padagis in the U.S. District Court for the District of New Jersey asserting certain FDA Orange Book listed patents. That action remains pending. In January 2025, we received a notice letter from Taro Pharmaceuticals Inc. regarding its filing of an ANDA that requested approval to market a generic version of OPZELURA and purported to challenge patents covering ruxolitinib phosphate cream and its uses that expire in 2031 and 2040. The notice letter does not challenge ruxolitinib or ruxolitinib phosphate composition of matter patents, providing patent coverage (with pediatric extension) until December 2028. In March 2025, we initiated a patent infringement action against Taro in the U.S. District Court for the District of New Jersey asserting certain FDA Orange Book listed patents. That action remains pending. In January 2025, we received a notice letter from Zydus Lifesciences Limited regarding its filing of an ANDA that requested approval to market a generic version of OPZELURA and purported to challenge patents covering ruxolitinib phosphate cream and its uses that expire in 2040. The notice letter does not challenge the ruxolitinib or ruxolitinib phosphate composition of matter patents or certain patents covering ruxolitinib phosphate cream and its uses, providing patent coverage (with pediatric extension) until November 2031. In March 2025, we initiated a patent infringement action against Zydus in the U.S. District Court for the District of New Jersey asserting certain FDA Orange Book listed patents. That action remains pending.</w:t>
      </w:r>
    </w:p>
    <w:p>
      <w:pPr>
        <w:spacing w:after="0" w:line="19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There can be no assurance that our patents will be upheld or that any litigation in which we might engage with any generic manufacturer would be successful in protecting exclusivity of our products. The entry of a competitive drug product from another company or a generic version of one of our products could result in a decrease in sales of our products and materially harm our business, operating results, and financial condition.</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jurisdictions in which it has commercialization rights and to our collaborator Lilly for OLUMIANT all jurisdictions.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8" w:lineRule="exact"/>
        <w:rPr>
          <w:sz w:val="20"/>
          <w:szCs w:val="20"/>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17"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received marketing approval, it may not be able to achieve market acceptance or compete successfully with competitors’ products and we may have spent significant amounts of time and money on it without achieving potential returns initially anticipated, which could adversely affect our operating results and financial condition as well as our business plans.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5" w:lineRule="exact"/>
        <w:rPr>
          <w:sz w:val="20"/>
          <w:szCs w:val="20"/>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17"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Delays in FDA approval of drug candidates may also result from other factors such as funding limitations, staffing reductions or other resource restrictions, any of which could have an adverse effect on the regulatory approval process. Further,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extended-release (XR) tablets, which identified additional requirements for approval.</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April 2018, we along with Merck announced that the ECHO-301 study had been stopped and we also significantly downsized the epacadostat development program and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6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the American Rescue Plan Act of 2021 includes a provision that became effective in January 2024 that eliminates the statutory cap on rebates that drug manufacturers pay to Medicaid. It is expected that this provision, as implemented by the Centers for Medicare and Medicaid Services, or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19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8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1"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enter into additional licensing agreements or if these arrangements are unsuccessful, our business and operations might be adversely affected.</w:t>
      </w:r>
    </w:p>
    <w:p>
      <w:pPr>
        <w:spacing w:after="0" w:line="233"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MacroGenics, Merus and Syndax Pharmaceuticals,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and Syros Pharmaceuticals.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that could severely impact our business, results of operations and financial condition. These disruptions can include the following:</w:t>
      </w:r>
    </w:p>
    <w:p>
      <w:pPr>
        <w:spacing w:after="0" w:line="163" w:lineRule="exact"/>
        <w:rPr>
          <w:sz w:val="20"/>
          <w:szCs w:val="20"/>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clinical or commercial products, including JAKAFI, PEMAZYRE, ICLUSIG, OPZELURA and NIKTIMVO,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MINJUVI drug substance manufacturing. For ZYNYZ, together with our collaborator MacroGenics, we are responsible for the sourcing and manufacturing of ZYNYZ.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89"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 drug candidates or drug products, whether through conditions affecting the cost and availability of raw materials, such as inflation, decreases in available manufacturing capacity, or otherwise, would adversely affect our results of operations.</w:t>
      </w:r>
    </w:p>
    <w:p>
      <w:pPr>
        <w:spacing w:after="0" w:line="19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or in obtaining necessary regulatory approvals and registrations to do so.</w:t>
      </w:r>
    </w:p>
    <w:p>
      <w:pPr>
        <w:spacing w:after="0" w:line="18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60"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February 2024, we entered into a purchase agreement with MorphoSys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87" w:lineRule="exact"/>
        <w:rPr>
          <w:sz w:val="20"/>
          <w:szCs w:val="20"/>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acquired products, product candidates or technologies or to achieve other strategic objectives;</w:t>
      </w:r>
    </w:p>
    <w:p>
      <w:pPr>
        <w:spacing w:after="0" w:line="228"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markets in which we have no or limited direct prior experience or where competitors in such markets have stronger market positions;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key business relationships of business we acquire;</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 in the U.S. and foreign jurisdictions may cause approvals to take longer than anticipated to obtain,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and in the third quarter of 2023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European operations and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have opened an office in China and are working with partners in additional markets. International operations and business expansion plans are subject to numerous additional risks, including:</w:t>
      </w:r>
    </w:p>
    <w:p>
      <w:pPr>
        <w:spacing w:after="0" w:line="180" w:lineRule="exact"/>
        <w:rPr>
          <w:sz w:val="20"/>
          <w:szCs w:val="20"/>
          <w:color w:val="auto"/>
        </w:rPr>
      </w:pPr>
    </w:p>
    <w:p>
      <w:pPr>
        <w:jc w:val="both"/>
        <w:ind w:left="960" w:hanging="318"/>
        <w:spacing w:after="0" w:line="259"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and cost as we enter into additional jurisdictions;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exposure to foreign currency exchange rate fluctuations and increased costs due to tariffs;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6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7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disruptions and uncertainties could seriously harm our operations, future revenues and financial condition and increase our costs and expenses.</w:t>
      </w:r>
    </w:p>
    <w:p>
      <w:pPr>
        <w:spacing w:after="0" w:line="23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business disruptions as a result of natural disasters, power and other infrastructure failures or shortages, public health pandemics or epidemics, and other natural or man-made disasters, as well as other business uncertainties as a result of international trade policies, including tariff and trade disputes, trade sanctions and import and export licensing requirements.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or other uncertainties could seriously harm our operations, future revenues and financial condition and increase our costs and expenses.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As a result, we may incur losses in future periods.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OPZELURA and we cannot assure you that we will generate substantial revenues from the drug candidates that we license or develop, including ICLUSIG, PEMAZYRE, MONJUVI/MINJUVI, ZYNYZ and NIKTIMVO for several years, if ever.</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ZYNYZ and NIKTIMVO we may incur losses if our drug products do not generate significant revenues.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marketable securities and equity investments are subject to risks that could adversely affect our overall financial position.</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money market funds, U.S. government backed-funds and Treasury securities, which are investment grade and historically have been highly liquid and carried relatively low risk.</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Any loss in value of our equity investments could adversely affect our financial position on the condensed consolidated balance sheets and condensed consolidated statements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or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the European Union member states agreed to implement in their domestic tax laws a 15% global minimum tax on the profits of large multinational enterprises with a target effective date for fiscal years beginning on or after December 31, 2023. Although we continue to evaluate and monitor the potential impact of BEPS 2.0 on us, and the OECD minimum tax rules do not currently have a material impact on us, these minimum tax rules could in the future result in tax increases in both the United States and many foreign jurisdictions where we operate or have a presence. On January 15, 2025, the OECD released new guidance addressing implementation of the Pillar Two global minimum tax rules, which were effective for us in tax year 2024. As part of the guidance, the OECD placed limitations on transactions that produce deferred tax assets entered into during the transition period that runs from November 2021 through an entity’s adoption of Pillar Two. On January 20, 2025, President Trump signed an executive order effectively cancelling the United States’ commitments to the global minimum tax rules, stating that those commitments cannot have any effect in the United States without an act of approval of the U.S. Congress.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derive a substantial portion of our total revenues from product royalties and milestone payments under our collaboration agreements, with royalties on JAKAVI and OLUMIANT representing most of our product royalty, milestone and contract revenues for each of the three years ended December 31, 2024 and the three months ended March 31, 2025.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3" w:lineRule="exact"/>
        <w:rPr>
          <w:sz w:val="20"/>
          <w:szCs w:val="20"/>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potential generic drug company competitors have challenged certain patents relating to JAKAFI and OPZELURA.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Further,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w:t>
      </w:r>
    </w:p>
    <w:p>
      <w:pPr>
        <w:spacing w:after="0" w:line="185" w:lineRule="exact"/>
        <w:rPr>
          <w:sz w:val="20"/>
          <w:szCs w:val="20"/>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ensure individuals to whom personal information relates are informed about how their personal information is collected and processed;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new technology, including artificial intelligence software, could give rise to liability, breaches of data security,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based software is increasing in the biopharmaceutical industry. As with many developing technologies, artificial intelligence based software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based software may also lead to the release of confidential proprietary information, which may impact our ability to realize the benefit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jc w:val="both"/>
        <w:ind w:firstLine="642"/>
        <w:spacing w:after="0" w:line="259" w:lineRule="auto"/>
        <w:tabs>
          <w:tab w:leader="none" w:pos="8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the following officer (as defined in Rule 16a-1(f) under the Securities Exchange Act of 1934) of our Company adopted a prearranged trading plan relating to our common stock and intended to satisfy the affirmative defense of Rule 10b5–1(c) under the Securities Exchange Act of 1934:</w:t>
      </w:r>
    </w:p>
    <w:p>
      <w:pPr>
        <w:spacing w:after="0" w:line="178"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Thomas Tray, our Vice President, Chief Accounting Officer, adopted a trading plan on February 28, 2025 providing for the sale of up to an aggregate of 1,614 shares of our common stock until February 28, 2026.</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780" w:type="dxa"/>
            <w:vAlign w:val="bottom"/>
            <w:tcBorders>
              <w:top w:val="single" w:sz="8" w:color="auto"/>
            </w:tcBorders>
            <w:gridSpan w:val="7"/>
          </w:tcPr>
          <w:p>
            <w:pPr>
              <w:spacing w:after="0" w:line="198" w:lineRule="exact"/>
              <w:rPr>
                <w:sz w:val="20"/>
                <w:szCs w:val="20"/>
                <w:color w:val="auto"/>
              </w:rPr>
            </w:pPr>
            <w:r>
              <w:rPr>
                <w:rFonts w:ascii="Times New Roman" w:cs="Times New Roman" w:eastAsia="Times New Roman" w:hAnsi="Times New Roman"/>
                <w:sz w:val="18"/>
                <w:szCs w:val="18"/>
                <w:color w:val="0000FF"/>
              </w:rPr>
              <w:t>Extension, dated as of March 12, 2025, to the Amendment, dated as of March 20, 2020, to the Collaboration and License Agreement</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40" w:type="dxa"/>
            <w:vAlign w:val="bottom"/>
            <w:tcBorders>
              <w:top w:val="single" w:sz="8" w:color="0000FF"/>
              <w:bottom w:val="single" w:sz="8" w:color="0000FF"/>
            </w:tcBorders>
            <w:gridSpan w:val="3"/>
          </w:tcPr>
          <w:p>
            <w:pPr>
              <w:spacing w:after="0" w:line="179" w:lineRule="exact"/>
              <w:rPr>
                <w:sz w:val="20"/>
                <w:szCs w:val="20"/>
                <w:color w:val="auto"/>
              </w:rPr>
            </w:pPr>
            <w:r>
              <w:rPr>
                <w:rFonts w:ascii="Times New Roman" w:cs="Times New Roman" w:eastAsia="Times New Roman" w:hAnsi="Times New Roman"/>
                <w:sz w:val="18"/>
                <w:szCs w:val="18"/>
                <w:color w:val="0000FF"/>
                <w:w w:val="98"/>
              </w:rPr>
              <w:t>entered into as of November 24, 2009, by and between the Company and Novartis International Pharmaceutical Ltd.</w:t>
            </w:r>
          </w:p>
        </w:tc>
        <w:tc>
          <w:tcPr>
            <w:tcW w:w="1140" w:type="dxa"/>
            <w:vAlign w:val="bottom"/>
            <w:tcBorders>
              <w:top w:val="single" w:sz="8" w:color="0000FF"/>
            </w:tcBorders>
            <w:gridSpan w:val="3"/>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39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Rule 13a-14(a) Certification of Chief Financial Officer.</w:t>
            </w:r>
          </w:p>
        </w:tc>
        <w:tc>
          <w:tcPr>
            <w:tcW w:w="5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85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Statement of the Chief Financial Officer under Section 906 of the Sarbanes-Oxley Act of 2002 (18 U.S.C. Section 1350).</w:t>
            </w:r>
          </w:p>
        </w:tc>
        <w:tc>
          <w:tcPr>
            <w:tcW w:w="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520" w:type="dxa"/>
            <w:vAlign w:val="bottom"/>
            <w:gridSpan w:val="4"/>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60" w:hanging="1436"/>
        <w:spacing w:after="0"/>
        <w:tabs>
          <w:tab w:leader="none" w:pos="1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7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540" w:type="dxa"/>
            <w:vAlign w:val="bottom"/>
          </w:tcPr>
          <w:p>
            <w:pPr>
              <w:spacing w:after="0"/>
              <w:rPr>
                <w:sz w:val="20"/>
                <w:szCs w:val="20"/>
                <w:color w:val="auto"/>
              </w:rPr>
            </w:pPr>
          </w:p>
        </w:tc>
        <w:tc>
          <w:tcPr>
            <w:tcW w:w="76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1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29,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HERVÉ HOPPENOT</w:t>
            </w:r>
          </w:p>
        </w:tc>
      </w:tr>
      <w:tr>
        <w:trPr>
          <w:trHeight w:val="239"/>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Hervé Hoppenot</w:t>
            </w:r>
          </w:p>
        </w:tc>
      </w:tr>
      <w:tr>
        <w:trPr>
          <w:trHeight w:val="252"/>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2"/>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29,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CHRISTIANA STAMOULIS</w:t>
            </w:r>
          </w:p>
        </w:tc>
      </w:tr>
      <w:tr>
        <w:trPr>
          <w:trHeight w:val="239"/>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Christiana Stamoulis</w:t>
            </w:r>
          </w:p>
        </w:tc>
      </w:tr>
      <w:tr>
        <w:trPr>
          <w:trHeight w:val="252"/>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52"/>
        </w:trPr>
        <w:tc>
          <w:tcPr>
            <w:tcW w:w="3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1"/>
        </w:trPr>
        <w:tc>
          <w:tcPr>
            <w:tcW w:w="3540" w:type="dxa"/>
            <w:vAlign w:val="bottom"/>
          </w:tcPr>
          <w:p>
            <w:pPr>
              <w:spacing w:after="0"/>
              <w:rPr>
                <w:sz w:val="24"/>
                <w:szCs w:val="24"/>
                <w:color w:val="auto"/>
              </w:rPr>
            </w:pPr>
          </w:p>
        </w:tc>
        <w:tc>
          <w:tcPr>
            <w:tcW w:w="25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84</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4" w:name="page85"/>
    <w:bookmarkEnd w:id="84"/>
    <w:p>
      <w:pPr>
        <w:ind w:left="10140"/>
        <w:spacing w:after="0"/>
        <w:rPr>
          <w:sz w:val="20"/>
          <w:szCs w:val="20"/>
          <w:color w:val="auto"/>
        </w:rPr>
      </w:pPr>
      <w:r>
        <w:rPr>
          <w:rFonts w:ascii="Arial" w:cs="Arial" w:eastAsia="Arial" w:hAnsi="Arial"/>
          <w:sz w:val="21"/>
          <w:szCs w:val="2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EXTENSION OF AMENDMENT NO. 5</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COLLABORATION AND LICENSE AGREEMENT</w:t>
      </w:r>
    </w:p>
    <w:p>
      <w:pPr>
        <w:spacing w:after="0" w:line="236"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19"/>
          <w:szCs w:val="19"/>
          <w:color w:val="auto"/>
        </w:rPr>
        <w:t>THIS EXTENSION OF AMENDMENT NO. 5 TO COLLABORATION AND LICENSE AGREEMENT (this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and such Amendment, “</w:t>
      </w:r>
      <w:r>
        <w:rPr>
          <w:rFonts w:ascii="Times New Roman" w:cs="Times New Roman" w:eastAsia="Times New Roman" w:hAnsi="Times New Roman"/>
          <w:sz w:val="19"/>
          <w:szCs w:val="19"/>
          <w:u w:val="single" w:color="auto"/>
          <w:color w:val="auto"/>
        </w:rPr>
        <w:t>Amendment No. 5</w:t>
      </w:r>
      <w:r>
        <w:rPr>
          <w:rFonts w:ascii="Times New Roman" w:cs="Times New Roman" w:eastAsia="Times New Roman" w:hAnsi="Times New Roman"/>
          <w:sz w:val="19"/>
          <w:szCs w:val="19"/>
          <w:color w:val="auto"/>
        </w:rPr>
        <w:t>”) is entered into as of the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March, 2025, by and between Incyte Corporation, a Delaware corporation having an office at 1801 Augustine Cut-Off, Wilmington, Delaware (“</w:t>
      </w:r>
      <w:r>
        <w:rPr>
          <w:rFonts w:ascii="Times New Roman" w:cs="Times New Roman" w:eastAsia="Times New Roman" w:hAnsi="Times New Roman"/>
          <w:sz w:val="19"/>
          <w:szCs w:val="19"/>
          <w:u w:val="single" w:color="auto"/>
          <w:color w:val="auto"/>
        </w:rPr>
        <w:t>Incyte</w:t>
      </w:r>
      <w:r>
        <w:rPr>
          <w:rFonts w:ascii="Times New Roman" w:cs="Times New Roman" w:eastAsia="Times New Roman" w:hAnsi="Times New Roman"/>
          <w:sz w:val="19"/>
          <w:szCs w:val="19"/>
          <w:color w:val="auto"/>
        </w:rPr>
        <w:t>”), and Novartis Pharma AG, a company limited by shares organized under the laws of Switzerland having an office at Lichtstrasse 35, 4056 Basel, Switzerland (“</w:t>
      </w:r>
      <w:r>
        <w:rPr>
          <w:rFonts w:ascii="Times New Roman" w:cs="Times New Roman" w:eastAsia="Times New Roman" w:hAnsi="Times New Roman"/>
          <w:sz w:val="19"/>
          <w:szCs w:val="19"/>
          <w:u w:val="single" w:color="auto"/>
          <w:color w:val="auto"/>
        </w:rPr>
        <w:t>Novartis</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9"/>
          <w:szCs w:val="19"/>
          <w:color w:val="auto"/>
        </w:rPr>
        <w:t>WHEREAS, Incyte and Novartis entered into that certain Collaboration and License Agreement dated as of November 24, 2009 (as amended to date, including by Amendment No. 5, the “</w:t>
      </w:r>
      <w:r>
        <w:rPr>
          <w:rFonts w:ascii="Times New Roman" w:cs="Times New Roman" w:eastAsia="Times New Roman" w:hAnsi="Times New Roman"/>
          <w:sz w:val="19"/>
          <w:szCs w:val="19"/>
          <w:u w:val="single" w:color="auto"/>
          <w:color w:val="auto"/>
        </w:rPr>
        <w:t>Original Agreement</w:t>
      </w:r>
      <w:r>
        <w:rPr>
          <w:rFonts w:ascii="Times New Roman" w:cs="Times New Roman" w:eastAsia="Times New Roman" w:hAnsi="Times New Roman"/>
          <w:sz w:val="19"/>
          <w:szCs w:val="19"/>
          <w:color w:val="auto"/>
        </w:rPr>
        <w:t>”), and that certain Amendment No. 5 dated as of March 20, 2020, which amendment expires in accordance with its terms effective as of March 20, 2025; and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WHEREAS, Incyte and Novartis now wish to amend Amendment No. 5 to extend the expiration date by an additional five (5) years.</w:t>
      </w:r>
    </w:p>
    <w:p>
      <w:pPr>
        <w:spacing w:after="0" w:line="23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are hereby acknowledged, the Parties hereby agree as follows:</w:t>
      </w:r>
    </w:p>
    <w:p>
      <w:pPr>
        <w:spacing w:after="0" w:line="139" w:lineRule="exact"/>
        <w:rPr>
          <w:sz w:val="20"/>
          <w:szCs w:val="20"/>
          <w:color w:val="auto"/>
        </w:rPr>
      </w:pPr>
    </w:p>
    <w:p>
      <w:pPr>
        <w:jc w:val="both"/>
        <w:ind w:right="20" w:firstLine="636"/>
        <w:spacing w:after="0" w:line="250"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19"/>
          <w:szCs w:val="19"/>
          <w:color w:val="auto"/>
        </w:rPr>
        <w:t>Section 3.1 of Amendment No. 5 is hereby amended and restated in its entirety as follows (underlining added solely for purpose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illustrating changed language):</w:t>
      </w:r>
    </w:p>
    <w:p>
      <w:pPr>
        <w:spacing w:after="0" w:line="148" w:lineRule="exact"/>
        <w:rPr>
          <w:sz w:val="20"/>
          <w:szCs w:val="20"/>
          <w:color w:val="auto"/>
        </w:rPr>
      </w:pPr>
    </w:p>
    <w:p>
      <w:pPr>
        <w:ind w:left="1120" w:right="60"/>
        <w:spacing w:after="0" w:line="263" w:lineRule="auto"/>
        <w:rPr>
          <w:sz w:val="20"/>
          <w:szCs w:val="20"/>
          <w:color w:val="auto"/>
        </w:rPr>
      </w:pPr>
      <w:r>
        <w:rPr>
          <w:rFonts w:ascii="Times New Roman" w:cs="Times New Roman" w:eastAsia="Times New Roman" w:hAnsi="Times New Roman"/>
          <w:sz w:val="19"/>
          <w:szCs w:val="19"/>
          <w:u w:val="single" w:color="auto"/>
          <w:color w:val="auto"/>
        </w:rPr>
        <w:t>“Term of Amendment No. 5</w:t>
      </w:r>
      <w:r>
        <w:rPr>
          <w:rFonts w:ascii="Times New Roman" w:cs="Times New Roman" w:eastAsia="Times New Roman" w:hAnsi="Times New Roman"/>
          <w:sz w:val="19"/>
          <w:szCs w:val="19"/>
          <w:color w:val="auto"/>
        </w:rPr>
        <w:t xml:space="preserve">. This Amendment No. 5 shall continue in effect until the </w:t>
      </w:r>
      <w:r>
        <w:rPr>
          <w:rFonts w:ascii="Times New Roman" w:cs="Times New Roman" w:eastAsia="Times New Roman" w:hAnsi="Times New Roman"/>
          <w:sz w:val="19"/>
          <w:szCs w:val="19"/>
          <w:u w:val="single" w:color="auto"/>
          <w:color w:val="auto"/>
        </w:rPr>
        <w:t>tenth</w:t>
      </w:r>
      <w:r>
        <w:rPr>
          <w:rFonts w:ascii="Times New Roman" w:cs="Times New Roman" w:eastAsia="Times New Roman" w:hAnsi="Times New Roman"/>
          <w:sz w:val="19"/>
          <w:szCs w:val="19"/>
          <w:color w:val="auto"/>
        </w:rPr>
        <w:t xml:space="preserve"> anniversary of the Effective Date (the “Amendment No. 5 Term”), unless the Parties mutually agree in writing to extend the Amendment No. 5 Term prior to such date, at each Party’s sole discretion. If the Parties fail to reach agreement to extend the term of this Amendment No. 5 by such time, (a) the terms of the Original Agreement and this Amendment No. 5 shall continue with respect to any Non-Fixed Dose JAK Combination Regimen for which FPFV has occurred, notwithstanding the Term and (b) the terms of the Original Agreement, as amended by amendments prior and subsequent to this Amendment No. 5 shall continue in effect, but the provisions of this Amendment No. 5 shall terminate, for any Non-Fixed Dose JAK Combination Regimen for which FPFV has not occurred.”</w:t>
      </w:r>
    </w:p>
    <w:p>
      <w:pPr>
        <w:spacing w:after="0" w:line="161" w:lineRule="exact"/>
        <w:rPr>
          <w:sz w:val="20"/>
          <w:szCs w:val="20"/>
          <w:color w:val="auto"/>
        </w:rPr>
      </w:pPr>
    </w:p>
    <w:p>
      <w:pPr>
        <w:ind w:firstLine="636"/>
        <w:spacing w:after="0" w:line="250"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19"/>
          <w:szCs w:val="19"/>
          <w:u w:val="single" w:color="auto"/>
          <w:color w:val="auto"/>
        </w:rPr>
        <w:t>Effect on Original Agreement</w:t>
      </w:r>
      <w:r>
        <w:rPr>
          <w:rFonts w:ascii="Times New Roman" w:cs="Times New Roman" w:eastAsia="Times New Roman" w:hAnsi="Times New Roman"/>
          <w:sz w:val="19"/>
          <w:szCs w:val="19"/>
          <w:color w:val="auto"/>
        </w:rPr>
        <w:t>. Except to the extent amended pursuant to this Extension, the Original Agreement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Amendment no, 5 shall continue in full force and effect in accordance with its terms.</w:t>
      </w:r>
    </w:p>
    <w:p>
      <w:pPr>
        <w:sectPr>
          <w:pgSz w:w="11900" w:h="16838" w:orient="portrait"/>
          <w:cols w:equalWidth="0" w:num="1">
            <w:col w:w="11240"/>
          </w:cols>
          <w:pgMar w:left="320" w:top="126" w:right="339" w:bottom="1440" w:gutter="0" w:footer="0" w:header="0"/>
        </w:sectPr>
      </w:pPr>
    </w:p>
    <w:bookmarkStart w:id="85" w:name="page86"/>
    <w:bookmarkEnd w:id="85"/>
    <w:p>
      <w:pPr>
        <w:ind w:right="200" w:firstLine="636"/>
        <w:spacing w:after="0" w:line="300" w:lineRule="auto"/>
        <w:rPr>
          <w:sz w:val="20"/>
          <w:szCs w:val="20"/>
          <w:color w:val="auto"/>
        </w:rPr>
      </w:pPr>
      <w:r>
        <w:rPr>
          <w:rFonts w:ascii="Times New Roman" w:cs="Times New Roman" w:eastAsia="Times New Roman" w:hAnsi="Times New Roman"/>
          <w:sz w:val="19"/>
          <w:szCs w:val="19"/>
          <w:color w:val="auto"/>
        </w:rPr>
        <w:t>IN WITNESS WHEREOF, the Parties have caused their duly authorized officers to execute and acknowledge this Extension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24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NOVARTIS PHARMA AG</w:t>
            </w:r>
          </w:p>
        </w:tc>
        <w:tc>
          <w:tcPr>
            <w:tcW w:w="8520" w:type="dxa"/>
            <w:vAlign w:val="bottom"/>
            <w:gridSpan w:val="4"/>
          </w:tcPr>
          <w:p>
            <w:pPr>
              <w:ind w:left="2960"/>
              <w:spacing w:after="0"/>
              <w:rPr>
                <w:sz w:val="20"/>
                <w:szCs w:val="20"/>
                <w:color w:val="auto"/>
              </w:rPr>
            </w:pPr>
            <w:r>
              <w:rPr>
                <w:rFonts w:ascii="Times New Roman" w:cs="Times New Roman" w:eastAsia="Times New Roman" w:hAnsi="Times New Roman"/>
                <w:sz w:val="19"/>
                <w:szCs w:val="19"/>
                <w:color w:val="auto"/>
              </w:rPr>
              <w:t>INCYTE CORPORATION</w:t>
            </w:r>
          </w:p>
        </w:tc>
      </w:tr>
      <w:tr>
        <w:trPr>
          <w:trHeight w:val="724"/>
        </w:trPr>
        <w:tc>
          <w:tcPr>
            <w:tcW w:w="280" w:type="dxa"/>
            <w:vAlign w:val="bottom"/>
          </w:tcPr>
          <w:p>
            <w:pPr>
              <w:spacing w:after="0"/>
              <w:rPr>
                <w:sz w:val="20"/>
                <w:szCs w:val="20"/>
                <w:color w:val="auto"/>
              </w:rPr>
            </w:pPr>
            <w:r>
              <w:rPr>
                <w:rFonts w:ascii="Times New Roman" w:cs="Times New Roman" w:eastAsia="Times New Roman" w:hAnsi="Times New Roman"/>
                <w:sz w:val="19"/>
                <w:szCs w:val="19"/>
                <w:color w:val="auto"/>
                <w:w w:val="94"/>
              </w:rPr>
              <w:t>By:</w:t>
            </w: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Oliver Jung</w:t>
            </w:r>
          </w:p>
        </w:tc>
        <w:tc>
          <w:tcPr>
            <w:tcW w:w="3240" w:type="dxa"/>
            <w:vAlign w:val="bottom"/>
          </w:tcPr>
          <w:p>
            <w:pPr>
              <w:ind w:left="2960"/>
              <w:spacing w:after="0"/>
              <w:rPr>
                <w:sz w:val="20"/>
                <w:szCs w:val="20"/>
                <w:color w:val="auto"/>
              </w:rPr>
            </w:pPr>
            <w:r>
              <w:rPr>
                <w:rFonts w:ascii="Times New Roman" w:cs="Times New Roman" w:eastAsia="Times New Roman" w:hAnsi="Times New Roman"/>
                <w:sz w:val="19"/>
                <w:szCs w:val="19"/>
                <w:color w:val="auto"/>
                <w:w w:val="94"/>
              </w:rPr>
              <w:t>By:</w:t>
            </w: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Vijay Iyengar</w:t>
            </w:r>
          </w:p>
        </w:tc>
        <w:tc>
          <w:tcPr>
            <w:tcW w:w="3220" w:type="dxa"/>
            <w:vAlign w:val="bottom"/>
          </w:tcPr>
          <w:p>
            <w:pPr>
              <w:spacing w:after="0"/>
              <w:rPr>
                <w:sz w:val="24"/>
                <w:szCs w:val="24"/>
                <w:color w:val="auto"/>
              </w:rPr>
            </w:pPr>
          </w:p>
        </w:tc>
      </w:tr>
      <w:tr>
        <w:trPr>
          <w:trHeight w:val="235"/>
        </w:trPr>
        <w:tc>
          <w:tcPr>
            <w:tcW w:w="24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Name:  Oliver Jung</w:t>
            </w:r>
          </w:p>
        </w:tc>
        <w:tc>
          <w:tcPr>
            <w:tcW w:w="8520" w:type="dxa"/>
            <w:vAlign w:val="bottom"/>
            <w:gridSpan w:val="4"/>
          </w:tcPr>
          <w:p>
            <w:pPr>
              <w:ind w:left="2960"/>
              <w:spacing w:after="0"/>
              <w:rPr>
                <w:sz w:val="20"/>
                <w:szCs w:val="20"/>
                <w:color w:val="auto"/>
              </w:rPr>
            </w:pPr>
            <w:r>
              <w:rPr>
                <w:rFonts w:ascii="Times New Roman" w:cs="Times New Roman" w:eastAsia="Times New Roman" w:hAnsi="Times New Roman"/>
                <w:sz w:val="19"/>
                <w:szCs w:val="19"/>
                <w:color w:val="auto"/>
              </w:rPr>
              <w:t>Name:  Vijay Iyengar</w:t>
            </w:r>
          </w:p>
        </w:tc>
      </w:tr>
      <w:tr>
        <w:trPr>
          <w:trHeight w:val="266"/>
        </w:trPr>
        <w:tc>
          <w:tcPr>
            <w:tcW w:w="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19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Global Program Head</w:t>
            </w:r>
          </w:p>
        </w:tc>
        <w:tc>
          <w:tcPr>
            <w:tcW w:w="3400" w:type="dxa"/>
            <w:vAlign w:val="bottom"/>
            <w:gridSpan w:val="2"/>
          </w:tcPr>
          <w:p>
            <w:pPr>
              <w:ind w:left="2960"/>
              <w:spacing w:after="0"/>
              <w:rPr>
                <w:sz w:val="20"/>
                <w:szCs w:val="20"/>
                <w:color w:val="auto"/>
              </w:rPr>
            </w:pPr>
            <w:r>
              <w:rPr>
                <w:rFonts w:ascii="Times New Roman" w:cs="Times New Roman" w:eastAsia="Times New Roman" w:hAnsi="Times New Roman"/>
                <w:sz w:val="19"/>
                <w:szCs w:val="19"/>
                <w:color w:val="auto"/>
              </w:rPr>
              <w:t>Title:</w:t>
            </w:r>
          </w:p>
        </w:tc>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EVP, Global Medical Affairs, Product, and Partnership Strategy</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NOVARTIS PHARMA AG</w:t>
      </w:r>
    </w:p>
    <w:p>
      <w:pPr>
        <w:spacing w:after="0" w:line="200" w:lineRule="exact"/>
        <w:rPr>
          <w:sz w:val="20"/>
          <w:szCs w:val="20"/>
          <w:color w:val="auto"/>
        </w:rPr>
      </w:pPr>
    </w:p>
    <w:p>
      <w:pPr>
        <w:spacing w:after="0" w:line="350" w:lineRule="exact"/>
        <w:rPr>
          <w:sz w:val="20"/>
          <w:szCs w:val="20"/>
          <w:color w:val="auto"/>
        </w:rPr>
      </w:pPr>
    </w:p>
    <w:p>
      <w:pPr>
        <w:ind w:left="80"/>
        <w:spacing w:after="0"/>
        <w:tabs>
          <w:tab w:leader="none" w:pos="540" w:val="left"/>
        </w:tabs>
        <w:rPr>
          <w:sz w:val="20"/>
          <w:szCs w:val="20"/>
          <w:color w:val="auto"/>
        </w:rPr>
      </w:pPr>
      <w:r>
        <w:rPr>
          <w:rFonts w:ascii="Times New Roman" w:cs="Times New Roman" w:eastAsia="Times New Roman" w:hAnsi="Times New Roman"/>
          <w:sz w:val="19"/>
          <w:szCs w:val="19"/>
          <w:color w:val="auto"/>
        </w:rPr>
        <w:t>By:</w:t>
        <w:tab/>
        <w:t>Sandra Lazcano del 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-5715</wp:posOffset>
            </wp:positionV>
            <wp:extent cx="1660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60525" cy="8255"/>
                    </a:xfrm>
                    <a:prstGeom prst="rect">
                      <a:avLst/>
                    </a:prstGeom>
                    <a:noFill/>
                  </pic:spPr>
                </pic:pic>
              </a:graphicData>
            </a:graphic>
          </wp:anchor>
        </w:drawing>
      </w:r>
    </w:p>
    <w:p>
      <w:pPr>
        <w:spacing w:after="0" w:line="9"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Sandra Lazcano del Val</w:t>
      </w:r>
    </w:p>
    <w:p>
      <w:pPr>
        <w:spacing w:after="0" w:line="13"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19"/>
          <w:szCs w:val="19"/>
          <w:color w:val="auto"/>
        </w:rPr>
        <w:t>Title:</w:t>
        <w:tab/>
        <w:t>Senior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SIGNATURE PAGE TO EXTENSION OF AMENDMENT NO. 5 TO COLLABORATION AND LICENSE AGREEMENT</w:t>
      </w:r>
    </w:p>
    <w:p>
      <w:pPr>
        <w:sectPr>
          <w:pgSz w:w="11900" w:h="16838" w:orient="portrait"/>
          <w:cols w:equalWidth="0" w:num="1">
            <w:col w:w="11220"/>
          </w:cols>
          <w:pgMar w:left="320" w:top="1389" w:right="35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217" w:lineRule="exact"/>
        <w:rPr>
          <w:sz w:val="20"/>
          <w:szCs w:val="20"/>
          <w:color w:val="auto"/>
        </w:rPr>
      </w:pPr>
    </w:p>
    <w:p>
      <w:pPr>
        <w:ind w:left="640" w:hanging="634"/>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7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April 29, 2025</w:t>
      </w:r>
    </w:p>
    <w:p>
      <w:pPr>
        <w:sectPr>
          <w:pgSz w:w="11900" w:h="16838" w:orient="portrait"/>
          <w:cols w:equalWidth="0" w:num="1">
            <w:col w:w="11240"/>
          </w:cols>
          <w:pgMar w:left="320" w:top="1126"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217" w:lineRule="exact"/>
        <w:rPr>
          <w:sz w:val="20"/>
          <w:szCs w:val="20"/>
          <w:color w:val="auto"/>
        </w:rPr>
      </w:pPr>
    </w:p>
    <w:p>
      <w:pPr>
        <w:ind w:left="640" w:hanging="63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3373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2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29, 2025</w:t>
      </w:r>
    </w:p>
    <w:p>
      <w:pPr>
        <w:sectPr>
          <w:pgSz w:w="11900" w:h="16838" w:orient="portrait"/>
          <w:cols w:equalWidth="0" w:num="1">
            <w:col w:w="11240"/>
          </w:cols>
          <w:pgMar w:left="320" w:top="1126"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jc w:val="both"/>
        <w:ind w:right="6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March 31, 2025,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April 29, 2025</w:t>
      </w:r>
    </w:p>
    <w:p>
      <w:pPr>
        <w:sectPr>
          <w:pgSz w:w="11900" w:h="16838" w:orient="portrait"/>
          <w:cols w:equalWidth="0" w:num="1">
            <w:col w:w="11240"/>
          </w:cols>
          <w:pgMar w:left="320" w:top="112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6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March 31, 2025,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April 29, 2025</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2"/>
    </w:lvl>
  </w:abstractNum>
  <w:abstractNum w:abstractNumId="12">
    <w:nsid w:val="79838CB2"/>
    <w:multiLevelType w:val="hybridMultilevel"/>
    <w:lvl w:ilvl="0">
      <w:lvlJc w:val="left"/>
      <w:lvlText w:val="1"/>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
      <w:numFmt w:val="bullet"/>
      <w:start w:val="1"/>
    </w:lvl>
    <w:lvl w:ilvl="1">
      <w:lvlJc w:val="left"/>
      <w:lvlText w:val="%2"/>
      <w:numFmt w:val="decimal"/>
      <w:start w:val="104"/>
    </w:lvl>
  </w:abstractNum>
  <w:abstractNum w:abstractNumId="32">
    <w:nsid w:val="5577F8E1"/>
    <w:multiLevelType w:val="hybridMultilevel"/>
    <w:lvl w:ilvl="0">
      <w:lvlJc w:val="left"/>
      <w:lvlText w:val="**"/>
      <w:numFmt w:val="bullet"/>
      <w:start w:val="1"/>
    </w:lvl>
    <w:lvl w:ilvl="1">
      <w:lvlJc w:val="left"/>
      <w:lvlText w:val="%2"/>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2025-04-29T15:19:13Z</dcterms:created>
  <dcterms:modified xsi:type="dcterms:W3CDTF">2025-04-29T15:19:13Z</dcterms:modified>
</cp:coreProperties>
</file>