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1500" w:hanging="832"/>
        <w:spacing w:after="0"/>
        <w:tabs>
          <w:tab w:leader="none" w:pos="15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 or</w:t>
      </w:r>
    </w:p>
    <w:p>
      <w:pPr>
        <w:spacing w:after="0" w:line="69" w:lineRule="exact"/>
        <w:rPr>
          <w:sz w:val="24"/>
          <w:szCs w:val="24"/>
          <w:color w:val="auto"/>
        </w:rPr>
      </w:pPr>
    </w:p>
    <w:p>
      <w:pPr>
        <w:ind w:left="1500" w:hanging="820"/>
        <w:spacing w:after="0"/>
        <w:tabs>
          <w:tab w:leader="none" w:pos="15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58"/>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80" w:type="dxa"/>
            <w:vAlign w:val="bottom"/>
            <w:gridSpan w:val="4"/>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Commission File Number: 001-12400</w:t>
            </w:r>
          </w:p>
        </w:tc>
      </w:tr>
      <w:tr>
        <w:trPr>
          <w:trHeight w:val="28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center"/>
              <w:ind w:right="3688"/>
              <w:spacing w:after="0"/>
              <w:rPr>
                <w:sz w:val="20"/>
                <w:szCs w:val="20"/>
                <w:color w:val="auto"/>
              </w:rPr>
            </w:pPr>
            <w:r>
              <w:rPr>
                <w:rFonts w:ascii="Times New Roman" w:cs="Times New Roman" w:eastAsia="Times New Roman" w:hAnsi="Times New Roman"/>
                <w:sz w:val="23"/>
                <w:szCs w:val="23"/>
                <w:b w:val="1"/>
                <w:bCs w:val="1"/>
                <w:color w:val="auto"/>
              </w:rPr>
              <w:t>INCYTE CORPORATION</w:t>
            </w:r>
          </w:p>
        </w:tc>
      </w:tr>
      <w:tr>
        <w:trPr>
          <w:trHeight w:val="188"/>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80" w:type="dxa"/>
            <w:vAlign w:val="bottom"/>
            <w:gridSpan w:val="4"/>
          </w:tcPr>
          <w:p>
            <w:pPr>
              <w:jc w:val="center"/>
              <w:ind w:right="366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05"/>
        </w:trPr>
        <w:tc>
          <w:tcPr>
            <w:tcW w:w="3760" w:type="dxa"/>
            <w:vAlign w:val="bottom"/>
            <w:gridSpan w:val="2"/>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80" w:type="dxa"/>
            <w:vAlign w:val="bottom"/>
          </w:tcPr>
          <w:p>
            <w:pPr>
              <w:spacing w:after="0"/>
              <w:rPr>
                <w:sz w:val="24"/>
                <w:szCs w:val="24"/>
                <w:color w:val="auto"/>
              </w:rPr>
            </w:pPr>
          </w:p>
        </w:tc>
        <w:tc>
          <w:tcPr>
            <w:tcW w:w="4900" w:type="dxa"/>
            <w:vAlign w:val="bottom"/>
            <w:gridSpan w:val="3"/>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94-3136539</w:t>
            </w:r>
          </w:p>
        </w:tc>
      </w:tr>
      <w:tr>
        <w:trPr>
          <w:trHeight w:val="203"/>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color w:val="auto"/>
              </w:rPr>
              <w:t>(State of other jurisdiction</w:t>
            </w:r>
          </w:p>
        </w:tc>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8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1"/>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1801 Augustine Cut-Off</w:t>
            </w:r>
          </w:p>
        </w:tc>
        <w:tc>
          <w:tcPr>
            <w:tcW w:w="2580" w:type="dxa"/>
            <w:vAlign w:val="bottom"/>
          </w:tcPr>
          <w:p>
            <w:pPr>
              <w:spacing w:after="0"/>
              <w:rPr>
                <w:sz w:val="13"/>
                <w:szCs w:val="13"/>
                <w:color w:val="auto"/>
              </w:rPr>
            </w:pPr>
          </w:p>
        </w:tc>
        <w:tc>
          <w:tcPr>
            <w:tcW w:w="4900" w:type="dxa"/>
            <w:vAlign w:val="bottom"/>
            <w:gridSpan w:val="3"/>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19803</w:t>
            </w:r>
          </w:p>
        </w:tc>
      </w:tr>
      <w:tr>
        <w:trPr>
          <w:trHeight w:val="190"/>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Wilmington, DE</w:t>
            </w:r>
          </w:p>
        </w:tc>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189"/>
        </w:trPr>
        <w:tc>
          <w:tcPr>
            <w:tcW w:w="6340" w:type="dxa"/>
            <w:vAlign w:val="bottom"/>
            <w:gridSpan w:val="3"/>
          </w:tcPr>
          <w:p>
            <w:pPr>
              <w:jc w:val="center"/>
              <w:ind w:right="642"/>
              <w:spacing w:after="0"/>
              <w:rPr>
                <w:sz w:val="20"/>
                <w:szCs w:val="20"/>
                <w:color w:val="auto"/>
              </w:rPr>
            </w:pPr>
            <w:r>
              <w:rPr>
                <w:rFonts w:ascii="Times New Roman" w:cs="Times New Roman" w:eastAsia="Times New Roman" w:hAnsi="Times New Roman"/>
                <w:sz w:val="14"/>
                <w:szCs w:val="14"/>
                <w:color w:val="auto"/>
              </w:rPr>
              <w:t>(Address of principal executives offices)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68"/>
              <w:spacing w:after="0"/>
              <w:rPr>
                <w:sz w:val="20"/>
                <w:szCs w:val="20"/>
                <w:color w:val="auto"/>
              </w:rPr>
            </w:pPr>
            <w:r>
              <w:rPr>
                <w:rFonts w:ascii="Times New Roman" w:cs="Times New Roman" w:eastAsia="Times New Roman" w:hAnsi="Times New Roman"/>
                <w:sz w:val="14"/>
                <w:szCs w:val="14"/>
                <w:color w:val="auto"/>
              </w:rPr>
              <w:t>(zip code)</w:t>
            </w: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900" w:type="dxa"/>
            <w:vAlign w:val="bottom"/>
            <w:gridSpan w:val="3"/>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(302) 498-6700</w:t>
            </w: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00" w:type="dxa"/>
            <w:vAlign w:val="bottom"/>
            <w:gridSpan w:val="3"/>
          </w:tcPr>
          <w:p>
            <w:pPr>
              <w:jc w:val="center"/>
              <w:ind w:right="6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8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center"/>
              <w:ind w:right="368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3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tcPr>
          <w:p>
            <w:pPr>
              <w:jc w:val="center"/>
              <w:ind w:left="104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580" w:type="dxa"/>
            <w:vAlign w:val="bottom"/>
          </w:tcPr>
          <w:p>
            <w:pPr>
              <w:jc w:val="center"/>
              <w:ind w:left="1042"/>
              <w:spacing w:after="0"/>
              <w:rPr>
                <w:sz w:val="20"/>
                <w:szCs w:val="20"/>
                <w:color w:val="auto"/>
              </w:rPr>
            </w:pPr>
            <w:r>
              <w:rPr>
                <w:rFonts w:ascii="Times New Roman" w:cs="Times New Roman" w:eastAsia="Times New Roman" w:hAnsi="Times New Roman"/>
                <w:sz w:val="14"/>
                <w:szCs w:val="14"/>
                <w:color w:val="auto"/>
                <w:w w:val="99"/>
              </w:rPr>
              <w:t>INCY</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84" w:lineRule="exact"/>
        <w:rPr>
          <w:sz w:val="24"/>
          <w:szCs w:val="24"/>
          <w:color w:val="auto"/>
        </w:rPr>
      </w:pPr>
    </w:p>
    <w:p>
      <w:pPr>
        <w:ind w:left="660" w:right="2860"/>
        <w:spacing w:after="0" w:line="37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 (d)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ind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300"/>
        <w:spacing w:after="0"/>
        <w:tabs>
          <w:tab w:leader="none" w:pos="1820" w:val="left"/>
          <w:tab w:leader="none" w:pos="2380" w:val="left"/>
          <w:tab w:leader="none" w:pos="3580" w:val="left"/>
          <w:tab w:leader="none" w:pos="4200" w:val="left"/>
          <w:tab w:leader="none" w:pos="5720" w:val="left"/>
          <w:tab w:leader="none" w:pos="6400" w:val="left"/>
          <w:tab w:leader="none" w:pos="8320" w:val="left"/>
          <w:tab w:leader="none" w:pos="8920" w:val="left"/>
          <w:tab w:leader="none" w:pos="107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Wingdings" w:cs="Wingdings" w:eastAsia="Wingdings" w:hAnsi="Wingdings"/>
          <w:sz w:val="29"/>
          <w:szCs w:val="29"/>
          <w:b w:val="1"/>
          <w:bCs w:val="1"/>
          <w:color w:val="auto"/>
          <w:vertAlign w:val="subscript"/>
        </w:rPr>
        <w:t>o</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4"/>
          <w:szCs w:val="14"/>
          <w:b w:val="1"/>
          <w:bCs w:val="1"/>
          <w:color w:val="auto"/>
        </w:rPr>
        <w:t>o</w:t>
      </w:r>
    </w:p>
    <w:p>
      <w:pPr>
        <w:spacing w:after="0" w:line="168" w:lineRule="exact"/>
        <w:rPr>
          <w:sz w:val="24"/>
          <w:szCs w:val="24"/>
          <w:color w:val="auto"/>
        </w:rPr>
      </w:pPr>
    </w:p>
    <w:p>
      <w:pPr>
        <w:ind w:right="58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240" w:firstLine="648"/>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firstLine="648"/>
        <w:spacing w:after="0" w:line="31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r>
        <w:rPr>
          <w:rFonts w:ascii="Wingdings" w:cs="Wingdings" w:eastAsia="Wingdings" w:hAnsi="Wingdings"/>
          <w:sz w:val="14"/>
          <w:szCs w:val="14"/>
          <w:b w:val="1"/>
          <w:bCs w:val="1"/>
          <w:color w:val="auto"/>
        </w:rPr>
        <w:t>o</w:t>
      </w:r>
    </w:p>
    <w:p>
      <w:pPr>
        <w:spacing w:after="0" w:line="4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8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aggregate market value of Common Stock held by non-affiliates (based on the closing sale price on The Nasdaq Global Select Market on June 28, 2024) was approximately $9.9</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billion.</w:t>
      </w:r>
    </w:p>
    <w:p>
      <w:pPr>
        <w:spacing w:after="0" w:line="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February 3, 2025 there were 193,524,350 shares of Common Stock, $.001 par value per share, outstanding.</w:t>
      </w:r>
    </w:p>
    <w:p>
      <w:pPr>
        <w:spacing w:after="0" w:line="1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jc w:val="both"/>
        <w:ind w:firstLine="648"/>
        <w:spacing w:after="0" w:line="271" w:lineRule="auto"/>
        <w:rPr>
          <w:sz w:val="20"/>
          <w:szCs w:val="20"/>
          <w:color w:val="auto"/>
        </w:rPr>
      </w:pPr>
      <w:r>
        <w:rPr>
          <w:rFonts w:ascii="Times New Roman" w:cs="Times New Roman" w:eastAsia="Times New Roman" w:hAnsi="Times New Roman"/>
          <w:sz w:val="14"/>
          <w:szCs w:val="14"/>
          <w:color w:val="auto"/>
        </w:rPr>
        <w:t>Items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2025 Annual Meeting of Stockholders to be held on June 10,</w:t>
      </w:r>
    </w:p>
    <w:p>
      <w:pPr>
        <w:sectPr>
          <w:pgSz w:w="11900" w:h="16838" w:orient="portrait"/>
          <w:cols w:equalWidth="0" w:num="1">
            <w:col w:w="11240"/>
          </w:cols>
          <w:pgMar w:left="320" w:top="513"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2025</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4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6720" w:type="dxa"/>
            <w:vAlign w:val="bottom"/>
            <w:gridSpan w:val="13"/>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20" w:type="dxa"/>
            <w:vAlign w:val="bottom"/>
          </w:tcPr>
          <w:p>
            <w:pPr>
              <w:spacing w:after="0"/>
              <w:rPr>
                <w:sz w:val="24"/>
                <w:szCs w:val="24"/>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00" w:type="dxa"/>
            <w:vAlign w:val="bottom"/>
            <w:gridSpan w:val="6"/>
          </w:tcPr>
          <w:p>
            <w:pPr>
              <w:spacing w:after="0"/>
              <w:rPr>
                <w:sz w:val="18"/>
                <w:szCs w:val="18"/>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7"/>
              </w:rPr>
              <w:t>Business</w:t>
            </w:r>
          </w:p>
        </w:tc>
        <w:tc>
          <w:tcPr>
            <w:tcW w:w="8180" w:type="dxa"/>
            <w:vAlign w:val="bottom"/>
            <w:gridSpan w:val="24"/>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820" w:type="dxa"/>
            <w:vAlign w:val="bottom"/>
            <w:gridSpan w:val="5"/>
          </w:tcPr>
          <w:p>
            <w:pPr>
              <w:spacing w:after="0"/>
              <w:rPr>
                <w:sz w:val="20"/>
                <w:szCs w:val="20"/>
                <w:color w:val="auto"/>
              </w:rPr>
            </w:pPr>
          </w:p>
        </w:tc>
        <w:tc>
          <w:tcPr>
            <w:tcW w:w="19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780" w:type="dxa"/>
            <w:vAlign w:val="bottom"/>
            <w:gridSpan w:val="14"/>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20" w:type="dxa"/>
            <w:vAlign w:val="bottom"/>
          </w:tcPr>
          <w:p>
            <w:pPr>
              <w:spacing w:after="0"/>
              <w:rPr>
                <w:sz w:val="20"/>
                <w:szCs w:val="20"/>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Borders>
              <w:top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0"/>
              </w:rPr>
              <w:t>Properties</w:t>
            </w:r>
          </w:p>
        </w:tc>
        <w:tc>
          <w:tcPr>
            <w:tcW w:w="260" w:type="dxa"/>
            <w:vAlign w:val="bottom"/>
            <w:tcBorders>
              <w:top w:val="single" w:sz="8" w:color="0000FF"/>
            </w:tcBorders>
            <w:gridSpan w:val="2"/>
          </w:tcPr>
          <w:p>
            <w:pPr>
              <w:spacing w:after="0"/>
              <w:rPr>
                <w:sz w:val="20"/>
                <w:szCs w:val="20"/>
                <w:color w:val="auto"/>
              </w:rPr>
            </w:pPr>
          </w:p>
        </w:tc>
        <w:tc>
          <w:tcPr>
            <w:tcW w:w="7820" w:type="dxa"/>
            <w:vAlign w:val="bottom"/>
            <w:gridSpan w:val="20"/>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00" w:type="dxa"/>
            <w:vAlign w:val="bottom"/>
            <w:gridSpan w:val="6"/>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00" w:type="dxa"/>
            <w:vAlign w:val="bottom"/>
            <w:gridSpan w:val="6"/>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20" w:type="dxa"/>
            <w:vAlign w:val="bottom"/>
          </w:tcPr>
          <w:p>
            <w:pPr>
              <w:spacing w:after="0"/>
              <w:rPr>
                <w:sz w:val="20"/>
                <w:szCs w:val="20"/>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740" w:type="dxa"/>
            <w:vAlign w:val="bottom"/>
            <w:gridSpan w:val="4"/>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Borders>
              <w:top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80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Borders>
              <w:bottom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6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360" w:type="dxa"/>
            <w:vAlign w:val="bottom"/>
            <w:gridSpan w:val="4"/>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6"/>
        </w:trPr>
        <w:tc>
          <w:tcPr>
            <w:tcW w:w="20" w:type="dxa"/>
            <w:vAlign w:val="bottom"/>
          </w:tcPr>
          <w:p>
            <w:pPr>
              <w:spacing w:after="0"/>
              <w:rPr>
                <w:sz w:val="20"/>
                <w:szCs w:val="20"/>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820" w:type="dxa"/>
            <w:vAlign w:val="bottom"/>
            <w:gridSpan w:val="5"/>
          </w:tcPr>
          <w:p>
            <w:pPr>
              <w:spacing w:after="0"/>
              <w:rPr>
                <w:sz w:val="20"/>
                <w:szCs w:val="20"/>
                <w:color w:val="auto"/>
              </w:rPr>
            </w:pPr>
          </w:p>
        </w:tc>
        <w:tc>
          <w:tcPr>
            <w:tcW w:w="43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60" w:type="dxa"/>
            <w:vAlign w:val="bottom"/>
            <w:gridSpan w:val="7"/>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20"/>
                <w:szCs w:val="20"/>
                <w:color w:val="auto"/>
              </w:rPr>
            </w:pP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20" w:type="dxa"/>
            <w:vAlign w:val="bottom"/>
            <w:gridSpan w:val="5"/>
          </w:tcPr>
          <w:p>
            <w:pPr>
              <w:spacing w:after="0"/>
              <w:rPr>
                <w:sz w:val="20"/>
                <w:szCs w:val="20"/>
                <w:color w:val="auto"/>
              </w:rPr>
            </w:pPr>
          </w:p>
        </w:tc>
        <w:tc>
          <w:tcPr>
            <w:tcW w:w="1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60" w:type="dxa"/>
            <w:vAlign w:val="bottom"/>
            <w:gridSpan w:val="16"/>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820" w:type="dxa"/>
            <w:vAlign w:val="bottom"/>
            <w:gridSpan w:val="5"/>
          </w:tcPr>
          <w:p>
            <w:pPr>
              <w:spacing w:after="0"/>
              <w:rPr>
                <w:sz w:val="20"/>
                <w:szCs w:val="20"/>
                <w:color w:val="auto"/>
              </w:rPr>
            </w:pPr>
          </w:p>
        </w:tc>
        <w:tc>
          <w:tcPr>
            <w:tcW w:w="4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3920" w:type="dxa"/>
            <w:vAlign w:val="bottom"/>
            <w:gridSpan w:val="6"/>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6"/>
        </w:trPr>
        <w:tc>
          <w:tcPr>
            <w:tcW w:w="2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820" w:type="dxa"/>
            <w:vAlign w:val="bottom"/>
            <w:gridSpan w:val="5"/>
          </w:tcPr>
          <w:p>
            <w:pPr>
              <w:spacing w:after="0"/>
              <w:rPr>
                <w:sz w:val="20"/>
                <w:szCs w:val="20"/>
                <w:color w:val="auto"/>
              </w:rPr>
            </w:pPr>
          </w:p>
        </w:tc>
        <w:tc>
          <w:tcPr>
            <w:tcW w:w="17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5"/>
              </w:rPr>
              <w:t>Executive Compensation</w:t>
            </w:r>
          </w:p>
        </w:tc>
        <w:tc>
          <w:tcPr>
            <w:tcW w:w="2280" w:type="dxa"/>
            <w:vAlign w:val="bottom"/>
            <w:tcBorders>
              <w:top w:val="single" w:sz="8" w:color="0000FF"/>
            </w:tcBorders>
            <w:gridSpan w:val="7"/>
          </w:tcPr>
          <w:p>
            <w:pPr>
              <w:spacing w:after="0"/>
              <w:rPr>
                <w:sz w:val="20"/>
                <w:szCs w:val="20"/>
                <w:color w:val="auto"/>
              </w:rPr>
            </w:pPr>
          </w:p>
        </w:tc>
        <w:tc>
          <w:tcPr>
            <w:tcW w:w="4740" w:type="dxa"/>
            <w:vAlign w:val="bottom"/>
            <w:gridSpan w:val="8"/>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12.</w:t>
            </w: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00" w:type="dxa"/>
            <w:vAlign w:val="bottom"/>
            <w:gridSpan w:val="3"/>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7"/>
        </w:trPr>
        <w:tc>
          <w:tcPr>
            <w:tcW w:w="20" w:type="dxa"/>
            <w:vAlign w:val="bottom"/>
          </w:tcPr>
          <w:p>
            <w:pPr>
              <w:spacing w:after="0"/>
              <w:rPr>
                <w:sz w:val="20"/>
                <w:szCs w:val="20"/>
                <w:color w:val="auto"/>
              </w:rPr>
            </w:pPr>
          </w:p>
        </w:tc>
        <w:tc>
          <w:tcPr>
            <w:tcW w:w="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700" w:type="dxa"/>
            <w:vAlign w:val="bottom"/>
            <w:gridSpan w:val="3"/>
          </w:tcPr>
          <w:p>
            <w:pPr>
              <w:spacing w:after="0"/>
              <w:rPr>
                <w:sz w:val="20"/>
                <w:szCs w:val="20"/>
                <w:color w:val="auto"/>
              </w:rPr>
            </w:pPr>
          </w:p>
        </w:tc>
        <w:tc>
          <w:tcPr>
            <w:tcW w:w="53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80" w:type="dxa"/>
            <w:vAlign w:val="bottom"/>
            <w:gridSpan w:val="5"/>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700" w:type="dxa"/>
            <w:vAlign w:val="bottom"/>
            <w:gridSpan w:val="3"/>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9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gridSpan w:val="18"/>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72" w:lineRule="exact"/>
        <w:rPr>
          <w:sz w:val="20"/>
          <w:szCs w:val="20"/>
          <w:color w:val="auto"/>
        </w:rPr>
      </w:pPr>
    </w:p>
    <w:p>
      <w:pPr>
        <w:jc w:val="both"/>
        <w:ind w:left="980" w:hanging="324"/>
        <w:spacing w:after="0"/>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ZYNYZ</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 and NIKTIMVO</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(axatilimab);</w:t>
      </w:r>
    </w:p>
    <w:p>
      <w:pPr>
        <w:spacing w:after="0" w:line="2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and other financial impacts associated with resolving matters in litigation and governmental proceedings;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58"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drug products and the drug candidates licensed from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 and governmental proceedings;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 conflicts in the Middle East; and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and NIKTIMVO is our trademark.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also refer to trademarks of other corporations and organizations in this Annual Report on Form 10-K.</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6" w:lineRule="exact"/>
        <w:rPr>
          <w:sz w:val="20"/>
          <w:szCs w:val="20"/>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9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3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one of our drug candidates receives regulatory approval, we may determine that commercialization would not be worth the investment.</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equity investments are subject to risks that could adversely affect our overall financial position, and tax law changes could adversely affect our results of operations and financial condition.</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3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hematology and oncology franchise comprises six approved products, which are JAKAFI (ruxolitinib), MONJUVI (tafasitamab-cxix)/MINJUVI (tafasitamab), PEMAZYRE (pemigatinib), ICLUSIG (ponatinib), ZYNYZ (retifanlimab-dlwr), and NIKTIMVO (axatilimab-csfr), as well as numerous clinical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whole blood, which can lead to a thickening of the blood and an increased risk of blood clots, as well as an elevated white blood cell and platelet count.</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 dissimilar stem cells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tissue). In GVHD, the donated bone marrow or peripheral blood stem cells view the recipient’s body as foreign and attack various tissues.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5 of Notes to the Consolidated Financial Statements, in February 2024, we entered into a purchase agreement with MorphoSys, and as a result, we now hold exclusive global rights for tafasitamab, and the collaboration and license agreement was terminated.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NCCN Clinical Practice Guidelines in Oncology for B-cell Lymphomas.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2024, we submitted a sBLA for tafasitamab in relapsed or refractory follicular lymphoma (FL) to the FDA.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(NMPA) of the People</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fibroblast growth receptor 2 (FGFR2) fusion or rearrangement as confirmed by a validated diagnostic test that has progressed after at least one prior line of systemic therapy.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under accelerated approval, for the treatment of adults with metastatic or recurrent locally advanced Merkel cell carcinoma (MCC). This represents the first regulatory approval for our PD-1 inhibitor.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the European Commission approved ZYNYZ (retifanlimab) as monotherapy for the first-line treatment of adult patients with metastatic or recurrent locally advanced MCC not amenable to curative surgery or radiation therapy following a positive opinion from the Committee for Medicinal Products for Human Use (CHMP).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2024, we announced positive results from the Phase 3 POD1UM-303/InterAACT2 trial of ZYNYZ (retifanlimab) in combination with platinum-based chemotherapy (carboplatin–paclitaxel) for the treatment of adults with inoperable locally recurrent or metastatic SCAC.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supplemental Biologics License Application (sBLA) submission for retifanlimab in advanced/metastatic SCAC was filed with the FDA with approval anticipated in the second half of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we and Syndax Pharmaceuticals, Inc. announced an exclusive worldwide collaboration and license agreement to develop and commercialize axatilimab, Syndax’s anti-CSF-1R monoclonal antibody. Together, we are developing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and accepted for Priority Review in February 2024. We have initiated two combination trials with axatilimab in cGVHD in 2024, including a randomized Phase 2 combination trial with ruxolitinib and a randomized Phase 3 combination trial with steroids, both directed at treating patients with cGVHD in earlier lines of therapy.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2024, we and Syndax announced the FDA approval of NIKTIMVO (axatilimab-csfr) for the treatment of chronic GVHD after failure of at least two prior lines of systemic therapy in adult and pediatric patients. NIKTIMVO is the first approved anti-CSF-1R antibody targeting the drivers of inflammation and fibrosis seen in chronic GVHD. In September, we and Syndax announced the New England Journal of Medicine publication of data from the pivotal AGAVE-201 trial of NIKTIMVO in chronic GVHD and the addition of NIKTIMVO to the NCCN Clinical Practice Guidelines in Oncology for the treatment of chronic GVHD. In January 2025, the FDA approved two smaller vial sizes (9mg and 22mg) of NIKTIMVO to facilitate patient dosing and limit product waste. The U.S. commercial launch of NIKTIMVO commenced at the end of January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in combinations. Bioavailability and bioequivalence data were published for ruxolitinib’s once-daily (QD) extended release (XR) formulation at the European Hematology Association (EHA) Virtual Congress in June 2021. In March 2023, the FDA issued a complete response letter for ruxolitinib extended-release (XR) tablets for once-daily (QD) use in the treatment of certain types of MF, PV and GVHD. In December 2023, we received FDA feedback and agreed on the requirements to address the complete response letter.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in patients with MF are ongoing with data presented demonstrating early signals of clinical activity in monotherapy and in combination with ruxolitinib.</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American Society of Hematology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A Phase 1 study of INCB160058 was initiated in the first quarter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2024, we announced the full results from the pivotal Phase 3 inMIND trial evaluating treatment with tafasitamab in combination with lenalidomide and rituximab compared with placebo plus lenalidomide and rituximab in patients with relapsed or refractory follicular lymphoma (FL). The data showed that the study met its primary endpoint by demonstrating a statistically significant and clinically meaningful improvement in progression-free survival (PFS) by investigator assessment in 548 patients with FL. Tafasitamab was generally well-tolerated, and safety was consistent with other CD19 and immunotherapy combination regimens.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2024, we announced positive topline results from both the two Phase 3 clinical studies evaluating retifanlimab, a humanized monoclonal antibody targeting programmed cell death receptor-1 (PD-1), in SCAC and NSCLC. The phase 3 study in SCAC met its primary endpoint of progression free survival while the Phase 3 study in NSCLC meet its primary endpoint of overall survival. The safety analysis from both studies showed retifanlimab was generally well-tolerated with no new safety signals observed. POD1UM-303 is a Phase 3, global, multicenter, randomized, double-blind study evaluating carboplatin-paclitaxel with retifanlimab or placebo in patients with inoperable locally recurrent or metastatic SCAC who have not previously been treated with chemotherapy. POD1UM-304 is a Phase 3, global, multicenter, randomized, double-blind study evaluating platinum-based chemotherapy with retifanlimab or placebo in patients with first-line, metastatic squamous or nonsquamous NSCLC.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2024, we presented late-breaking Phase 3 results for retifanlimab that were featured during the 2024 European Society for Medical Oncology (ESMO) Presidential Symposium. The Phase 3 POD1UM-303/InterAACT2 trial for retifanlimab met the primary endpoint of PFS and demonstrated improvement across key secondary endpoints in patients with SCAC receiving retifanlimab in combination with platinum-based chemotherapy (carboplatin-paclitaxel).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9"/>
        </w:trPr>
        <w:tc>
          <w:tcPr>
            <w:tcW w:w="3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780" w:type="dxa"/>
            <w:vAlign w:val="bottom"/>
            <w:shd w:val="clear" w:color="auto" w:fill="CCEEFF"/>
          </w:tcPr>
          <w:p>
            <w:pPr>
              <w:ind w:left="500"/>
              <w:spacing w:after="0" w:line="189"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780" w:type="dxa"/>
            <w:vAlign w:val="bottom"/>
            <w:shd w:val="clear" w:color="auto" w:fill="CCEEFF"/>
          </w:tcPr>
          <w:p>
            <w:pPr>
              <w:spacing w:after="0"/>
              <w:rPr>
                <w:sz w:val="19"/>
                <w:szCs w:val="19"/>
                <w:color w:val="auto"/>
              </w:rPr>
            </w:pPr>
          </w:p>
        </w:tc>
      </w:tr>
      <w:tr>
        <w:trPr>
          <w:trHeight w:val="22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BETi)</w:t>
            </w:r>
          </w:p>
        </w:tc>
        <w:tc>
          <w:tcPr>
            <w:tcW w:w="778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21"/>
        </w:trPr>
        <w:tc>
          <w:tcPr>
            <w:tcW w:w="34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3"/>
                <w:szCs w:val="23"/>
                <w:b w:val="1"/>
                <w:bCs w:val="1"/>
                <w:color w:val="auto"/>
                <w:vertAlign w:val="superscript"/>
              </w:rPr>
              <w:t>1</w:t>
            </w:r>
          </w:p>
        </w:tc>
        <w:tc>
          <w:tcPr>
            <w:tcW w:w="7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Chronic GVHD: Phase 2</w:t>
            </w:r>
          </w:p>
        </w:tc>
      </w:tr>
      <w:tr>
        <w:trPr>
          <w:trHeight w:val="245"/>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780" w:type="dxa"/>
            <w:vAlign w:val="bottom"/>
            <w:tcBorders>
              <w:bottom w:val="single" w:sz="8" w:color="CCEEFF"/>
            </w:tcBorders>
            <w:shd w:val="clear" w:color="auto" w:fill="CCEEFF"/>
          </w:tcPr>
          <w:p>
            <w:pPr>
              <w:spacing w:after="0"/>
              <w:rPr>
                <w:sz w:val="21"/>
                <w:szCs w:val="21"/>
                <w:color w:val="auto"/>
              </w:rPr>
            </w:pPr>
          </w:p>
        </w:tc>
      </w:tr>
      <w:tr>
        <w:trPr>
          <w:trHeight w:val="207"/>
        </w:trPr>
        <w:tc>
          <w:tcPr>
            <w:tcW w:w="34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Steroids + axatilimab</w:t>
            </w:r>
            <w:r>
              <w:rPr>
                <w:rFonts w:ascii="Times New Roman" w:cs="Times New Roman" w:eastAsia="Times New Roman" w:hAnsi="Times New Roman"/>
                <w:sz w:val="23"/>
                <w:szCs w:val="23"/>
                <w:b w:val="1"/>
                <w:bCs w:val="1"/>
                <w:color w:val="auto"/>
                <w:vertAlign w:val="superscript"/>
              </w:rPr>
              <w:t>1</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Chronic GVHD: Phase 3</w:t>
            </w:r>
          </w:p>
        </w:tc>
      </w:t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(Steroids + anti-CSF-1R)</w:t>
            </w:r>
          </w:p>
        </w:tc>
        <w:tc>
          <w:tcPr>
            <w:tcW w:w="778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INCA33989</w:t>
            </w:r>
          </w:p>
        </w:tc>
        <w:tc>
          <w:tcPr>
            <w:tcW w:w="7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45"/>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(mutCALR)</w:t>
            </w:r>
          </w:p>
        </w:tc>
        <w:tc>
          <w:tcPr>
            <w:tcW w:w="7780" w:type="dxa"/>
            <w:vAlign w:val="bottom"/>
            <w:tcBorders>
              <w:bottom w:val="single" w:sz="8" w:color="CCEEFF"/>
            </w:tcBorders>
            <w:shd w:val="clear" w:color="auto" w:fill="CCEEFF"/>
          </w:tcPr>
          <w:p>
            <w:pPr>
              <w:spacing w:after="0"/>
              <w:rPr>
                <w:sz w:val="21"/>
                <w:szCs w:val="21"/>
                <w:color w:val="auto"/>
              </w:rPr>
            </w:pP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INCB160058</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Myelofibrosis: Phase 1</w:t>
            </w:r>
          </w:p>
        </w:tc>
      </w:t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78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2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1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43"/>
        </w:trPr>
        <w:tc>
          <w:tcPr>
            <w:tcW w:w="346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Relapsed or refractory follicular lymphoma (FL): Phase 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MIND)</w:t>
            </w:r>
          </w:p>
        </w:tc>
      </w:tr>
      <w:tr>
        <w:trPr>
          <w:trHeight w:val="221"/>
        </w:trPr>
        <w:tc>
          <w:tcPr>
            <w:tcW w:w="346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3"/>
                <w:szCs w:val="23"/>
                <w:b w:val="1"/>
                <w:bCs w:val="1"/>
                <w:color w:val="auto"/>
                <w:vertAlign w:val="superscript"/>
              </w:rPr>
              <w:t>2</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Squamous cell anal cancer (SCAC): Phase 3 (POD1UM-303)</w:t>
            </w: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34"/>
        </w:trPr>
        <w:tc>
          <w:tcPr>
            <w:tcW w:w="3460" w:type="dxa"/>
            <w:vAlign w:val="bottom"/>
          </w:tcPr>
          <w:p>
            <w:pPr>
              <w:spacing w:after="0"/>
              <w:rPr>
                <w:sz w:val="20"/>
                <w:szCs w:val="20"/>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7"/>
        </w:trPr>
        <w:tc>
          <w:tcPr>
            <w:tcW w:w="346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2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Solid tumors with CCNE1 amplification/Cyclin E overexpression: Phase 1</w:t>
            </w:r>
          </w:p>
        </w:tc>
      </w:tr>
      <w:tr>
        <w:trPr>
          <w:trHeight w:val="245"/>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780" w:type="dxa"/>
            <w:vAlign w:val="bottom"/>
            <w:tcBorders>
              <w:bottom w:val="single" w:sz="8" w:color="CCEEFF"/>
            </w:tcBorders>
            <w:shd w:val="clear" w:color="auto" w:fill="CCEEFF"/>
          </w:tcPr>
          <w:p>
            <w:pPr>
              <w:spacing w:after="0"/>
              <w:rPr>
                <w:sz w:val="21"/>
                <w:szCs w:val="21"/>
                <w:color w:val="auto"/>
              </w:rPr>
            </w:pPr>
          </w:p>
        </w:tc>
      </w:tr>
      <w:tr>
        <w:trPr>
          <w:trHeight w:val="22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Advanced metastatic solid tumors with a KRASG12D mutation: Phase 1</w:t>
            </w:r>
          </w:p>
        </w:tc>
      </w:t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78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INCA33890</w:t>
            </w:r>
          </w:p>
        </w:tc>
        <w:tc>
          <w:tcPr>
            <w:tcW w:w="7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Advanced or metastatic solid tumors: Phase 1</w:t>
            </w:r>
          </w:p>
        </w:tc>
      </w:tr>
      <w:tr>
        <w:trPr>
          <w:trHeight w:val="26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(TGFßR2×PD-1)</w:t>
            </w:r>
            <w:r>
              <w:rPr>
                <w:rFonts w:ascii="Times New Roman" w:cs="Times New Roman" w:eastAsia="Times New Roman" w:hAnsi="Times New Roman"/>
                <w:sz w:val="23"/>
                <w:szCs w:val="23"/>
                <w:b w:val="1"/>
                <w:bCs w:val="1"/>
                <w:color w:val="auto"/>
                <w:vertAlign w:val="superscript"/>
              </w:rPr>
              <w:t>3</w:t>
            </w:r>
          </w:p>
        </w:tc>
        <w:tc>
          <w:tcPr>
            <w:tcW w:w="7780" w:type="dxa"/>
            <w:vAlign w:val="bottom"/>
            <w:tcBorders>
              <w:bottom w:val="single" w:sz="8" w:color="auto"/>
            </w:tcBorders>
            <w:shd w:val="clear" w:color="auto" w:fill="CCEEFF"/>
          </w:tcPr>
          <w:p>
            <w:pPr>
              <w:spacing w:after="0"/>
              <w:rPr>
                <w:sz w:val="23"/>
                <w:szCs w:val="23"/>
                <w:color w:val="auto"/>
              </w:rPr>
            </w:pPr>
          </w:p>
        </w:tc>
      </w:tr>
    </w:tbl>
    <w:p>
      <w:pPr>
        <w:spacing w:after="0" w:line="33"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Clinical development of axatilimab in GVHD conducted in collaboration with Syndax Pharmaceuticals.</w:t>
      </w:r>
    </w:p>
    <w:p>
      <w:pPr>
        <w:spacing w:after="0" w:line="1"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Merus.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2024, we announced a strategic review of our pipeline with an increased focus on high potential impact programs. As a result, we discontinued further development of both oral, small molecule PD-L1 inhibitors. Additionally, we plan to forgo further development of our LAG-3 monoclonal antibody, TIM-3 monoclonal antibody and LAG-3xPD-1 bispecific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2023, we presented data at the American Association for Cancer Research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(PR) across multiple tumor types including ovarian cancer patients with CCNE1 amplification and/or over expression. The safety data seen during this disclosure aligns with CDK2 mechanism of action. Additional data from this trial is anticipated in 2025.</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2024, we presented initial data from the Phase 1 CDK2 inhibitor program at the 2024 ESMO Congress. Phase 1 data of INCB123667 were presented demonstrating single-agent antitumor activity across a range of doses and regimens, notably in patients with ovarian cancer and endometrial cancer whose tumors overexpress Cyclin E1. The Phase 1 trial is ongoing with INCB123667 in combination with other agents. We currently anticipate initiating a pivotal trial in ovarian cancer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INCB161734 (KRASG12D)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Phase 1 study evaluating INCB161734 (KRASG12D) was initiated in the first quarter of 2024. INCB161734 is a potent, selective and orally bioavailable KRAS G12D inhibitor and, as highlighted at AACR in April 2024, has shown excellent efficacy in several preclinical models. With no currently approved G12D-targeting agents, INCB161734 could address an important patient need as the KRASG12D mutation is found in 40% of pancreatic ductal adenocarcinoma, 15% of colorectal cancers, and 5% of non-small cell lung cancers. Data from the ongoing Phase 1 study is expected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r>
        <w:rPr>
          <w:rFonts w:ascii="Times New Roman" w:cs="Times New Roman" w:eastAsia="Times New Roman" w:hAnsi="Times New Roman"/>
          <w:sz w:val="23"/>
          <w:szCs w:val="23"/>
          <w:b w:val="1"/>
          <w:bCs w:val="1"/>
          <w:i w:val="1"/>
          <w:iCs w:val="1"/>
          <w:color w:val="auto"/>
          <w:vertAlign w:val="superscript"/>
        </w:rPr>
        <w:t>1</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 Data from the ongoing Phase 1 study is expected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IAI efforts also include numerous clinical development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approval of OPZELURA was based on data from two randomized, double-blind, vehicle-controlled Phase 3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collaboration with Merus.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OPZELURA is the first and only FDA approved treatment for repigmentation of vitiligo lesions.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CHMP.</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OPZELURA cream 1.5% was granted a Notice of Compliance by Health Canada for the topical treatment of both mild to moderate atopic dermatitis and nonsegmental vitiligo in patients 12 years of age and 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Ruxolitinib cream is a potent, selective inhibitor of JAK1 and JAK2 that provides the opportunity to directly target diverse pathogenic pathways that underlie certain dermatologic conditions, including AD, vitiligo, lichen planus, lichen sclerosus, hidradenitis suppurativa (HS) and prurigo nodularis (PN).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initiated two Phase 2 trials evaluating ruxolitinib cream in lichen planus and lichen sclerosus. Lichen planus is a recurrent inflammatory condition affecting the skin and mucosal surfaces and can result in itchy, purple bumps on the skin. Two Phase 3 trials evaluating ruxolitinib cream in prurigo nodularis were initiated in 2023. We continue to expand the development of ruxolitinib cream into new indications as part of our efforts to maximize the potential opportunity with ruxolitinib cream.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July 2023, we announced that the Phase 3 trial (TRuE-AD3) evaluating ruxolitinib cream in pediatric AD patients (age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we announced positive topline results from a randomized controlled Phase 2 study evaluating ruxolitinib cream in HS. Ruxolitinib 1.5% cream BID met the primary efficacy endpoint as measured by a change from baseline in abscess and nodule count at Week 16 versus placebo in patients with mild to moderate HS. Ruxolitinib cream was well tolerated and consistent with its known safety profile. A Phase 3 study is expected to initiate in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2024, we disclosed results from the Phase 2 study of ruxolitinib cream in patients with cutaneous lichen planus. At this time, we do not plan to advance ruxolitinib cream into a registrational study for lichen planus and plan to publish the results of this study in the future. Additionally, the Phase 2 study evaluating ruxolitinib cream for lichen sclerosus did not meet our internal bar for success and at this time, we are not planning to advance this indication into a registrational study.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we announced the Phase 3 trial for ruxolitinib cream in mild to moderate HS is on track to initiate in the first half of 2025 following achieving alignment on the study design with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are developing povorcitinib, which is an oral small molecule selective JAK1 inhibitor. Povorcitinib is undergoing evaluation in patients with hidradenitis suppurativa, nonsegmental vitiligo, prurigo nodularis, asthma and chronic spontaneous urticaria (CSU).</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In October 2024, following the positive Phase 2 results, two Phase 3 studies in patients with PN were initiated.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severe uncontrolled asthma and in chronic spontaneous urticaria. Data for CSU are anticipated in the first half of 2025 and data in asthma are anticipated in the second half of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INCB000262 (MRGPRX2) &amp; INCB000547 (MRGPRX4)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more fully described in Note 5 of Notes to the Consolidated Financial Statements, in May 2024, we acquired Escient Pharmaceuticals, Inc. Escient is a clinical-stage drug discovery and development company advancing novel small molecule therapeutics for systemic immune and neuro-immune disorders. Escient’s clinical development portfolio includes INCB000262, a potent, highly selective, once-daily small molecule antagonist of Mas-related G protein-coupled receptor (MRGPRX2) and INCB000547, an oral MRGPRX4 antagonist.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2024, we announced that enrollment was paused in the ongoing Phase 2 study of MRGPRX2 (INCB000262) in CSU. The decision was made following the observation of certain in vivo preclinical toxicology findings. These data have been shared with the FDA and at this time, we have no intention to enroll additional patients. Enrollment in the other INCB000262 proof-of-concept studies in chronic inducible urticaria and AD is complete.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2024, Incyte announced data from the Phase 2 study evaluating MRGPRX4 (INCB000547) in cholestatic pruritus did not support further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21"/>
        </w:trPr>
        <w:tc>
          <w:tcPr>
            <w:tcW w:w="27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3"/>
                <w:szCs w:val="23"/>
                <w:b w:val="1"/>
                <w:bCs w:val="1"/>
                <w:color w:val="auto"/>
                <w:vertAlign w:val="superscript"/>
              </w:rPr>
              <w:t>1</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Atopic dermatitis: Phase 3 pediatric study (TRuE-AD3)</w:t>
            </w:r>
          </w:p>
        </w:tc>
      </w:tr>
      <w:tr>
        <w:trPr>
          <w:trHeight w:val="22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Hidradenitis suppurativa: Phase 2; Phase 3 expected to initiate in 2025</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21"/>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2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6"/>
        </w:trPr>
        <w:tc>
          <w:tcPr>
            <w:tcW w:w="2760" w:type="dxa"/>
            <w:vAlign w:val="bottom"/>
          </w:tcPr>
          <w:p>
            <w:pPr>
              <w:spacing w:after="0"/>
              <w:rPr>
                <w:sz w:val="18"/>
                <w:szCs w:val="18"/>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Prurigo nodularis: Phase 3 (STOP-PN1, STOP-PN2)</w:t>
            </w:r>
          </w:p>
        </w:tc>
      </w:tr>
      <w:tr>
        <w:trPr>
          <w:trHeight w:val="216"/>
        </w:trPr>
        <w:tc>
          <w:tcPr>
            <w:tcW w:w="2760" w:type="dxa"/>
            <w:vAlign w:val="bottom"/>
          </w:tcPr>
          <w:p>
            <w:pPr>
              <w:spacing w:after="0"/>
              <w:rPr>
                <w:sz w:val="18"/>
                <w:szCs w:val="18"/>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34"/>
        </w:trPr>
        <w:tc>
          <w:tcPr>
            <w:tcW w:w="2760" w:type="dxa"/>
            <w:vAlign w:val="bottom"/>
          </w:tcPr>
          <w:p>
            <w:pPr>
              <w:spacing w:after="0"/>
              <w:rPr>
                <w:sz w:val="20"/>
                <w:szCs w:val="20"/>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Vitiligo: Phase 1</w:t>
            </w:r>
          </w:p>
        </w:tc>
      </w:tr>
      <w:tr>
        <w:trPr>
          <w:trHeight w:val="245"/>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(anti-CD122)</w:t>
            </w:r>
          </w:p>
        </w:tc>
        <w:tc>
          <w:tcPr>
            <w:tcW w:w="8480" w:type="dxa"/>
            <w:vAlign w:val="bottom"/>
            <w:tcBorders>
              <w:bottom w:val="single" w:sz="8" w:color="CCEEFF"/>
            </w:tcBorders>
            <w:shd w:val="clear" w:color="auto" w:fill="CCEEFF"/>
          </w:tcPr>
          <w:p>
            <w:pPr>
              <w:spacing w:after="0"/>
              <w:rPr>
                <w:sz w:val="21"/>
                <w:szCs w:val="21"/>
                <w:color w:val="auto"/>
              </w:rPr>
            </w:pPr>
          </w:p>
        </w:tc>
      </w:tr>
      <w:tr>
        <w:trPr>
          <w:trHeight w:val="20"/>
        </w:trPr>
        <w:tc>
          <w:tcPr>
            <w:tcW w:w="2760" w:type="dxa"/>
            <w:vAlign w:val="bottom"/>
            <w:shd w:val="clear" w:color="auto" w:fill="000000"/>
          </w:tcPr>
          <w:p>
            <w:pPr>
              <w:spacing w:after="0" w:line="20" w:lineRule="exact"/>
              <w:rPr>
                <w:sz w:val="1"/>
                <w:szCs w:val="1"/>
                <w:color w:val="auto"/>
              </w:rPr>
            </w:pPr>
          </w:p>
        </w:tc>
        <w:tc>
          <w:tcPr>
            <w:tcW w:w="848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ind w:firstLine="8"/>
        <w:spacing w:after="0" w:line="229" w:lineRule="auto"/>
        <w:tabs>
          <w:tab w:leader="none" w:pos="14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INCA034460 (anti-CD122)</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Other IAI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IAI Program</w:t>
            </w:r>
          </w:p>
        </w:tc>
        <w:tc>
          <w:tcPr>
            <w:tcW w:w="9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9"/>
        </w:trPr>
        <w:tc>
          <w:tcPr>
            <w:tcW w:w="2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9040" w:type="dxa"/>
            <w:vAlign w:val="bottom"/>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30"/>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9040" w:type="dxa"/>
            <w:vAlign w:val="bottom"/>
            <w:tcBorders>
              <w:bottom w:val="single" w:sz="8" w:color="auto"/>
            </w:tcBorders>
            <w:shd w:val="clear" w:color="auto" w:fill="CCEEFF"/>
          </w:tcPr>
          <w:p>
            <w:pPr>
              <w:spacing w:after="0"/>
              <w:rPr>
                <w:sz w:val="19"/>
                <w:szCs w:val="19"/>
                <w:color w:val="auto"/>
              </w:rPr>
            </w:pPr>
          </w:p>
        </w:tc>
      </w:tr>
      <w:tr>
        <w:trPr>
          <w:trHeight w:val="911"/>
        </w:trPr>
        <w:tc>
          <w:tcPr>
            <w:tcW w:w="2200" w:type="dxa"/>
            <w:vAlign w:val="bottom"/>
          </w:tcPr>
          <w:p>
            <w:pPr>
              <w:spacing w:after="0"/>
              <w:rPr>
                <w:sz w:val="24"/>
                <w:szCs w:val="24"/>
                <w:color w:val="auto"/>
              </w:rPr>
            </w:pPr>
          </w:p>
        </w:tc>
        <w:tc>
          <w:tcPr>
            <w:tcW w:w="90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18</w:t>
            </w:r>
          </w:p>
        </w:tc>
      </w:tr>
      <w:tr>
        <w:trPr>
          <w:trHeight w:val="102"/>
        </w:trPr>
        <w:tc>
          <w:tcPr>
            <w:tcW w:w="2200" w:type="dxa"/>
            <w:vAlign w:val="bottom"/>
            <w:tcBorders>
              <w:bottom w:val="single" w:sz="8" w:color="9A9A9A"/>
            </w:tcBorders>
          </w:tcPr>
          <w:p>
            <w:pPr>
              <w:spacing w:after="0"/>
              <w:rPr>
                <w:sz w:val="8"/>
                <w:szCs w:val="8"/>
                <w:color w:val="auto"/>
              </w:rPr>
            </w:pPr>
          </w:p>
        </w:tc>
        <w:tc>
          <w:tcPr>
            <w:tcW w:w="9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an MAA to the European Medicines Agency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skin 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COVID-19. </w:t>
      </w:r>
      <w:r>
        <w:rPr>
          <w:rFonts w:ascii="Times New Roman" w:cs="Times New Roman" w:eastAsia="Times New Roman" w:hAnsi="Times New Roman"/>
          <w:sz w:val="18"/>
          <w:szCs w:val="18"/>
          <w:color w:val="auto"/>
        </w:rPr>
        <w:t>In May 2020, we amended our agreement with Lilly to enable Lilly to commercialize baricitinib for the treatment of COVID-19.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21"/>
        </w:trPr>
        <w:tc>
          <w:tcPr>
            <w:tcW w:w="23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3"/>
                <w:szCs w:val="23"/>
                <w:b w:val="1"/>
                <w:bCs w:val="1"/>
                <w:color w:val="auto"/>
                <w:vertAlign w:val="superscript"/>
              </w:rPr>
              <w:t>1</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45"/>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60" w:type="dxa"/>
            <w:vAlign w:val="bottom"/>
            <w:tcBorders>
              <w:bottom w:val="single" w:sz="8" w:color="CCEEFF"/>
            </w:tcBorders>
            <w:shd w:val="clear" w:color="auto" w:fill="CCEEFF"/>
          </w:tcPr>
          <w:p>
            <w:pPr>
              <w:spacing w:after="0"/>
              <w:rPr>
                <w:sz w:val="21"/>
                <w:szCs w:val="21"/>
                <w:color w:val="auto"/>
              </w:rPr>
            </w:pPr>
          </w:p>
        </w:tc>
      </w:tr>
      <w:tr>
        <w:trPr>
          <w:trHeight w:val="221"/>
        </w:trPr>
        <w:tc>
          <w:tcPr>
            <w:tcW w:w="238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3"/>
                <w:szCs w:val="23"/>
                <w:b w:val="1"/>
                <w:bCs w:val="1"/>
                <w:color w:val="auto"/>
                <w:vertAlign w:val="superscript"/>
              </w:rPr>
              <w:t>2</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34"/>
        </w:trPr>
        <w:tc>
          <w:tcPr>
            <w:tcW w:w="23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 Approved in the U.S., Europe and Japan</w:t>
            </w:r>
          </w:p>
        </w:tc>
      </w:tr>
      <w:tr>
        <w:trPr>
          <w:trHeight w:val="27"/>
        </w:trPr>
        <w:tc>
          <w:tcPr>
            <w:tcW w:w="238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1"/>
        </w:trPr>
        <w:tc>
          <w:tcPr>
            <w:tcW w:w="23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3"/>
                <w:szCs w:val="23"/>
                <w:b w:val="1"/>
                <w:bCs w:val="1"/>
                <w:color w:val="auto"/>
                <w:vertAlign w:val="superscript"/>
              </w:rPr>
              <w:t>3</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45"/>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60" w:type="dxa"/>
            <w:vAlign w:val="bottom"/>
            <w:tcBorders>
              <w:bottom w:val="single" w:sz="8" w:color="CCEEFF"/>
            </w:tcBorders>
            <w:shd w:val="clear" w:color="auto" w:fill="CCEEFF"/>
          </w:tcPr>
          <w:p>
            <w:pPr>
              <w:spacing w:after="0"/>
              <w:rPr>
                <w:sz w:val="21"/>
                <w:szCs w:val="2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8860" w:type="dxa"/>
            <w:vAlign w:val="bottom"/>
            <w:shd w:val="clear" w:color="auto" w:fill="000000"/>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Ruxolitinib (JAKAVI) licensed to Novartis outside of the United States for use in hematology and oncology excluding topical administration.</w:t>
      </w:r>
    </w:p>
    <w:p>
      <w:pPr>
        <w:ind w:left="140" w:hanging="132"/>
        <w:spacing w:after="0" w:line="194" w:lineRule="auto"/>
        <w:tabs>
          <w:tab w:leader="none" w:pos="1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(OLUMIANT) licensed to Lilly.</w:t>
      </w:r>
    </w:p>
    <w:p>
      <w:pPr>
        <w:spacing w:after="0" w:line="2" w:lineRule="exact"/>
        <w:rPr>
          <w:rFonts w:ascii="Times New Roman" w:cs="Times New Roman" w:eastAsia="Times New Roman" w:hAnsi="Times New Roman"/>
          <w:sz w:val="23"/>
          <w:szCs w:val="23"/>
          <w:color w:val="auto"/>
          <w:vertAlign w:val="superscript"/>
        </w:rPr>
      </w:pPr>
    </w:p>
    <w:p>
      <w:pPr>
        <w:ind w:left="140" w:hanging="132"/>
        <w:spacing w:after="0" w:line="194" w:lineRule="auto"/>
        <w:tabs>
          <w:tab w:leader="none" w:pos="1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(TABRECTA) licensed to Novartis.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5 and Note 7 of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Incyte’s Approach to Drug Discovery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In addition to our small molecules expertise, we have added a biologics discovery capability in-house and have expanded our discovery scope to include bispecific antibodies through a collaboration with Merus.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succeed in our objective to discover and advance novel therapeutics that address serious unmet medical needs, we have established a broad range of discovery capabilities in-house, including target validation, high-throughput screening, medicinal chemistry, computational chemistry, structural biology, pharmacological and translational sciences, ADME (absorption, distribution, metabolism and excretion) and toxicology assessment. We augment these capabilities through collaborations with academic and contract laboratory resources with relevant expertise.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Driven by a target- and pathway-centric discovery process, our pipeline has grown and is currently focused primarily in targeted oncology and dermatology. We conduct a limited number of discovery programs in parallel at any one time. This focus allows us to allocate resources to our selected programs at a level that we believe is competitive with larger pharmaceutical companies. We resource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our compounds reach clinical development, our objective is to rapidly progress the lead candidate into a proof-of-concept clinical trial to assess quickly the therapeutic potential of the clinical candidate itself as well as its underlying mechanism of action. This information is then used to evaluate the compound’s development opportunities, identify the most appropriate indication(s) to pursue, and develop a clinical and regulatory plan to advance the molecule.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 pharmacovigilance and project management. We have also built internal chemistry, manufacturing and controls, and formulation teams that work closely with external GMP contract manufacturers to support our drug development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Incyte’s Commercial Strategy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strategy is to develop and commercialize compounds that we have internally discovered or have acquired rights to in the markets where we believe that a company of our size can successfully compete. We currently commercialize six compounds in the United States, three in Europe and one in Japan. These commercialized products are sold to specialty and retail pharmacies, specialty distributors and wholesalers in the United States in addition to retail pharmacies, hospital pharmacies, distributors and an exclusive wholesaler outside of the United States. We continue to expand our marketing, medical and operational infrastructure within the United States and outside of the United States to support the commercial launch of recently approved products and to prepare for potential approval of other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certain compounds, we have established and may in the future establish collaborations or strategic relationships to support development and commercialization in certain territories or therapeutic areas where we do not have or do not want to build expertise. We believe the key benefits to entering into such strategic relationships include the potential to expedite the development and commercialization of certain of our compounds, as well as the opportunity to</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receive upfront payments and future milestones and royalties in exchange for certain rights to those compounds. Refer to the “License Agreements and Business Relationships” section above for information regarding our collaborations and strategic relationships.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Other Intellectual Property, and Product Exclusivity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our drug products and drug candidates. Our policy is to pursue patent applications on inventions and discoveries that we believe are commercially important to the development and growth of our business. As a general matter, we endeavor to obtain patent term extensions (PTEs) in the United States and Japan, and other countries where available, and supplementary protection certificates (SPCs) in each European country, upon approval by the respective regulatory agency, if patent rights are granted in such country.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year in which the basic exclusivity loss is currently estimated to occur in the United States, the European Union, and Japan for each of our approved medicines and for those compounds in our portfolio that have been submitted to regulatory authorities seeking approval or are in registration-directed clinical trials. We refer to the basic exclusivity loss as the “Estimated Minimum Market Exclusivity Date,” which is, unless otherwise indicated, the latter of (i) the expiration date of the earliest anticipated expiring composition of matter patent rights, or (ii) the date of regulatory data protection (RDP) loss for such product or clinical candidate. There may be additional patents for our approved medicines that claim the medicine or a method of using it that are listed in the FDA's Approved Drug Products with Therapeutic Equivalence Evaluations (Orange Book)—or for our unapproved clinical candidates that will be eligible to be listed in the Orange Book upon FDA approval. Therefore, the table below also identifies the expiration dates of certain additional patents that are Orange-Book listed for our approved medicines—or that, for our unapproved clinical candidates, are eligible for Orange-Book listing upon product approval—in the United States, as well as the expiration dates of certain related patents in the European Union, and Japan, which we refer to as the “Additional Patents Expiry Dates.”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Product/Drug Candidate</w:t>
            </w:r>
            <w:r>
              <w:rPr>
                <w:rFonts w:ascii="Times New Roman" w:cs="Times New Roman" w:eastAsia="Times New Roman" w:hAnsi="Times New Roman"/>
                <w:sz w:val="21"/>
                <w:szCs w:val="21"/>
                <w:b w:val="1"/>
                <w:bCs w:val="1"/>
                <w:color w:val="auto"/>
                <w:vertAlign w:val="superscript"/>
              </w:rPr>
              <w:t>1,2</w:t>
            </w:r>
          </w:p>
        </w:tc>
        <w:tc>
          <w:tcPr>
            <w:tcW w:w="100" w:type="dxa"/>
            <w:vAlign w:val="bottom"/>
          </w:tcPr>
          <w:p>
            <w:pPr>
              <w:spacing w:after="0"/>
              <w:rPr>
                <w:sz w:val="21"/>
                <w:szCs w:val="21"/>
                <w:color w:val="auto"/>
              </w:rPr>
            </w:pPr>
          </w:p>
        </w:tc>
        <w:tc>
          <w:tcPr>
            <w:tcW w:w="4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1"/>
                <w:szCs w:val="21"/>
                <w:color w:val="auto"/>
              </w:rPr>
            </w:pPr>
          </w:p>
        </w:tc>
        <w:tc>
          <w:tcPr>
            <w:tcW w:w="13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EU</w:t>
            </w:r>
          </w:p>
        </w:tc>
        <w:tc>
          <w:tcPr>
            <w:tcW w:w="100" w:type="dxa"/>
            <w:vAlign w:val="bottom"/>
          </w:tcPr>
          <w:p>
            <w:pPr>
              <w:spacing w:after="0"/>
              <w:rPr>
                <w:sz w:val="21"/>
                <w:szCs w:val="21"/>
                <w:color w:val="auto"/>
              </w:rPr>
            </w:pPr>
          </w:p>
        </w:tc>
        <w:tc>
          <w:tcPr>
            <w:tcW w:w="13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Japan</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JAKAFI (ruxolitinib)</w:t>
            </w:r>
          </w:p>
        </w:tc>
        <w:tc>
          <w:tcPr>
            <w:tcW w:w="10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00" w:type="dxa"/>
            <w:vAlign w:val="bottom"/>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69"/>
        </w:trPr>
        <w:tc>
          <w:tcPr>
            <w:tcW w:w="2620" w:type="dxa"/>
            <w:vAlign w:val="bottom"/>
            <w:tcBorders>
              <w:top w:val="single" w:sz="8" w:color="CCEEFF"/>
            </w:tcBorders>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tcBorders>
              <w:top w:val="single" w:sz="8" w:color="auto"/>
            </w:tcBorders>
            <w:vMerge w:val="restart"/>
            <w:shd w:val="clear" w:color="auto" w:fill="CCEEFF"/>
          </w:tcPr>
          <w:p>
            <w:pPr>
              <w:jc w:val="center"/>
              <w:spacing w:after="0" w:line="237" w:lineRule="exact"/>
              <w:rPr>
                <w:sz w:val="20"/>
                <w:szCs w:val="20"/>
                <w:color w:val="auto"/>
              </w:rPr>
            </w:pPr>
            <w:r>
              <w:rPr>
                <w:rFonts w:ascii="Times New Roman" w:cs="Times New Roman" w:eastAsia="Times New Roman" w:hAnsi="Times New Roman"/>
                <w:sz w:val="16"/>
                <w:szCs w:val="16"/>
                <w:color w:val="auto"/>
              </w:rPr>
              <w:t>Additional Patents Expiry Dates</w:t>
            </w:r>
            <w:r>
              <w:rPr>
                <w:rFonts w:ascii="Times New Roman" w:cs="Times New Roman" w:eastAsia="Times New Roman" w:hAnsi="Times New Roman"/>
                <w:sz w:val="21"/>
                <w:szCs w:val="21"/>
                <w:color w:val="auto"/>
                <w:vertAlign w:val="superscript"/>
              </w:rPr>
              <w:t>3</w:t>
            </w:r>
          </w:p>
        </w:tc>
        <w:tc>
          <w:tcPr>
            <w:tcW w:w="10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168"/>
        </w:trPr>
        <w:tc>
          <w:tcPr>
            <w:tcW w:w="26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2028</w:t>
            </w:r>
          </w:p>
        </w:tc>
        <w:tc>
          <w:tcPr>
            <w:tcW w:w="1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2027</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OPZELURA (ruxolitinib) cream</w:t>
            </w: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Additional Patents Expiry Dates</w:t>
            </w:r>
            <w:r>
              <w:rPr>
                <w:rFonts w:ascii="Times New Roman" w:cs="Times New Roman" w:eastAsia="Times New Roman" w:hAnsi="Times New Roman"/>
                <w:sz w:val="21"/>
                <w:szCs w:val="21"/>
                <w:color w:val="auto"/>
                <w:w w:val="99"/>
                <w:vertAlign w:val="superscript"/>
              </w:rPr>
              <w:t>3,4</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2028, 2031 &amp; 2040</w:t>
            </w:r>
          </w:p>
        </w:tc>
        <w:tc>
          <w:tcPr>
            <w:tcW w:w="1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2028 &amp; 2031</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2028 &amp; 2031</w:t>
            </w:r>
          </w:p>
        </w:tc>
        <w:tc>
          <w:tcPr>
            <w:tcW w:w="0" w:type="dxa"/>
            <w:vAlign w:val="bottom"/>
          </w:tcPr>
          <w:p>
            <w:pPr>
              <w:spacing w:after="0"/>
              <w:rPr>
                <w:sz w:val="1"/>
                <w:szCs w:val="1"/>
                <w:color w:val="auto"/>
              </w:rPr>
            </w:pPr>
          </w:p>
        </w:tc>
      </w:tr>
      <w:tr>
        <w:trPr>
          <w:trHeight w:val="138"/>
        </w:trPr>
        <w:tc>
          <w:tcPr>
            <w:tcW w:w="2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1460" w:type="dxa"/>
            <w:vAlign w:val="bottom"/>
            <w:tcBorders>
              <w:bottom w:val="single" w:sz="8" w:color="auto"/>
            </w:tcBorders>
            <w:gridSpan w:val="2"/>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OLUMIANT (baricitinib)</w:t>
            </w:r>
          </w:p>
        </w:tc>
        <w:tc>
          <w:tcPr>
            <w:tcW w:w="100" w:type="dxa"/>
            <w:vAlign w:val="bottom"/>
          </w:tcPr>
          <w:p>
            <w:pPr>
              <w:spacing w:after="0"/>
              <w:rPr>
                <w:sz w:val="20"/>
                <w:szCs w:val="20"/>
                <w:color w:val="auto"/>
              </w:rPr>
            </w:pPr>
          </w:p>
        </w:tc>
        <w:tc>
          <w:tcPr>
            <w:tcW w:w="4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line="237" w:lineRule="exact"/>
              <w:rPr>
                <w:sz w:val="20"/>
                <w:szCs w:val="20"/>
                <w:color w:val="auto"/>
              </w:rPr>
            </w:pPr>
            <w:r>
              <w:rPr>
                <w:rFonts w:ascii="Times New Roman" w:cs="Times New Roman" w:eastAsia="Times New Roman" w:hAnsi="Times New Roman"/>
                <w:sz w:val="16"/>
                <w:szCs w:val="16"/>
                <w:color w:val="auto"/>
                <w:w w:val="97"/>
              </w:rPr>
              <w:t>2032</w:t>
            </w:r>
            <w:r>
              <w:rPr>
                <w:rFonts w:ascii="Times New Roman" w:cs="Times New Roman" w:eastAsia="Times New Roman" w:hAnsi="Times New Roman"/>
                <w:sz w:val="21"/>
                <w:szCs w:val="21"/>
                <w:color w:val="auto"/>
                <w:w w:val="97"/>
                <w:vertAlign w:val="superscript"/>
              </w:rPr>
              <w:t>5</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2032</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69"/>
        </w:trPr>
        <w:tc>
          <w:tcPr>
            <w:tcW w:w="2620" w:type="dxa"/>
            <w:vAlign w:val="bottom"/>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Additional Patents Expiry Dates</w:t>
            </w:r>
          </w:p>
        </w:tc>
        <w:tc>
          <w:tcPr>
            <w:tcW w:w="100" w:type="dxa"/>
            <w:vAlign w:val="bottom"/>
          </w:tcPr>
          <w:p>
            <w:pPr>
              <w:spacing w:after="0"/>
              <w:rPr>
                <w:sz w:val="5"/>
                <w:szCs w:val="5"/>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5"/>
                <w:szCs w:val="5"/>
                <w:color w:val="auto"/>
              </w:rPr>
            </w:pP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2032</w:t>
            </w:r>
          </w:p>
        </w:tc>
        <w:tc>
          <w:tcPr>
            <w:tcW w:w="100" w:type="dxa"/>
            <w:vAlign w:val="bottom"/>
          </w:tcPr>
          <w:p>
            <w:pPr>
              <w:spacing w:after="0"/>
              <w:rPr>
                <w:sz w:val="5"/>
                <w:szCs w:val="5"/>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620" w:type="dxa"/>
            <w:vAlign w:val="bottom"/>
            <w:tcBorders>
              <w:bottom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2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TABRECTA (capmatinib)</w:t>
            </w:r>
          </w:p>
        </w:tc>
        <w:tc>
          <w:tcPr>
            <w:tcW w:w="100" w:type="dxa"/>
            <w:vAlign w:val="bottom"/>
            <w:tcBorders>
              <w:top w:val="single" w:sz="8" w:color="auto"/>
            </w:tcBorders>
          </w:tcPr>
          <w:p>
            <w:pPr>
              <w:spacing w:after="0"/>
              <w:rPr>
                <w:sz w:val="20"/>
                <w:szCs w:val="20"/>
                <w:color w:val="auto"/>
              </w:rPr>
            </w:pPr>
          </w:p>
        </w:tc>
        <w:tc>
          <w:tcPr>
            <w:tcW w:w="4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480" w:type="dxa"/>
            <w:vAlign w:val="bottom"/>
            <w:tcBorders>
              <w:top w:val="single" w:sz="8" w:color="auto"/>
              <w:bottom w:val="single" w:sz="8" w:color="auto"/>
            </w:tcBorders>
            <w:gridSpan w:val="2"/>
          </w:tcPr>
          <w:p>
            <w:pPr>
              <w:jc w:val="center"/>
              <w:ind w:left="19"/>
              <w:spacing w:after="0" w:line="237" w:lineRule="exact"/>
              <w:rPr>
                <w:sz w:val="20"/>
                <w:szCs w:val="20"/>
                <w:color w:val="auto"/>
              </w:rPr>
            </w:pPr>
            <w:r>
              <w:rPr>
                <w:rFonts w:ascii="Times New Roman" w:cs="Times New Roman" w:eastAsia="Times New Roman" w:hAnsi="Times New Roman"/>
                <w:sz w:val="16"/>
                <w:szCs w:val="16"/>
                <w:color w:val="auto"/>
                <w:w w:val="97"/>
              </w:rPr>
              <w:t>2032</w:t>
            </w:r>
            <w:r>
              <w:rPr>
                <w:rFonts w:ascii="Times New Roman" w:cs="Times New Roman" w:eastAsia="Times New Roman" w:hAnsi="Times New Roman"/>
                <w:sz w:val="21"/>
                <w:szCs w:val="21"/>
                <w:color w:val="auto"/>
                <w:w w:val="97"/>
                <w:vertAlign w:val="superscript"/>
              </w:rPr>
              <w:t>5</w:t>
            </w:r>
          </w:p>
        </w:tc>
        <w:tc>
          <w:tcPr>
            <w:tcW w:w="1460" w:type="dxa"/>
            <w:vAlign w:val="bottom"/>
            <w:tcBorders>
              <w:top w:val="single" w:sz="8" w:color="auto"/>
              <w:bottom w:val="single" w:sz="8" w:color="auto"/>
            </w:tcBorders>
            <w:gridSpan w:val="2"/>
          </w:tcPr>
          <w:p>
            <w:pPr>
              <w:jc w:val="center"/>
              <w:ind w:left="19"/>
              <w:spacing w:after="0" w:line="237" w:lineRule="exact"/>
              <w:rPr>
                <w:sz w:val="20"/>
                <w:szCs w:val="20"/>
                <w:color w:val="auto"/>
              </w:rPr>
            </w:pPr>
            <w:r>
              <w:rPr>
                <w:rFonts w:ascii="Times New Roman" w:cs="Times New Roman" w:eastAsia="Times New Roman" w:hAnsi="Times New Roman"/>
                <w:sz w:val="16"/>
                <w:szCs w:val="16"/>
                <w:color w:val="auto"/>
                <w:w w:val="92"/>
              </w:rPr>
              <w:t>2032</w:t>
            </w:r>
            <w:r>
              <w:rPr>
                <w:rFonts w:ascii="Times New Roman" w:cs="Times New Roman" w:eastAsia="Times New Roman" w:hAnsi="Times New Roman"/>
                <w:sz w:val="21"/>
                <w:szCs w:val="21"/>
                <w:color w:val="auto"/>
                <w:w w:val="92"/>
                <w:vertAlign w:val="superscript"/>
              </w:rPr>
              <w:t>6</w:t>
            </w:r>
          </w:p>
        </w:tc>
        <w:tc>
          <w:tcPr>
            <w:tcW w:w="1480" w:type="dxa"/>
            <w:vAlign w:val="bottom"/>
            <w:tcBorders>
              <w:top w:val="single" w:sz="8" w:color="auto"/>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2032</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Additional Patents Expiry Dates</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2035</w:t>
            </w:r>
          </w:p>
        </w:tc>
        <w:tc>
          <w:tcPr>
            <w:tcW w:w="146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2035</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PEMAZYRE (pemigatinib)</w:t>
            </w:r>
          </w:p>
        </w:tc>
        <w:tc>
          <w:tcPr>
            <w:tcW w:w="100" w:type="dxa"/>
            <w:vAlign w:val="bottom"/>
          </w:tcPr>
          <w:p>
            <w:pPr>
              <w:spacing w:after="0"/>
              <w:rPr>
                <w:sz w:val="20"/>
                <w:szCs w:val="20"/>
                <w:color w:val="auto"/>
              </w:rPr>
            </w:pPr>
          </w:p>
        </w:tc>
        <w:tc>
          <w:tcPr>
            <w:tcW w:w="4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shd w:val="clear" w:color="auto" w:fill="CCEEFF"/>
          </w:tcPr>
          <w:p>
            <w:pPr>
              <w:jc w:val="center"/>
              <w:spacing w:after="0" w:line="237" w:lineRule="exact"/>
              <w:rPr>
                <w:sz w:val="20"/>
                <w:szCs w:val="20"/>
                <w:color w:val="auto"/>
              </w:rPr>
            </w:pPr>
            <w:r>
              <w:rPr>
                <w:rFonts w:ascii="Times New Roman" w:cs="Times New Roman" w:eastAsia="Times New Roman" w:hAnsi="Times New Roman"/>
                <w:sz w:val="16"/>
                <w:szCs w:val="16"/>
                <w:color w:val="auto"/>
                <w:w w:val="92"/>
              </w:rPr>
              <w:t>2036</w:t>
            </w:r>
            <w:r>
              <w:rPr>
                <w:rFonts w:ascii="Times New Roman" w:cs="Times New Roman" w:eastAsia="Times New Roman" w:hAnsi="Times New Roman"/>
                <w:sz w:val="21"/>
                <w:szCs w:val="21"/>
                <w:color w:val="auto"/>
                <w:w w:val="92"/>
                <w:vertAlign w:val="superscript"/>
              </w:rPr>
              <w:t>6</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2036</w:t>
            </w:r>
          </w:p>
        </w:tc>
        <w:tc>
          <w:tcPr>
            <w:tcW w:w="0" w:type="dxa"/>
            <w:vAlign w:val="bottom"/>
          </w:tcPr>
          <w:p>
            <w:pPr>
              <w:spacing w:after="0"/>
              <w:rPr>
                <w:sz w:val="1"/>
                <w:szCs w:val="1"/>
                <w:color w:val="auto"/>
              </w:rPr>
            </w:pPr>
          </w:p>
        </w:tc>
      </w:tr>
      <w:tr>
        <w:trPr>
          <w:trHeight w:val="69"/>
        </w:trPr>
        <w:tc>
          <w:tcPr>
            <w:tcW w:w="2620" w:type="dxa"/>
            <w:vAlign w:val="bottom"/>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Additional Patents Expiry Dates</w:t>
            </w:r>
          </w:p>
        </w:tc>
        <w:tc>
          <w:tcPr>
            <w:tcW w:w="100" w:type="dxa"/>
            <w:vAlign w:val="bottom"/>
          </w:tcPr>
          <w:p>
            <w:pPr>
              <w:spacing w:after="0"/>
              <w:rPr>
                <w:sz w:val="5"/>
                <w:szCs w:val="5"/>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2039 &amp; 2040</w:t>
            </w:r>
          </w:p>
        </w:tc>
        <w:tc>
          <w:tcPr>
            <w:tcW w:w="100" w:type="dxa"/>
            <w:vAlign w:val="bottom"/>
          </w:tcPr>
          <w:p>
            <w:pPr>
              <w:spacing w:after="0"/>
              <w:rPr>
                <w:sz w:val="5"/>
                <w:szCs w:val="5"/>
                <w:color w:val="auto"/>
              </w:rPr>
            </w:pP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5"/>
                <w:szCs w:val="5"/>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620" w:type="dxa"/>
            <w:vAlign w:val="bottom"/>
            <w:tcBorders>
              <w:bottom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ICLUSIG (ponatinib)</w:t>
            </w:r>
          </w:p>
        </w:tc>
        <w:tc>
          <w:tcPr>
            <w:tcW w:w="100" w:type="dxa"/>
            <w:vAlign w:val="bottom"/>
            <w:tcBorders>
              <w:top w:val="single" w:sz="8" w:color="auto"/>
            </w:tcBorders>
          </w:tcPr>
          <w:p>
            <w:pPr>
              <w:spacing w:after="0"/>
              <w:rPr>
                <w:sz w:val="17"/>
                <w:szCs w:val="17"/>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480" w:type="dxa"/>
            <w:vAlign w:val="bottom"/>
            <w:tcBorders>
              <w:top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tcBorders>
              <w:top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Additional Patents Expiry Dates</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ZYNYZ (retifanlimab)</w:t>
            </w:r>
            <w:r>
              <w:rPr>
                <w:rFonts w:ascii="Times New Roman" w:cs="Times New Roman" w:eastAsia="Times New Roman" w:hAnsi="Times New Roman"/>
                <w:sz w:val="21"/>
                <w:szCs w:val="21"/>
                <w:color w:val="auto"/>
                <w:vertAlign w:val="superscript"/>
              </w:rPr>
              <w:t>8</w:t>
            </w: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2036</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2036</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6"/>
                <w:szCs w:val="16"/>
                <w:color w:val="auto"/>
              </w:rPr>
              <w:t>MONJUVI (tafasitamab)</w:t>
            </w:r>
            <w:r>
              <w:rPr>
                <w:rFonts w:ascii="Times New Roman" w:cs="Times New Roman" w:eastAsia="Times New Roman" w:hAnsi="Times New Roman"/>
                <w:sz w:val="21"/>
                <w:szCs w:val="21"/>
                <w:color w:val="auto"/>
                <w:vertAlign w:val="superscript"/>
              </w:rPr>
              <w:t>9</w:t>
            </w: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480" w:type="dxa"/>
            <w:vAlign w:val="bottom"/>
            <w:tcBorders>
              <w:bottom w:val="single" w:sz="8" w:color="auto"/>
            </w:tcBorders>
            <w:gridSpan w:val="2"/>
          </w:tcPr>
          <w:p>
            <w:pPr>
              <w:jc w:val="center"/>
              <w:ind w:left="19"/>
              <w:spacing w:after="0" w:line="237" w:lineRule="exact"/>
              <w:rPr>
                <w:sz w:val="20"/>
                <w:szCs w:val="20"/>
                <w:color w:val="auto"/>
              </w:rPr>
            </w:pPr>
            <w:r>
              <w:rPr>
                <w:rFonts w:ascii="Times New Roman" w:cs="Times New Roman" w:eastAsia="Times New Roman" w:hAnsi="Times New Roman"/>
                <w:sz w:val="16"/>
                <w:szCs w:val="16"/>
                <w:color w:val="auto"/>
                <w:w w:val="97"/>
              </w:rPr>
              <w:t>2033</w:t>
            </w:r>
            <w:r>
              <w:rPr>
                <w:rFonts w:ascii="Times New Roman" w:cs="Times New Roman" w:eastAsia="Times New Roman" w:hAnsi="Times New Roman"/>
                <w:sz w:val="21"/>
                <w:szCs w:val="21"/>
                <w:color w:val="auto"/>
                <w:w w:val="97"/>
                <w:vertAlign w:val="superscript"/>
              </w:rPr>
              <w:t>5</w:t>
            </w:r>
          </w:p>
        </w:tc>
        <w:tc>
          <w:tcPr>
            <w:tcW w:w="1460" w:type="dxa"/>
            <w:vAlign w:val="bottom"/>
            <w:tcBorders>
              <w:bottom w:val="single" w:sz="8" w:color="auto"/>
            </w:tcBorders>
            <w:gridSpan w:val="2"/>
          </w:tcPr>
          <w:p>
            <w:pPr>
              <w:jc w:val="center"/>
              <w:ind w:left="19"/>
              <w:spacing w:after="0" w:line="237" w:lineRule="exact"/>
              <w:rPr>
                <w:sz w:val="20"/>
                <w:szCs w:val="20"/>
                <w:color w:val="auto"/>
              </w:rPr>
            </w:pPr>
            <w:r>
              <w:rPr>
                <w:rFonts w:ascii="Times New Roman" w:cs="Times New Roman" w:eastAsia="Times New Roman" w:hAnsi="Times New Roman"/>
                <w:sz w:val="16"/>
                <w:szCs w:val="16"/>
                <w:color w:val="auto"/>
                <w:w w:val="92"/>
              </w:rPr>
              <w:t>2032</w:t>
            </w:r>
            <w:r>
              <w:rPr>
                <w:rFonts w:ascii="Times New Roman" w:cs="Times New Roman" w:eastAsia="Times New Roman" w:hAnsi="Times New Roman"/>
                <w:sz w:val="21"/>
                <w:szCs w:val="21"/>
                <w:color w:val="auto"/>
                <w:w w:val="92"/>
                <w:vertAlign w:val="superscript"/>
              </w:rPr>
              <w:t>6</w:t>
            </w:r>
          </w:p>
        </w:tc>
        <w:tc>
          <w:tcPr>
            <w:tcW w:w="1480" w:type="dxa"/>
            <w:vAlign w:val="bottom"/>
            <w:tcBorders>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NIKTIMVO (axatilimab)</w:t>
            </w:r>
            <w:r>
              <w:rPr>
                <w:rFonts w:ascii="Times New Roman" w:cs="Times New Roman" w:eastAsia="Times New Roman" w:hAnsi="Times New Roman"/>
                <w:sz w:val="21"/>
                <w:szCs w:val="21"/>
                <w:color w:val="auto"/>
                <w:vertAlign w:val="superscript"/>
              </w:rPr>
              <w:t>10</w:t>
            </w: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line="237" w:lineRule="exact"/>
              <w:rPr>
                <w:sz w:val="20"/>
                <w:szCs w:val="20"/>
                <w:color w:val="auto"/>
              </w:rPr>
            </w:pPr>
            <w:r>
              <w:rPr>
                <w:rFonts w:ascii="Times New Roman" w:cs="Times New Roman" w:eastAsia="Times New Roman" w:hAnsi="Times New Roman"/>
                <w:sz w:val="16"/>
                <w:szCs w:val="16"/>
                <w:color w:val="auto"/>
                <w:w w:val="97"/>
              </w:rPr>
              <w:t>2036</w:t>
            </w:r>
            <w:r>
              <w:rPr>
                <w:rFonts w:ascii="Times New Roman" w:cs="Times New Roman" w:eastAsia="Times New Roman" w:hAnsi="Times New Roman"/>
                <w:sz w:val="21"/>
                <w:szCs w:val="21"/>
                <w:color w:val="auto"/>
                <w:w w:val="97"/>
                <w:vertAlign w:val="superscript"/>
              </w:rPr>
              <w:t>7</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2034</w:t>
            </w:r>
          </w:p>
        </w:tc>
        <w:tc>
          <w:tcPr>
            <w:tcW w:w="0" w:type="dxa"/>
            <w:vAlign w:val="bottom"/>
          </w:tcPr>
          <w:p>
            <w:pPr>
              <w:spacing w:after="0"/>
              <w:rPr>
                <w:sz w:val="1"/>
                <w:szCs w:val="1"/>
                <w:color w:val="auto"/>
              </w:rPr>
            </w:pPr>
          </w:p>
        </w:tc>
      </w:tr>
      <w:tr>
        <w:trPr>
          <w:trHeight w:val="20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ruxolitinib XR</w:t>
            </w:r>
          </w:p>
        </w:tc>
        <w:tc>
          <w:tcPr>
            <w:tcW w:w="1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2028</w:t>
            </w:r>
          </w:p>
        </w:tc>
        <w:tc>
          <w:tcPr>
            <w:tcW w:w="1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6"/>
                <w:szCs w:val="16"/>
                <w:color w:val="auto"/>
                <w:w w:val="97"/>
              </w:rPr>
              <w:t>Additional Patents Expiry Dates</w:t>
            </w:r>
            <w:r>
              <w:rPr>
                <w:rFonts w:ascii="Times New Roman" w:cs="Times New Roman" w:eastAsia="Times New Roman" w:hAnsi="Times New Roman"/>
                <w:sz w:val="21"/>
                <w:szCs w:val="21"/>
                <w:color w:val="auto"/>
                <w:w w:val="97"/>
                <w:vertAlign w:val="superscript"/>
              </w:rPr>
              <w:t>3,11</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2028 &amp; 2033</w:t>
            </w:r>
          </w:p>
        </w:tc>
        <w:tc>
          <w:tcPr>
            <w:tcW w:w="146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1460" w:type="dxa"/>
            <w:vAlign w:val="bottom"/>
            <w:tcBorders>
              <w:bottom w:val="single" w:sz="8" w:color="auto"/>
            </w:tcBorders>
            <w:gridSpan w:val="2"/>
            <w:vMerge w:val="continue"/>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povorcitinib</w:t>
            </w:r>
          </w:p>
        </w:tc>
        <w:tc>
          <w:tcPr>
            <w:tcW w:w="10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Estimated Minimum Market Exclusivity Dates</w:t>
            </w:r>
          </w:p>
        </w:tc>
        <w:tc>
          <w:tcPr>
            <w:tcW w:w="100" w:type="dxa"/>
            <w:vAlign w:val="bottom"/>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00" w:type="dxa"/>
            <w:vAlign w:val="bottom"/>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2034</w:t>
            </w:r>
          </w:p>
        </w:tc>
        <w:tc>
          <w:tcPr>
            <w:tcW w:w="0" w:type="dxa"/>
            <w:vAlign w:val="bottom"/>
          </w:tcPr>
          <w:p>
            <w:pPr>
              <w:spacing w:after="0"/>
              <w:rPr>
                <w:sz w:val="1"/>
                <w:szCs w:val="1"/>
                <w:color w:val="auto"/>
              </w:rPr>
            </w:pPr>
          </w:p>
        </w:tc>
      </w:tr>
      <w:tr>
        <w:trPr>
          <w:trHeight w:val="68"/>
        </w:trPr>
        <w:tc>
          <w:tcPr>
            <w:tcW w:w="2620" w:type="dxa"/>
            <w:vAlign w:val="bottom"/>
            <w:tcBorders>
              <w:top w:val="single" w:sz="8" w:color="CCEEFF"/>
            </w:tcBorders>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4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Additional Patents Expiry Dates</w:t>
            </w:r>
          </w:p>
        </w:tc>
        <w:tc>
          <w:tcPr>
            <w:tcW w:w="10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2039 &amp; 2041</w:t>
            </w: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2039</w:t>
            </w:r>
          </w:p>
        </w:tc>
        <w:tc>
          <w:tcPr>
            <w:tcW w:w="10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620" w:type="dxa"/>
            <w:vAlign w:val="bottom"/>
            <w:tcBorders>
              <w:bottom w:val="single" w:sz="8" w:color="CCEEFF"/>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41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180" w:hanging="172"/>
        <w:spacing w:after="0" w:line="218" w:lineRule="auto"/>
        <w:tabs>
          <w:tab w:leader="none" w:pos="169" w:val="left"/>
        </w:tabs>
        <w:numPr>
          <w:ilvl w:val="0"/>
          <w:numId w:val="12"/>
        </w:numPr>
        <w:rPr>
          <w:rFonts w:ascii="Calibri" w:cs="Calibri" w:eastAsia="Calibri" w:hAnsi="Calibri"/>
          <w:sz w:val="26"/>
          <w:szCs w:val="26"/>
          <w:color w:val="auto"/>
          <w:vertAlign w:val="superscript"/>
        </w:rPr>
      </w:pPr>
      <w:r>
        <w:rPr>
          <w:rFonts w:ascii="Times New Roman" w:cs="Times New Roman" w:eastAsia="Times New Roman" w:hAnsi="Times New Roman"/>
          <w:sz w:val="18"/>
          <w:szCs w:val="18"/>
          <w:color w:val="auto"/>
        </w:rPr>
        <w:t>Estimated Minimum Market Exclusivity Dates are subject to the payment of maintenance fees, and include the period of PTE that has been granted by the respective regulatory agency, where applicable, or include the period of anticipated SPC term for approved products in the EU, where applicable, even though SPCs may remain pending in some countries.</w:t>
      </w:r>
    </w:p>
    <w:p>
      <w:pPr>
        <w:spacing w:after="0" w:line="2" w:lineRule="exact"/>
        <w:rPr>
          <w:rFonts w:ascii="Calibri" w:cs="Calibri" w:eastAsia="Calibri" w:hAnsi="Calibri"/>
          <w:sz w:val="26"/>
          <w:szCs w:val="26"/>
          <w:color w:val="auto"/>
          <w:vertAlign w:val="superscript"/>
        </w:rPr>
      </w:pPr>
    </w:p>
    <w:p>
      <w:pPr>
        <w:jc w:val="both"/>
        <w:ind w:left="180" w:hanging="172"/>
        <w:spacing w:after="0" w:line="229" w:lineRule="auto"/>
        <w:tabs>
          <w:tab w:leader="none" w:pos="17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approved medicines in the US, the brand name for the US product is used, whereas for candidates that have not been approved in the US, the name of the active ingredient is used. The use of a brand name in the table does not indicate that the product has also been approved in any country outside of the US Also, some products may be approved in one or more countries outside of the US under different brand names.</w:t>
      </w:r>
    </w:p>
    <w:p>
      <w:pPr>
        <w:ind w:left="180" w:hanging="172"/>
        <w:spacing w:after="0" w:line="219" w:lineRule="auto"/>
        <w:tabs>
          <w:tab w:leader="none" w:pos="17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Ruxolitinib phosphate salt patents are issued in the US, EU and Japan with anticipated expiration dates of late-2028 in the US and mid-2028 in the EU and Japan.</w:t>
      </w:r>
    </w:p>
    <w:p>
      <w:pPr>
        <w:spacing w:after="0" w:line="1" w:lineRule="exact"/>
        <w:rPr>
          <w:rFonts w:ascii="Times New Roman" w:cs="Times New Roman" w:eastAsia="Times New Roman" w:hAnsi="Times New Roman"/>
          <w:sz w:val="23"/>
          <w:szCs w:val="23"/>
          <w:color w:val="auto"/>
          <w:vertAlign w:val="superscript"/>
        </w:rPr>
      </w:pPr>
    </w:p>
    <w:p>
      <w:pPr>
        <w:ind w:left="180" w:right="20" w:hanging="172"/>
        <w:spacing w:after="0" w:line="197" w:lineRule="auto"/>
        <w:tabs>
          <w:tab w:leader="none" w:pos="169" w:val="left"/>
        </w:tabs>
        <w:numPr>
          <w:ilvl w:val="0"/>
          <w:numId w:val="12"/>
        </w:numPr>
        <w:rPr>
          <w:rFonts w:ascii="Calibri" w:cs="Calibri" w:eastAsia="Calibri" w:hAnsi="Calibri"/>
          <w:sz w:val="26"/>
          <w:szCs w:val="26"/>
          <w:color w:val="auto"/>
          <w:vertAlign w:val="superscript"/>
        </w:rPr>
      </w:pPr>
      <w:r>
        <w:rPr>
          <w:rFonts w:ascii="Times New Roman" w:cs="Times New Roman" w:eastAsia="Times New Roman" w:hAnsi="Times New Roman"/>
          <w:sz w:val="18"/>
          <w:szCs w:val="18"/>
          <w:color w:val="auto"/>
        </w:rPr>
        <w:t>Ruxolitinib cream formulation patents are issued in the US, EU and Japan with anticipated expiration dates of 2031 in each jurisdiction. Patents are also issued in the US for the treatments of atopic dermatitis and vitiligo with expiration dates of 2040.</w:t>
      </w:r>
    </w:p>
    <w:p>
      <w:pPr>
        <w:spacing w:after="0" w:line="1" w:lineRule="exact"/>
        <w:rPr>
          <w:rFonts w:ascii="Calibri" w:cs="Calibri" w:eastAsia="Calibri" w:hAnsi="Calibri"/>
          <w:sz w:val="26"/>
          <w:szCs w:val="26"/>
          <w:color w:val="auto"/>
          <w:vertAlign w:val="superscript"/>
        </w:rPr>
      </w:pPr>
    </w:p>
    <w:p>
      <w:pPr>
        <w:ind w:left="160" w:hanging="152"/>
        <w:spacing w:after="0" w:line="196"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Date reflects the grant of PTE in the US.</w:t>
      </w:r>
    </w:p>
    <w:p>
      <w:pPr>
        <w:spacing w:after="0" w:line="1"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Date reflects the grant of SPC in the EU, although SPCs may remain pending in some countries.</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Date reflects the RDP in the US due to product approval.</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Tafasitamab licensed from Xencor, Inc.</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tabs>
          <w:tab w:leader="none" w:pos="1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Axatilimab licensed from Syndax.</w:t>
      </w:r>
    </w:p>
    <w:p>
      <w:pPr>
        <w:spacing w:after="0" w:line="9"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Once-a-day (QD) ruxolitinib formulation patents are issued in the US with anticipated expiration dates of 2033.</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seek to license rights relating to technologies, drug candidates or drug products in connection with our drug discovery and development programs and commercialization activities. Under these licenses, such as our licenses from Agenus, ARIAD/Takeda, MacroGenics, Merus, Xencor and Syndax, we may be required to pay up-front fees, license fees, milestone payments and royalties on sales of future products.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seek to license rights relating to technologies, drug candidates or drug products in connection with our drug discovery and development programs and commercialization activities. Under these licenses, such as our licenses from Agenus, ARIAD/Takeda, MacroGenics, Merus Xencor and Syndax, we may be required to pay up-front fees, license fees, milestone payments and royalties on sales of future products.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 or increased competition. A discussion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risks and uncertainties that may affect our patents, regulatory exclusivities or other proprietary rights is set forth in Item 1A. “Risk Factors —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Intellectual Property and Legal Matters,” and the discussion of legal proceedings related to certain patents is set forth in Item 1A. “Risk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Risks Relating to Commercialization of Our Products — Competition for our products could harm our business and result in a decrease in revenue.”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proprietary information that is not patentable, and for inventions for which patents are difficult to enforce, we rely on trade secret protection and confidentiality agreements to protect our interests. While, as a general matter, we seek to protect our interests by entering into confidentiality agreements with our employees, consultants and potential business partners, we may not be able to adequately protect our trade secrets or other proprietary information. Others may independently develop substantially equivalent proprietary information and techniques or otherwise gain access to our trade secrets.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PEMAZYRE, MONJUVI/MINJUVI, OPZELURA, ZYNYZ, NIKTIMVO and our drug candidates.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distributing and selling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Accordingly, our competitors may succeed in obtaining patent protection, receiving FDA and other regulatory approval or commercializing products that compete with JAKAFI, ICLUSIG, PEMAZYRE, MONJUVI/MINJUVI, OPZELURA, ZYNYZ, NIKTIMVO or our drug candidates.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any drug candidate that we successfully develop may compete with existing therapies that have long histories of safe and effective use. Competition may also arise from:</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 and methods of preventing or reducing the incidence of disease;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compounds;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classes of therapeutic agents.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compete successfully will depend, in part, on our ability to:</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proprietary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products that reach the market first, are technologically superior to and/or are of lower cost than other products in the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scientific, product development and sales and marketing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market, distribute and sell any products that we develop.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FDA Review and Approval Process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regulatory review and approval process is lengthy, expensive and uncertain. The steps generally required before a drug may be marketed in the United States include:</w:t>
      </w:r>
    </w:p>
    <w:p>
      <w:pPr>
        <w:spacing w:after="0" w:line="162" w:lineRule="exact"/>
        <w:rPr>
          <w:sz w:val="20"/>
          <w:szCs w:val="20"/>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in compliance with the FDA’s Good Laboratory Practice and Good Manufacturing Practice regulations;</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before human clinical trials may commence;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three phases, as described below, to establish the safety and efficacy of the drug for each indication;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NDA or Biologics License Application (BLA) to the FDA for review;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random inspections of clinical sites to ensure validity of clinical safety and efficacy data;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the NDA or BLA;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and program fees, if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and in accordance with Good Clinical Practice (GCP)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Phase 1 usually involves the initial introduction of the investigational drug into healthy volunteers to evaluate its safety, dosage tolerance, absorption, metabolism, distribution and excretion. Phase 2 usually involves clinical trials in a limited patient population to evaluate dosage tolerance and optimal dosage, identify possible adverse effects and safety risks, and evaluate and gain preliminary evidence of the efficacy of the drug for specific indications. Phase 3 clinical trials usually further evaluate clinical efficacy and safety by testing the drug in its final form in an expanded patient population, providing statistical evidence of efficacy and safety, and providing an adequate basis for labeling. We cannot guarantee that Phase 1, Phase 2 or Phase 3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3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after initial FDA approval has been obtained, post-approval trials, or Phase 4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76"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inadequately trained or insufficient personnel at the study site to assist in overseeing and monitoring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approvals from a study site’s IRB;</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than anticipated treatment time required to demonstrate effectiveness or determine the appropriate product dose;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supplies of the drug candidate for use in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or side effects in treated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of the drug candidate being tested.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FDA’s fast track, breakthrough therapy, accelerated approval, and priority review designation programs are intended to facilitate the development and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 The FDA, however, can mandate, and has mandated, post-approval requirements that could include lengthy and extensive confirmatory clinical trials. The FDA has recently increased its focus on accelerated approvals for oncology drugs and the confirmatory trials required for those drugs.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submission of a major amendment by the Sponsor, the FDA’s decision to have an advisory committee review, and difficulties in scheduling an advisory committee meeting. The recommendations of an advisory committee are not binding on the FDA.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Orphan Drug Act provides incentives to manufacturers to develop and market drugs for rare diseases and conditions affecting fewer than 200,000 persons in the United States at the time of application for orphan drug designation or conditions affecting 200,000 or more people in the United States where the disease or condition occurs so infrequently that there is no reasonable expectation that the costs of drug development and marketing will be recovered in future sales of the drug in the United States.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Regulation of Manufacturing Process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recalls or withdrawal of the product from the market. Manufacturing facilities are always subject to inspection by the applicable regulatory authorities.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third-party manufacturers are subject to current Good Manufacturing Practices, or cGMP's, which are extensive regulations governing manufacturing processes and controls, including but not limited to release and stability testing, record keeping and quality standards as defined by FDA 21CFR, parts 210 and 211, the International Council for Harmonisation of Technical Requirements for Pharmaceuticals for Human Use, or ICH,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may be inspected before we can use them in commercial manufacturing of our related products. We or our contract manufacturers must be able to comply with all applicable cGMP's and FDA or other regulatory requirements. If we or our contract manufacturers fail to comply, we or our contract manufacturers may be subject to legal or regulatory action, such as suspension of manufacturing license(s), seizure of product, or voluntary recall of product. Furthermore, continued compliance with applicable GMP will require continual expenditure of time, money and effort on the part of the Company or our contract manufacturers in the areas of production and quality control and record keeping and reporting, in order to ensure full compliance.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products manufactured or distributed by the Company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do not promote our products for unapproved uses. We must also submit appropriate new and supplemental applications and obtain FDA approval for certain changes to the approved product, product labeling or manufacturing process or controls.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those related to compliance with the requirements of the PDMA concerning the handling of drug samples. When the FDA conducts an inspection, the inspectors may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a variety of state laws and regulations that apply in the states or localities where JAKAFI and our new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Marketing Exclusivity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Outside the United States, our ability to market a product is contingent upon receiving a marketing authorization from the appropriate regulatory authorities in specific regions or countries. The requirements governing the conduct of clinical trials, marketing authorization, pricing and reimbursement vary widely from country to country. At present, foreign marketing authorizations are applied for at a national level, although within the European Union (EU) regional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 CTA, much like an IND prior to the commencement of human clinical trials. In the European Union, a CTA must be submitted for each trial to the competent health authority and to independent ethics committees by national procedure for a single country trial or by EMA submission portal CTIS for a multinational study. Once the CTA is approved in accordance with the requirements in the concerned countries, clinical trial development may proceed in those countries and are conducted in accordance with GCP and other applicable regulatory requirements.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 regulatory systems, we must submit a marketing authorization application (MAA). This application is similar to the NDA or BLA in the United States, with the exception of, among other things, regional and/or country-specific document requirements. Drugs can be authorized in the EU by using the centralized, mutual recognition, decentralized or national authorization procedures described below.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European Medicines Agency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A positive opinion on the MAA by the CHMP then needs to be endorsed by the European Commission within approximately 67 days. Accelerated assessment might be granted by the CHMP in exceptional cases, in which case the EMA ensures that the evaluation for the opinion of the CHMP is completed within 150 days (excluding clock stops) and the opinion issued thereafter.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PEMAZYRE, OPZELURA, MONJUVI/MINJUVI, ZYNYZ and NIKTIMVO or our drug candidates. As such, we expect to continue to rely on third parties for the manufacture of commercial supplies of the raw materials, API and finished drug product for drugs that we successfully develop and are approved for commercial sale. In this manner, we continue to build and maintain our supply chain and quality assurance resources.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2018, we purchased land located in Yverdon, Switzerland, for construction of a large molecule production facility to manufacture biologic drug substances for our drug candidates. Construction activity commenced in July 2018, and in June 2022 Swissmedic authorities granted the GMP drug manufacturing license for this facility. The Yverdon facility started to manufacture MONJUVI/MINJUVI drug substance during the fourth quarter of 2022. The drug substance is usable in patients after regulatory approval, which was granted in the fourth quarter of 2023 for the European market and is currently expected in the second quarter of 2025 in the United States.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Manufacturing of our Products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contract with third parties to manufacture JAKAFI, ICLUSIG, MONJUVI/MINJUVI, PEMAZYRE, OPZELURA, ZYNYZ, NIKTIMVO and our drug candidates for clinical and commercial purposes.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and OPZELURA, we have three qualified third-party contract manufacturers from which we can source drug substance, one of which is currently active. The manufacturing of ponatinib, the API for ICLUSIG, is the sole responsibility of Takeda, the intellectual property holder. We procure API from Takeda, which outsources the API manufacturing to a third party. For pemigatinib, the API for PEMAZYRE, we have one qualified third-party contract manufacturer from which we can source drug substance.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rely on third-party contract manufacturers to tablet or capsulate all of our active pharmaceutical ingredients for clinical and commercial uses. For JAKAFI and ICLUSIG, we have two qualified third-party manufacturers from which we can source commercial drug product. Secondary packaging of ICLUSIG is performed by a qualified third-party manufacturer. Primary packaged product for ICLUSIG can be used for clinical and commercial purposes. For PEMAZYRE, we have one qualified third-party manufacturer from which we can source commercial drug product. For OPZELURA, we have two qualified third-party manufacturer from which we can source commercial drug product for the United States market, and one qualified third-party manufacture from which we can source commercial drug product for markets outside of the United States.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Third-party Manufacturers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18 to 24 months of safety stock of API to be able to respond to changes in demand to provide on-time supply of drug product as well as at least 6 months of semi-finished goods inventory.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Access to Supplies and Materials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third-party manufacturers need access to certain supplies and products to manufacture our products and drug candidates. If delivery of material from their suppliers were interrupted for any reason or if they are unable to purchase sufficient quantities of raw materials used to manufacture our products and drug candidates, they may be unable to ship our products for commercial supply or to supply our drug candidates in development for clinical trials. For example, currently raw materials used to manufacture ruxolitinib phosphate, the API in JAKAFI and OPZELURA,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 We are currently in the process of qualifying additional European suppliers to reduce the dependency of our key raw materials on Chinese-based suppliers.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human capital management philosophy is committed to promoting an environment where our colleagues are fulfilled and valued. We promote a company culture based on scientific excellence as we seek to create new treatments; we are creative in our development strategies; and we seek positive collaboration with each other. Working collaboratively is of the utmost importance as we aim to change the treatment landscape for patients with cancer and inflammatory and autoimmune diseases. It is our goal to conduct business in a manner that does not compromise the health of people or the state of the environment. It is our policy to comply with all applicable environmental, health and safety (EHS) regulatory requirements and seek to continually improve our EHS management systems. A strong safety culture is a fundamental part of how we work, and our philosophy is that everyone at Incyte has a responsibility to create and maintain a safe and healthy workplace to reduce risk and prevent injuries.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 Further, we have policies in place that prohibit harassment of all kinds. At Incyte, we prohibit retaliation in all forms and are committed to encouraging a culture where employees can freely ask questions and raise concerns. Our management team makes themselves available to all employees and quarterly global Town Hall events allow for an open question-and-answer dialogue.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creative solutions are best achieved by diverse teams working together, and inclusion is therefore essential to Incyte. Diversity of thoughts, backgrounds, perceptions, and ideas help us create the medical solutions that patients require, and represent the lifeblood of organizations such as ours. We have an Inclusion Committee, which is co-chaired by our Chief Executive Officer and Chief Human Resources Officer, to bring forth actionable plans across multiple focus areas. We have continued to expand our recruitment searches to include organizations and websites dedicated to Black candidates. We post all of our open positions on the Historically Black Colleges and Universities career pages and participate in diversity career fairs with national organizations such as the National Black MBA Association, National Organization for the Professional Advancement of Black Chemists &amp; Chemical Engineers (NOBBChE) and National Sales Network to expand our recruitment reach.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offer what we believe is a competitive compensation package, which allows 100% of global Incyte employees to participate in our annual incentive compensation plan as well as annual equity-based grants. We seek to ensure our compensation package remains competitive by benchmarking against our peers several times annually as well as conducting annual compensation reviews to confirm that our employees are being compensated fairly, equitably and in accordance with our pay structures and job levels. In addition, we offer what we believe is a competitive benefits package, which includes an option to participate in our Employee Stock Purchase Plan for both full-time and part-time employees working at least 20 hours per week. We believe that our health insurance coverage is industry-leading, as it provides 100% coverage for full-time employees and is 95% subsidized for part-time employees working at least 20 hours per week in the United States. Beyond compensation and benefits, we are committed to supporting our colleagues in their professional development. Opportunities for growth are provided through challenging job assignments, performance management and training opportunities. Globally, all full-time employees are eligible for tuition reimbursement. We believe these professional opportunities enhance our colleagues’ skills, career aspirations and job satisfaction as well as provide personal enrichment.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had 2,617 employees, representing an increase of approximately 4% over our 2,524 employees as of the end of the prior year. This growth is largely a result of continued expansion of our global commercial reach for our business operations. Among our employees, 896 are in research and development, 212 in medical affairs, 807 in sales and marketing and 702 in operations support and administrative positions. Geographically, 72% of our employees were based in the United States and Canada, 26% in Europe and 2% in Asia. In terms of gender diversity, 1,341 are female, 1,260 are male and 16 are non-binary/prefer not to say. Our employees in Austria, Belgium and Spain are covered by collective agreements, and management considers relations with our employees to be good.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Delaware in 1991 and our website is located at </w:t>
      </w:r>
      <w:r>
        <w:rPr>
          <w:rFonts w:ascii="Times New Roman" w:cs="Times New Roman" w:eastAsia="Times New Roman" w:hAnsi="Times New Roman"/>
          <w:sz w:val="18"/>
          <w:szCs w:val="18"/>
          <w:i w:val="1"/>
          <w:iCs w:val="1"/>
          <w:color w:val="auto"/>
        </w:rPr>
        <w:t>www.incyte.com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2" w:lineRule="exact"/>
        <w:rPr>
          <w:sz w:val="20"/>
          <w:szCs w:val="20"/>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ZYNYZ and NIKTIMVO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2" w:lineRule="exact"/>
        <w:rPr>
          <w:sz w:val="20"/>
          <w:szCs w:val="20"/>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for OPZELURA or additional products in the future.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obtaining and maintaining broad coverage and reimbursement for our products, our anticipated revenue from and growth prospects for our products could be negatively affected.</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disruptions at the FDA and other regulatory agencies could prevent those agencies from performing normal business functions on which the operation of our business relies, which could negatively impact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ZYNYZ and NIKTIMVO, the manufacturing, marketing and sale of JAKAFI, PEMAZYRE, OPZELURA and NIKTIMVO and the marketing and sale of ICLUSIG, MONJUVI/MINJUVI and ZYNYZ expose us to product liability and other risks. Side effects and other problems experienced by patients from the use of our products could:</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ZYNYZ and NIKTIMVO.</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from Apotex, Inc. regarding its filing of an ANDA that requested approval to market a generic version of JAKAFI and purported to challenge patents covering ruxolitinib phosphate and its use that expire (with pediatric extension) in December 2028. The notice letter does not challenge the ruxolitinib composition of matter patent, which expires (with pediatric extension) in June 2028. To date, to our knowledge, the FDA has taken no action with respect to this ANDA. Subsequently, we received a notice letter in February 2024 from Apotex challenging the patent covering ruxolitinib composition of matter and its use, which expires (with pediatric extension) in June 2028. In response, in March 2024, we initiated a patent infringement action against Apotex in the U.S. District Court for the District of New Jersey asserting certain FDA Orange Book listed patents. That action remains pending.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 respect to deuterated ruxolitinib, in January 2018 the Patent Trial and Appeal Board, or PTAB, of United States Patent and Trademark Office</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denied institution of a petition challenging our patent covering deuterated ruxolitinib analogs. The PTAB subsequently denied the petitioner’s request for rehearing in May 2018. Although the PTAB's decision is now final, the petitioner still has the right separately to challenge the validity of our patent in federal court.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2024, the FDA approved a deuterated ruxolitinib product owned by Sun Pharmaceutical Industries Ltd. and Sun Pharmaceutical Industries, Inc., collectively referred to as Sun, for the treatment of severe alopecia areata to be commercialized as “Leqselvi (deuruxolitinib)”. Prior to the regulatory approval of Leqselvi, we sued Sun for infringement of our patent covering deuterated ruxolitinib analogs in the U.S. District Court for the District of New Jersey and sought a preliminary injunction to bar Sun’s launch of Leqselvi during the pendency of the litigation. On November 1, 2024, the court entered an order granting our preliminary injunction request. Sun has appealed the court’s preliminary injunction order to the U.S. Court of Appeals for the Federal Circuit. Both our underlying infringement action and Sun’s appeal of the court’s preliminary injunction order remain pending.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and prescription topical treatments, as well as oral and injectable therapies, from major pharmaceutical and biotechnology companies, and companies that produce generic version of prescription treatments. In September 2023, we received a notice letter from Padagis Israel Pharmaceuticals Ltd. regarding its filing of an ANDA that requested approval to market a generic version of OPZELURA and purported to challenge patents covering ruxolitinib phosphate cream and its uses that expire in 2031 and 2040. The notice letter does not challenge ruxolitinib nor the ruxolitinib phosphate composition of matter patents, providing patent coverage (with pediatric extension) until December 2028. To date, to our knowledge, the FDA has taken no action with respect to this ANDA. In November 2023, we initiated a patent infringement action against Padagis in the U.S. District Court for the District of New Jersey asserting certain FDA Orange Book listed patents. That action remains pending.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patents will be upheld or that any litigation in which we might engage with any generic manufacturer would be successful in protecting exclusivity of our products. The entry of a competitive drug product from another company or a generic version of one of our products could result in a decrease in sales of our products and materially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2" w:lineRule="exact"/>
        <w:rPr>
          <w:sz w:val="20"/>
          <w:szCs w:val="20"/>
          <w:color w:val="auto"/>
        </w:rPr>
      </w:pPr>
    </w:p>
    <w:p>
      <w:pPr>
        <w:ind w:left="980" w:right="2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OPZELURA and NIKTIMVO,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conditions affecting the cost and availability of raw materials, such as inflation, decreases in available manufacturing capacity, or otherwise, would adversely affect our results of operations.</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9" w:lineRule="exact"/>
        <w:rPr>
          <w:sz w:val="20"/>
          <w:szCs w:val="20"/>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acquired products, product candidates or technologies or to achieve other strategic objectives;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markets in which we have no or limited direct prior experience or where competitors in such markets have stronger market positions;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83" w:lineRule="exact"/>
        <w:rPr>
          <w:sz w:val="20"/>
          <w:szCs w:val="20"/>
          <w:color w:val="auto"/>
        </w:rPr>
      </w:pPr>
    </w:p>
    <w:p>
      <w:pPr>
        <w:jc w:val="both"/>
        <w:ind w:left="980" w:hanging="324"/>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operations, future revenues and financial condition and increase our costs and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ZYNYZ and NIKTIMVO for several years, if ever.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ZYNYZ and NIKTIMVO we may incur losses if our drug products do not generate significant revenues.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equity investments are subject to risks that could adversely affect our overall financial position.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loss in value of our equity investments could adversely affect our financial position on the consolidated balance sheets and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or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European Union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On January 15,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On January 20, 2025, President Trump signed an executive order effectively cancelling the United States’ commitments to the global minimum tax rules, stating that those commitments cannot have any effect in the United States without an act of approval of the U.S. Congress.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20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derive a substantial portion of our total revenues from product royalties and milestone payments under our collaboration agreements, with royalties on JAKAVI and OLUMIANT representing most of our product royalty, milestone and contract revenues for each of the three years ended December 31, 2024.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3"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Incyte is committed to maintaining robust oversight and governance of potential cybersecurity risks and to implementing processes and controls that help us identify, assess and manage such risks. To date, we have not experienced a cybersecurity threat or incident that has resulted in a material adverse impact to our business or operations. However, we cannot guarantee that we will not experience such a threat or incident in the future, given the increasing sophistication of those responsible for cybersecurity incidents. While we seek to detect and investigate unauthorized attempts and attacks against our network and to prevent their occurrence where practicable through our internal processes and tools, we remain potentially vulnerable to known or unknown threats. In some instances, we can be unaware of a threat or incident or its magnitude and effects. Further, there is increasing regulation regarding responses to cybersecurity incidents, including reporting to regulators, which could subject us to additional liability and reputational harm. See "Item 1A. Risk Factors" for more information on our cybersecurity risks.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aim to incorporate and align with industry best practices throughout our cybersecurity program. Our cybersecurity strategy focuses on implementing effective and efficient controls, technologies and other processes to assess, identify, manage and mitigate material cybersecurity risks. These include, among other things, having mechanisms in place to detect and monitor unusual network activity, utilizing vulnerability assessment scans and tools, and conducting external and internal penetration tests and security assessments using the National Institute of Standards and Technology (NIST) Cybersecurity Framework. We engage third party experts to assist with numerous aspects of our cybersecurity program, including vulnerability assessment scans, penetration tests and security assessments. These outside experts are utilized on a rotating basis to enable us to receive multiple viewpoints on the security of our technological resources. Additionally, from time to time, our internal audit function, reviews and assesses various aspects of our cybersecurity program. We also engage in threat intelligence monitoring, including monitoring the dark web and zero-day vulnerability and attack information, and have processes in place to assess the potential cybersecurity impact or risk of any identified threats on our company, including potential impacts on our business partners and other parties with whom we share information. We actively engage with industry groups for peer benchmarking purposes and to stay current on best practices. We rely heavily on our vendors and other third party service providers in our clinical development activities as well as to manufacture and deliver our products, and a cybersecurity incident at a vendor or other third party service provider could have a material and adverse impact on our business, results of operations and financial condition. We have further processes in place to assess the cybersecurity risks associated with our vendors and other third-party service providers, and we require such providers to take appropriate precautions to protect our data and to notify us promptly in the event of any known or suspected data breach or cyber incident.</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cybersecurity program is integrated into our broader approach to risk management, and ultimate oversight for the program sits with our Board of Directors. The Board of Directors is aided by its Audit and Finance Committee, which regularly reviews our cybersecurity program with management and reports to the Board of Directors. Cybersecurity reviews by the Audit and Finance Committee or the Board of Directors generally occur at least twice annually, or more frequently as determined to be necessary or advisable.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Incyte’s Chief Information Security Officer (CISO) runs our cybersecurity program. Our CISO, who holds numerous cybersecurity and related certifications, including Certified Information Systems Security Professional, reports in to our Chief Information Officer (CIO). Our CISO and CIO have extensive experience assessing and managing cybersecurity programs and cybersecurity risk. They regularly report directly to the Audit and Finance Committee or the Board of Directors on our cybersecurity program and our efforts to prevent, detect, mitigate and remediate cybersecurity incidents. In addition, we have an escalation process in place to inform senior management and the Board of Directors of any material issues as they arise.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global headquarters is located in Wilmington, Delaware, where we conduct global clinical development and commercial operations. We own three buildings comprising approximately 541,000 square feet of laboratory and office space at this site. In May 2024, we purchased additional property in Wilmington, Delaware, including land, office buildings and parking garages, adding an additional approximately 517,000 square feet of office space in Wilmington, Delaware. The acquired office buildings are undergoing renovations and we currently expect to occupy the office buildings in 2026.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approximately 116,000 square feet of office space in Chadds Ford, Pennsylvania.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conduct clinical development and commercial operations from our European headquarters in Morges, Switzerland and our Tokyo and Shanghai offices in East Asia. Our large molecule production facility is located in Yverdon, Switzerland. Our Canadian office is in Montreal.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w:t>
      </w:r>
    </w:p>
    <w:p>
      <w:pPr>
        <w:spacing w:after="0" w:line="176"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are as follows: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Hervé Hoppenot, </w:t>
      </w:r>
      <w:r>
        <w:rPr>
          <w:rFonts w:ascii="Times New Roman" w:cs="Times New Roman" w:eastAsia="Times New Roman" w:hAnsi="Times New Roman"/>
          <w:sz w:val="18"/>
          <w:szCs w:val="18"/>
          <w:color w:val="auto"/>
        </w:rPr>
        <w:t>age 65, joined Incyte as President and Chief Executive Officer and a Director in January 2014 and was appointed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Rhône-Poulenc S.A.), a pharmaceutical company, including as Vice President Oncology U.S. of Aventis Pharmaceuticals, Inc. from 2000 to 2003 and Vice President U.S. Oncology Operations of Rhone-Poulenc Rorer Pharmaceuticals, Inc. from 1998 to 2000. Mr. Hoppenot holds a Diploma from ESSEC International Business School.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Pablo J. Cagnoni, </w:t>
      </w:r>
      <w:r>
        <w:rPr>
          <w:rFonts w:ascii="Times New Roman" w:cs="Times New Roman" w:eastAsia="Times New Roman" w:hAnsi="Times New Roman"/>
          <w:sz w:val="18"/>
          <w:szCs w:val="18"/>
          <w:color w:val="auto"/>
        </w:rPr>
        <w:t>age 62, joined Incyte in June 2023 as President and Head of Research and Development. From November 2022 to May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Cagnoni served as Chief Executive of Laronde (now Sail Biomedicines), a Flagship Pioneering Company, and Executive Partner at Flagship Pioneering. Prior to joining Laronde and Flagship, he served as President and Chief Executive Officer of Rubius Therapeutics, Inc., a biotechnology company, from June 2018 until November 2022. From May 2015 until June 2018, Dr. Cagnoni served as President and Chief Executive Officer of Tizona Therapeutics, Inc., a privately held biotechnology company. Dr. Cagnoni previously served as President of Onyx Pharmaceuticals, Inc., a biopharmaceutical company, from October 2013 to April 2015 and Executive Vice President, Global Research and Development and Technical Operations from March 2013 to October 2013. Prior to Onyx, Dr. Cagnoni was Senior Vice President and Global Head of Clinical Development at Novartis Oncology from October 2009 to March 2013. From 2007 to 2009, Dr. Cagnoni was Senior Vice President and Chief Medical Officer at Allos Therapeutics (acquired by Spectrum Pharmaceuticals) and, prior to that, Chief Medical Officer of OSI Pharmaceuticals (acquired by Astellas Pharma Inc.). Dr. Cagnoni received an M.D. from the University Buenos Aires School of Medicine and completed post-doctoral work in Hematology and Oncology at the Mount Sinai Medical Center, New York, and in Stem Cell Transplantation at the University of Colorado Health Sciences Center.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Sheila Denton</w:t>
      </w:r>
      <w:r>
        <w:rPr>
          <w:rFonts w:ascii="Times New Roman" w:cs="Times New Roman" w:eastAsia="Times New Roman" w:hAnsi="Times New Roman"/>
          <w:sz w:val="18"/>
          <w:szCs w:val="18"/>
          <w:color w:val="auto"/>
        </w:rPr>
        <w:t>, age 59, joined Incyte in October 2023 as Executive Vice President, General Counsel and Corporate Secretary. Ms. Denton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served as Senior Vice President, General Counsel and Corporate Secretary of Boehringer Ingelheim USA, Inc., where she was responsible for the legal, compliance and policy teams for the human health, animal health and biopharmaceutical businesses. During her 19-year tenure with Boehringer Ingelheim, Ms. Denton held a number of other key leadership positions both in the United States and abroad, in multiple areas such as acquisitions, the generic businesses, and litigation. Prior to joining Boehringer Ingelheim, Ms. Denton was a partner in a New England-based law firm. Ms. Denton received her J.D. from Western New England College School of Law, and her B.S. in Business and Political Science from Sacred Heart University.</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Lee Heeson, </w:t>
      </w:r>
      <w:r>
        <w:rPr>
          <w:rFonts w:ascii="Times New Roman" w:cs="Times New Roman" w:eastAsia="Times New Roman" w:hAnsi="Times New Roman"/>
          <w:sz w:val="18"/>
          <w:szCs w:val="18"/>
          <w:color w:val="auto"/>
        </w:rPr>
        <w:t>age 54, joined Incyte in October 2024 as Executive Vice President, Incyte International. Prior to joining Incyte, Mr. Heeson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Commercial International, of Seagen Inc., a biopharmaceutical company, from February 2022 to September 2024. From February 2020 to February 2022, he was President International of Vifor Pharma Ltd., a pharmaceuticals company. From October 2013 to January 2020, he held senior roles at Celgene Corporation, a biopharmaceutical company, most recently as President of Worldwide Markets, Inflammation &amp; Immunology. Earlier in his career, Mr. Heeson held leadership positions at Galderma and Schering-Plough. Mr. Heeson holds a B.A., with honors, from Sheffield Hallam University.</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Mohamed Issa, </w:t>
      </w:r>
      <w:r>
        <w:rPr>
          <w:rFonts w:ascii="Times New Roman" w:cs="Times New Roman" w:eastAsia="Times New Roman" w:hAnsi="Times New Roman"/>
          <w:sz w:val="18"/>
          <w:szCs w:val="18"/>
          <w:color w:val="auto"/>
        </w:rPr>
        <w:t>age 42, joined Incyte in January 2025 as Executive Vice President, Head of US Oncology. He has almost 20 years of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experience in pharmaceuticals, consumer healthcare and med-tech, with expertise spanning strategy, commercialization and business development. Before joining Incyte, he spent 13 years at Johnson &amp; Johnson, where he held senior roles leading U.S. Immunology, Neuroscience and Oncology businesses, most recently as Senior Vice President, US Immunology of Janssen Pharmaceuticals. Earlier in his career, he was co-founder and CEO of a consumer healthcare company and held various roles in sales, brand management and strategy in biopharmaceuticals. Dr. Issa holds a Pharm.D. from St. John’s University and an M.B.A. in finance and economics from New York University’s Stern School of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Vijay Iyengar</w:t>
      </w:r>
      <w:r>
        <w:rPr>
          <w:rFonts w:ascii="Times New Roman" w:cs="Times New Roman" w:eastAsia="Times New Roman" w:hAnsi="Times New Roman"/>
          <w:sz w:val="18"/>
          <w:szCs w:val="18"/>
          <w:color w:val="auto"/>
        </w:rPr>
        <w:t>, age 52, joined Incyte in May 2016 as Executive Vice President, Global Strategy and Corporate Development.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in Biology from Stanford University and earned his M.D. from Harvard Medical School.</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Michael Morrissey</w:t>
      </w:r>
      <w:r>
        <w:rPr>
          <w:rFonts w:ascii="Times New Roman" w:cs="Times New Roman" w:eastAsia="Times New Roman" w:hAnsi="Times New Roman"/>
          <w:sz w:val="18"/>
          <w:szCs w:val="18"/>
          <w:color w:val="auto"/>
        </w:rPr>
        <w:t>, age 61, has served as Executive Vice President and Head of Global Technical Operations since June 2019 and joined Incyte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Christiana Stamoulis, </w:t>
      </w:r>
      <w:r>
        <w:rPr>
          <w:rFonts w:ascii="Times New Roman" w:cs="Times New Roman" w:eastAsia="Times New Roman" w:hAnsi="Times New Roman"/>
          <w:sz w:val="18"/>
          <w:szCs w:val="18"/>
          <w:color w:val="auto"/>
        </w:rPr>
        <w:t>age 54, joined Incyte in February 2019 as Executive Vice President and Chief Financial Officer. Prior to joining Incyte,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from February 2018 until January 2019 and Chief Financial Officer from January 2015 to January 2019 of Unum Therapeutics Inc., a biopharmaceutical company. Prior to joining Unum,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B.S. degrees from the Massachusetts Institute of Technology (MIT) and an M.B.A. from the MIT Sloan School of Management.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Steven Stein, </w:t>
      </w:r>
      <w:r>
        <w:rPr>
          <w:rFonts w:ascii="Times New Roman" w:cs="Times New Roman" w:eastAsia="Times New Roman" w:hAnsi="Times New Roman"/>
          <w:sz w:val="18"/>
          <w:szCs w:val="18"/>
          <w:color w:val="auto"/>
        </w:rPr>
        <w:t>age 58, has served as Executive Vice President and Chief Medical Officer since May 2016 and joined Incyte as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Paula J. Swain</w:t>
      </w:r>
      <w:r>
        <w:rPr>
          <w:rFonts w:ascii="Times New Roman" w:cs="Times New Roman" w:eastAsia="Times New Roman" w:hAnsi="Times New Roman"/>
          <w:sz w:val="18"/>
          <w:szCs w:val="18"/>
          <w:color w:val="auto"/>
        </w:rPr>
        <w:t>, age 67, has served as Executive Vice President, Human Resources since August 2002 and joined Incyte as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Human Resources in January 2002. Ms. Swain served as Senior Vice President of Human Resources at Bristol-Myers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19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Matteo Trotta, </w:t>
      </w:r>
      <w:r>
        <w:rPr>
          <w:rFonts w:ascii="Times New Roman" w:cs="Times New Roman" w:eastAsia="Times New Roman" w:hAnsi="Times New Roman"/>
          <w:sz w:val="18"/>
          <w:szCs w:val="18"/>
          <w:color w:val="auto"/>
        </w:rPr>
        <w:t>age 46, joined Incyte as Executive Vice President, General Manager, Dermatology US in March 2024. Prior to joining Incyte,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Trotta served as the Head of Novartis U.S. Immunology, where he led a 400-person organization across dermatology, rheumatology, auto-inflammatory, rare diseases and allergy. He additionally held leadership roles in U.S. marketing and sales, enterprise strategy and global manufacturing and quality. Before joining Novartis in 2012, he was an Engagement Manager at McKinsey &amp; Company, where he served pharmaceutical and payer clients as part of their healthcare practice. Mr. Trotta received his Engineering Degree from Politecnico di Torino, his M.S. in Engineering from the University of Illinois Chicago, and his M.B.A. from Columbia Business School.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$.001 par value per share, is traded on The Nasdaq Global Select Market under the symbol “INCY.” As of December 31, 2024, our common stock was held by 107 stockholders of record. We have never declared or paid dividends on our capital stock and do not anticipate paying any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2024 as compared to the year ended December 31, 2023 appears below under the captions “Results of Operations” and “Liquidity and Capital Resources.” A discussion of our financial performance for the year ended December 31, 2023 compared to the year ended December 31, 2022 can be found under the same captions in Item 7 of our Annual Report on Form 10-K for the year ended December 31, 2023, filed with the SEC on February 13, 2024,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investor.incyte.com/financial-information/annual-reports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 websites are part of this report or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the discovery, development and commercialization of proprietary therapeutics, Incyte has established a portfolio of first-in-class and best-in-class medicines for patients and a strong pipeline of products focused in three core therapeutic areas: Oncology, Inflammation &amp; Autoimmunity, and Myeloproliferative Neoplasms (MPNs) &amp; Graft-Versus-Host Disease (GVHD). We are also eligible to receive milestones and royalties on molecules discovered by us and licensed to third parties.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portfolio focuses on areas of high unmet medical need and includes compounds in various stages, ranging from preclinical to late-stage development, and commercialized products JAKAFI (ruxolitinib), ICLUSIG (ponatinib), PEMAZYRE (pemigatinib), OPZELURA (ruxolitinib cream), MINJUVI (tafasitamab), MONJUVI (tafasitamab-cxix) and ZYNYZ (retifanlimab-dlwr), as well as NIKTIMVO (axatilimab-csfr), which was approved for medical use in the United States in August 2024 and will be co-commercialized.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revenues depend on continued sales of our products, and we depend substantially on product revenues from JAKAFI. We must develop and commercialize new products to achieve revenue growth and to offset revenue losses from when products lose their exclusivity or when competing products are launched. For additional information, including information on the expirations of patents for various products, see Part I, Item 1 of this report, “Business—Patents and Other Intellectual Property” and “Business—Competition.” We devote substantial resources to research and development activities and to acquire rights to new product candidates and technologies, but successful product development in the biopharmaceutical industry is highly uncertain.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 revenues also face challenges from economic conditions and drug pricing initiatives driven by governments and private payors. See Part I, Item 1A of this report, “Risk Factors” for a further discussion of certain factors that could impact our future product revenues.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Business Relationships and Acquisitions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establish business relationships with other companies and medical research institutions to acquire products or rights to products and technologies that are complementary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the consolidated financial statements. See Note 1 of Notes to the Consolidated Financial Statements for a complete list of our significant accounting policies.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only when we have satisfied a performance obligation through transferring control of the promised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or service to a customer in an amount that reflects the consideration we expect to receive in exchange for those goods or services.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at a point in time. We also assess collectability based primarily on the customer’s payment history and on the creditworthiness of the customer.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the Medicaid Drug Rebate Program and Medicare Part D coverage gap reimbursements in the United States and mandated discounts in Europe.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 As of December 31, 2024, a 5% change in our sales allowance and accruals would have had an approximate $79.9 million impact on our income before taxes.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 prompt payment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We accrue rebates for mandated discounts under the Medicaid Drug Rebate Program in the United States and mandated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 Europe in markets where government-sponsored healthcare systems are the primary payers for healthcare. These accruals are based on statutory discount rates and expected utilization as well as historical data we have accumulated since product launch.</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estimates for expected utilization of commercial insurance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indirect contracted customers purchase directly from our wholesalers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 the Medicare Part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accrue a liability for co-payment assistance based on actual program participation and estimates of program redemption using data provided by third-party administrators.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Royalty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Royalty revenues on commercial sales for JAKAVI and TABRECTA by Novartis are estimated based on information provided by Novartis. Royalty revenues on commercial sales for OLUMIANT by Lilly are estimated based on information provided by Lilly. Royalty revenues on commercial sales for PEMAZYRE by Innovent are estimated based on information provided by Innovent. We recognize royalty revenues in the period the sales occur.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 Historically, adjustments to these estimates to reflect actual royalty revenues have not been material to our financial results and have been less than 1% of royalty revenues.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Milestone and Contract Revenues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 stock units (RSUs)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shares (PSUs), are recognized as compensation expense over the requisite service period based on their estimated fair values at the date of grant as well as expected forfeiture rates based on actual experience, subject to customary retirement provisions that may accelerate the requisite service period for expense recognition purposes. The stock compensation process requires the use of estimates, particularly surrounding Black-Scholes assumptions such as stock price volatility over the option term and expected option lives, as well as expected forfeiture rates and the probability of PSUs vesting. For the years ending December 31, 2024 and 2023, our Black-Scholes assumptions included a weighted-average stock price volatility of 30% in 2024 and 32% in 2023, average expected option life of approximately five years and an estimated annualized forfeiture rate of 5%. The average risk-free interest rate assumption used in the Black-Scholes valuations increased from 4.01% in 2023 to 4.15% in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account for income taxes using an asset and liability approach to financial accounting for income taxes. Under this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 Given we do not record a valuation allowance on the majority of our U.S. deferred tax assets, we expect that our reported income tax expense (current plus deferred) for future periods will be higher than that recorded for prior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2024 and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net income for the years ended December 31, 2024 and 2023 of $32.6 million and $597.6 million, respectively. On a per share basis, basic net income was $0.16 and diluted net income was $0.15 for the year ended December 31, 2024. On a per share basis, basic net income was $2.67 and diluted net income was $2.65 for the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JAKAFI product revenues from 2023 to 2024 was comprised of a volume increase of $142.3 million and a price increase of $56.1 million. The increase for the year ended December 31, 2024 as compared to the corresponding period in 2023 was primarily driven by an increase in paid demand across all indications.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OPZELURA net product revenues from 2023 to 2024 was comprised of a volume increase of $165.3 million and a price increase of $5.1 million. The increase was driven by continued growth in new patient starts and refills, and approximately $60.7 million of OPZELURA net product revenues for 2024 were from Europe.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MINJUVI/MONJUVI net product revenues for the year ended December 31, 2024 compared to the prior period was driven by the acquisition completed in February 2024, under which we gained exclusive global rights to tafasitamab marketed in the United States as MONJUVI (tafasitamab-cxix). Refer to Note 5 of Notes to the Consolidated Financial Statements for further information related to the acquisition.</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Co-Pay</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2"/>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6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308,938</w:t>
            </w:r>
          </w:p>
        </w:tc>
      </w:tr>
      <w:tr>
        <w:trPr>
          <w:trHeight w:val="25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1,589,621</w:t>
            </w:r>
          </w:p>
        </w:tc>
      </w:tr>
      <w:tr>
        <w:trPr>
          <w:trHeight w:val="25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57"/>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(1,306,484)</w:t>
            </w:r>
          </w:p>
        </w:tc>
      </w:tr>
      <w:tr>
        <w:trPr>
          <w:trHeight w:val="25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(153,239)</w:t>
            </w: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446,301</w:t>
            </w:r>
          </w:p>
        </w:tc>
      </w:tr>
      <w:tr>
        <w:trPr>
          <w:trHeight w:val="21"/>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December 31, 2024, we have accrued approximately $127.6 million within accrued and other current liabilities on the consolidated balance sheet, relating to the incremental rebates that would be owed were OPZELURA considered a line extension of JAKAFI. The impact on OPZELURA gross to net deductions for the quarter ending December 31, 2024, is approximately 6.3%. If OPZELURA is not treated as a line extension of JAKAFI, this would result in a reversal of our accrual and a lower future gross to net deduction for OPZELURA.</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due to changes in the volume of purchases eligible for government mandated discounts and rebates as well as changes in discount percentages, which are impacted by potential future price increases, rate of inflation, and other factors, such as changes to the 340B drug pricing program. In 2025, we expect to see a reduction in our sales allowances owed under Medicare Part D, due to changes from the Inflation Reduction Act, which effective January 1, 2025, replaced the manufacturer's coverage gap liability with a different discount structure.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Product royalty revenues on commercial sales of PEMAZYRE by Innovent are based on net sales of licensed products in licensed territories as provided by Innovent.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milestone and contract revenues were $43.0 million and $7.0 million for the years ended December 31, 2024 and 2023, respectively. During the year ended December 31, 2024, our milestone and contract revenues were derived from a $25.0 million upfront payment received during the first quarter of 2024 upon our transfer of functional intellectual property to China Medical Systems Holdings Limited, and we recognized $18.0 million of upfront and milestone payments from two of our collaboration partners during the third quarter of 2024. During the year ended December 31, 2023, our milestone and contract revenues were primarily derived from a regulatory milestone under the Novartis collaboration and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196"/>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255.0</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owed under our collaborative agreements and amortization of our licensed intellectual property rights for ICLUSIG and the amortization of capitalized milestone payments. The increase in cost of product revenues from 2023 to 2024 was primarily due to growth in net product revenues, increased royalty expense and increased manufacturing related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IPR&amp;D expense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Salary and benefits related expense increased from 2023 to 2024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Additionally, as described in Note 5 of the Notes to the Consolidated Financial Statements, as part of the Escient acquisition, we recognized compensation expense in research and development of $11.3 million associated with the accelerated vesting for certain Escient stock awards in connection with the acquisition on our consolidated statements of operations. Research and development expenses for the year ended December 31, 2024 also include the $679.4 million of expense related to the acquired in-process research and development assets as part of the Escient acquisition.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clinical research and outside services expense from 2023 to 2024 was primarily due to continued investment in our late-stage development assets, additional expenses resulting from the Escient acquisition and timing of certain expenses. Research and development expenses include upfront and milestone expenses related to our collaborative agreements, which were $104.4 million and $36.7 million for the years ended December 31, 2024 and 2023, respectively. Research and development expenses for the years ended December 31, 2024 and 2023 were net of $29.9 million and $49.1 million, respectively, of costs reimbursed by our collaborative partners.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Salary and benefits related expense increased from 2023 to 2024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Additionally, as described in Note 5 of the Notes to the Consolidated Financial Statements, as part of the Escient acquisition, we recognized compensation expense in selling, general and administrative expenses of $20.2 million associated with the accelerated vesting for certain Escient stock awards in connection with the acquisition on our consolidated statements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on change in fair value of acquisition-related contingent consideration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2024 and 2023 was expense of $19.8 million and $29.2 million, respectively, which is recorded in loss on change in fair value of acquisition-related contingent consideration on the consolidated statements of operations. The loss on change in fair value of the contingent consideration during the years ended December 31, 2024 and 2023 was due primarily to fluctuations in foreign currency exchange rates impacting future revenue projections of ICLUSIG and the passage of time.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Profit sharing from co-commercialization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former collaboration and license agreement with MorphoSys, which was executed in March 2020 and continued through February 5, 2024 as described further in Note 5 of the Notes to the Consolidated Financial Statements, we and MorphoSys were both responsible for the commercialization efforts of tafasitamab in the United States and shared equally the profits and losses from the co-commercialization efforts. For the period from January 1, 2024 through February 5, 2024, our 50% share of the profits for tafasitamab was $1.0 million, as recorded in (profit) and loss sharing under collaboration agreements on the consolidated statement of operations. For the year ended December 31, 2023, our 50% share of the costs for tafasitamab was $2.0 million, as recorded in (profit) and loss sharing under collaboration agreements on the consolidated statement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collaboration agreement with Syndax, as described further in Note 7 of the Notes to the Consolidated Financial Statements, we and Syndax are both responsible for the co-commercialization of axatilimab in the United States and share equally in the profits and losses from those efforts. We are the principal in the U.S. axatilimab co-commercialization efforts and will record 100% of all product revenues and associated costs in accordance with our profit sharing from co-commercialization activities accounting policy outlined in Note 1 of the Notes to the Consolidated Financial Statements. For the year ended December 31, 2024, there were no revenues from sales of axatilimab, however, there was $22.4 million of expense incurred in connection with the co-commercialization efforts, 50% of which is recorded as selling, marketing and administrative expense in our consolidated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for the years ended December 31, 2024 and 2023 was $128.7 million and $158.4 million, respectively. The decrease in Interest income for the year ended December 31, 2024 primarily relates to a decrease in interest earned on our cash equivalents and marketable securities generally due to lower cash equivalent and marketable securities balance in the second half of 2024 as compared to the corresponding period in 2023.</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Realized and unrealized gain (loss) on equity investments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Realized and unrealized gains and losses on equity investments will fluctuate from period to period, based on sales of securities and the change in fair value of the securities we hold in our publicly held collaboration partners. The following table provides a summary of those realized and unrealized gains and (losses):</w:t>
      </w:r>
    </w:p>
    <w:p>
      <w:pPr>
        <w:spacing w:after="0" w:line="20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 on equity investments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sold all remaining investments in Agenus Inc., Merus and MorphoSys AG as described further in in Note 7 of the Notes to the Consolidated Financial Statements.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2024 and 2023 was $284.0 million and $236.6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of 89.7% for the year ended December 31, 2024 increased as compared to 28.4% for the prior year primarily due to non-deductible charges of $710.9 million associated with the Escient acquisition. Our effective tax rate for 2024 was higher than the U.S. statutory rate primarily due to non-deductible charges of $710.9 million associated with the Escient acquisition. Our effective tax rate for 2023 was higher than the U.S. statutory rate primarily due to foreign losses with no associated tax benefit and an increase in our valuation allowance against certain U.S. federal and state deferred tax assets. This was partially offset by tax rate benefits associated with research and development and orphan drug tax credit generations and the foreign derived intangible income deduction.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2,158.1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1,597.2</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335.3</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157.5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(included in investing activities above)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we had available cash, cash equivalents and marketable securities of $2.2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The decrease in cash provided by operating activities from 2023 to 2024 was due primarily to the Escient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changes in working capital.</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Our investing activities, other than purchases, sales and maturities of marketable securities, have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predominantly of capital expenditures and sales of long term investments. During 2024, net cash provided by investing activities was $157.5 million, which primarily represented sales of equity investments of $284.8 million and sale and maturity of marketable securities of $231.3 million, offset in part by purchases of marketable securities of $258.4 million, payments for intangible assets of $13.9 million, and capital expenditures of $86.3 million. During 2023, net cash used in investing activities was $207.7 million, which represents purchases of marketable securities of $456.0 million, capital expenditures of $32.5 million, payments for intangible assets of $15.0 million, and purchases of long term investments of $10.0 million, offset in part by the sale and maturity of marketable securities of $305.8 million.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used in financing activities. </w:t>
      </w:r>
      <w:r>
        <w:rPr>
          <w:rFonts w:ascii="Times New Roman" w:cs="Times New Roman" w:eastAsia="Times New Roman" w:hAnsi="Times New Roman"/>
          <w:sz w:val="18"/>
          <w:szCs w:val="18"/>
          <w:color w:val="auto"/>
        </w:rPr>
        <w:t>During 2024, net cash used in financing activities was $2.0 billion and was primarily driven by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share repurchase of $2.0 billion. During 2023, net cash used in financing activities was $20.0 million, consisting primarily of cash paid to ARIAD/Takeda for contingent consideration, offset in part by proceeds from the issuance of common stock under our stock plans net of tax withholdings.</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capital expenditures for construction activities and our non-operating contractual operating and finance lease obligations are discussed in Note 8 of Notes to the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December 31, 2024, we had no outstanding borrowings and were in compliance with all covenants under this facility. The Credit Agreement is described further in Note 16 of Notes to the Consolidated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full utilization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Consolidated Financial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securities, are subject to default, changes in credit rating and changes in market value. These investments are also subject to interest rate risk and will decrease in value if market interest rates increase. As of December 31, 2024, marketable securities were $470.3 million. Due to the nature of these investments, if market interest rates were to increase immediately and uniformly by 10% from levels as of December 31, 2024, the decline in fair value would not be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5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Incyte Corporation</w:t>
            </w: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8"/>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Registered Public Accounting Firm (PCAOB ID: 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1080" w:type="dxa"/>
            <w:vAlign w:val="bottom"/>
            <w:tcBorders>
              <w:top w:val="single" w:sz="8" w:color="auto"/>
            </w:tcBorders>
          </w:tcPr>
          <w:p>
            <w:pPr>
              <w:spacing w:after="0"/>
              <w:rPr>
                <w:sz w:val="20"/>
                <w:szCs w:val="20"/>
                <w:color w:val="auto"/>
              </w:rPr>
            </w:pPr>
          </w:p>
        </w:tc>
        <w:tc>
          <w:tcPr>
            <w:tcW w:w="4800" w:type="dxa"/>
            <w:vAlign w:val="bottom"/>
            <w:gridSpan w:val="5"/>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3680" w:type="dxa"/>
            <w:vAlign w:val="bottom"/>
            <w:gridSpan w:val="4"/>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2023 and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680" w:type="dxa"/>
            <w:vAlign w:val="bottom"/>
            <w:tcBorders>
              <w:top w:val="single" w:sz="8" w:color="0000FF"/>
            </w:tcBorders>
          </w:tcPr>
          <w:p>
            <w:pPr>
              <w:spacing w:after="0"/>
              <w:rPr>
                <w:sz w:val="20"/>
                <w:szCs w:val="20"/>
                <w:color w:val="auto"/>
              </w:rPr>
            </w:pPr>
          </w:p>
        </w:tc>
        <w:tc>
          <w:tcPr>
            <w:tcW w:w="2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620" w:type="dxa"/>
            <w:vAlign w:val="bottom"/>
            <w:gridSpan w:val="3"/>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120" w:type="dxa"/>
            <w:vAlign w:val="bottom"/>
            <w:gridSpan w:val="7"/>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938"/>
        </w:trPr>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Incyte Corporation (the Company) as of December 31, 2024 and 2023, the related consolidated statements of operations, comprehensive income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10,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i w:val="1"/>
          <w:iCs w:val="1"/>
          <w:color w:val="auto"/>
        </w:rPr>
        <w:t>Allowances for rebates owed pursuant to the Medicaid Drug Rebate Program in the U.S.</w:t>
      </w:r>
    </w:p>
    <w:p>
      <w:pPr>
        <w:spacing w:after="0" w:line="281" w:lineRule="exact"/>
        <w:rPr>
          <w:sz w:val="20"/>
          <w:szCs w:val="20"/>
          <w:color w:val="auto"/>
        </w:rPr>
      </w:pPr>
    </w:p>
    <w:p>
      <w:pPr>
        <w:ind w:left="2160" w:right="240" w:hanging="2132"/>
        <w:spacing w:after="0" w:line="258"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1 to the consolidated financial statements, the Company recognizes revenues for product received by its customers net of allowances for customer credits, including estimated rebates, chargebacks, discounts, returns, distribution service fees, patient assistance programs, and government rebates. Liabilities related to sales allowances are presented within accrued and other current liabilities on the consolidated balance sheet and totaled $431.8 million as of December 31, 2024.</w:t>
      </w:r>
    </w:p>
    <w:p>
      <w:pPr>
        <w:spacing w:after="0" w:line="77" w:lineRule="exact"/>
        <w:rPr>
          <w:sz w:val="20"/>
          <w:szCs w:val="20"/>
          <w:color w:val="auto"/>
        </w:rPr>
      </w:pPr>
    </w:p>
    <w:p>
      <w:pPr>
        <w:ind w:left="2160" w:right="160"/>
        <w:spacing w:after="0" w:line="258" w:lineRule="auto"/>
        <w:rPr>
          <w:sz w:val="20"/>
          <w:szCs w:val="20"/>
          <w:color w:val="auto"/>
        </w:rPr>
      </w:pPr>
      <w:r>
        <w:rPr>
          <w:rFonts w:ascii="Times New Roman" w:cs="Times New Roman" w:eastAsia="Times New Roman" w:hAnsi="Times New Roman"/>
          <w:sz w:val="18"/>
          <w:szCs w:val="18"/>
          <w:color w:val="auto"/>
        </w:rPr>
        <w:t>Auditing the allowances for rebates owed pursuant to the Medicaid Drug Rebate Program in the U.S. was complex and highly judgmental due to the significant estimation uncertainty involved in management’s assumptions, including the levels of expected utilization of these rebates based on the amount of drugs sold to eligible patients, as well as the complexity of the government mandated calculations. The allowances for rebates owed pursuant to the Medicaid Drug Rebate Program in the U.S. are sensitive to these significant assumptions and calculations.</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management’s</w:t>
      </w:r>
    </w:p>
    <w:p>
      <w:pPr>
        <w:spacing w:after="0" w:line="29" w:lineRule="exact"/>
        <w:rPr>
          <w:sz w:val="20"/>
          <w:szCs w:val="20"/>
          <w:color w:val="auto"/>
        </w:rPr>
      </w:pPr>
    </w:p>
    <w:p>
      <w:pPr>
        <w:ind w:left="2160" w:right="160" w:hanging="2132"/>
        <w:spacing w:after="0" w:line="255"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review of the allowances for rebates owed pursuant to the Medicaid Drug Rebate Program in the U.S. For example, we tested controls over management’s review of the significant assumptions, such as the utilization of these rebates as well as controls over management’s review of the application of the government mandated calculations.</w:t>
      </w:r>
    </w:p>
    <w:p>
      <w:pPr>
        <w:spacing w:after="0" w:line="78" w:lineRule="exact"/>
        <w:rPr>
          <w:sz w:val="20"/>
          <w:szCs w:val="20"/>
          <w:color w:val="auto"/>
        </w:rPr>
      </w:pPr>
    </w:p>
    <w:p>
      <w:pPr>
        <w:ind w:left="2160"/>
        <w:spacing w:after="0" w:line="273" w:lineRule="auto"/>
        <w:rPr>
          <w:sz w:val="20"/>
          <w:szCs w:val="20"/>
          <w:color w:val="auto"/>
        </w:rPr>
      </w:pPr>
      <w:r>
        <w:rPr>
          <w:rFonts w:ascii="Times New Roman" w:cs="Times New Roman" w:eastAsia="Times New Roman" w:hAnsi="Times New Roman"/>
          <w:sz w:val="17"/>
          <w:szCs w:val="17"/>
          <w:color w:val="auto"/>
        </w:rPr>
        <w:t>To test the allowances for rebates owed pursuant to the Medicaid Drug Rebate Program in the U.S.,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the estimated rebates.</w:t>
      </w:r>
    </w:p>
    <w:p>
      <w:pPr>
        <w:spacing w:after="0" w:line="275" w:lineRule="exact"/>
        <w:rPr>
          <w:sz w:val="20"/>
          <w:szCs w:val="20"/>
          <w:color w:val="auto"/>
        </w:rPr>
      </w:pPr>
    </w:p>
    <w:p>
      <w:pPr>
        <w:ind w:left="21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Evaluating the fair value of the in-process research and development assets acquired in the Escient Pharmaceutics, Inc. acquisition</w:t>
      </w:r>
    </w:p>
    <w:p>
      <w:pPr>
        <w:spacing w:after="0" w:line="265" w:lineRule="exact"/>
        <w:rPr>
          <w:sz w:val="20"/>
          <w:szCs w:val="20"/>
          <w:color w:val="auto"/>
        </w:rPr>
      </w:pPr>
    </w:p>
    <w:p>
      <w:pPr>
        <w:ind w:left="2160" w:right="40" w:hanging="2132"/>
        <w:spacing w:after="0" w:line="254"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described in Note 5 to the consolidated financial statements, on May 30, 2024, the Company acquired all of the outstanding shares of common stock of Escient Pharmaceuticals, Inc. (“Escient”), a clinical-stage drug development company, for $782.5 million in cash consideration. The Company determined substantially all of the fair value of the gross assets acquired was concentrated in Escient’s lead clinical-stage molecule, EP262. Therefore, the Company accounted for the Escient transaction as an asset acquisition under U.S. GAAP. The acquired in-process research and development asset for EP262 was valued at $644.8 million, with an additional $34.6 million of fair value allocated to the secondary molecule, EP547. As both acquired in-process research and development assets do not have an alternative future use at the acquisition date, the Company recognized the full amount of $679.4 million as research and development expenses.</w:t>
      </w:r>
    </w:p>
    <w:p>
      <w:pPr>
        <w:spacing w:after="0" w:line="86" w:lineRule="exact"/>
        <w:rPr>
          <w:sz w:val="20"/>
          <w:szCs w:val="20"/>
          <w:color w:val="auto"/>
        </w:rPr>
      </w:pPr>
    </w:p>
    <w:p>
      <w:pPr>
        <w:ind w:left="2160" w:right="80"/>
        <w:spacing w:after="0" w:line="256" w:lineRule="auto"/>
        <w:rPr>
          <w:sz w:val="20"/>
          <w:szCs w:val="20"/>
          <w:color w:val="auto"/>
        </w:rPr>
      </w:pPr>
      <w:r>
        <w:rPr>
          <w:rFonts w:ascii="Times New Roman" w:cs="Times New Roman" w:eastAsia="Times New Roman" w:hAnsi="Times New Roman"/>
          <w:sz w:val="18"/>
          <w:szCs w:val="18"/>
          <w:color w:val="auto"/>
        </w:rPr>
        <w:t>Auditing the Company’s fair value of the in-process research and development assets acquired in the Escient transaction was judgmental due to the significant estimation uncertainty and subjectivity of the significant assumptions used by management in determining the present value of future discounted cash flows. The significant assumptions used in the calculation of the fair value of the in-process research and development assets of Escient included the amount of future product revenues, the probability of success, and the discount rate. The fair value calculation of the in-process research and development assets are sensitive to these significant assumptions.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3"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management’s</w:t>
      </w:r>
    </w:p>
    <w:p>
      <w:pPr>
        <w:spacing w:after="0" w:line="29" w:lineRule="exact"/>
        <w:rPr>
          <w:sz w:val="20"/>
          <w:szCs w:val="20"/>
          <w:color w:val="auto"/>
        </w:rPr>
      </w:pPr>
    </w:p>
    <w:p>
      <w:pPr>
        <w:ind w:left="2160" w:right="120" w:hanging="2132"/>
        <w:spacing w:after="0" w:line="277"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review of the estimation of the fair value of the in-process research and development assets of Escient. For example, we tested controls over management’s review of the significant assumptions, such as the amount of future product revenues, the probability of success, and the discount rate, and over the completeness and accuracy of the data used in the valuation.</w:t>
      </w:r>
    </w:p>
    <w:p>
      <w:pPr>
        <w:spacing w:after="0" w:line="61" w:lineRule="exact"/>
        <w:rPr>
          <w:sz w:val="20"/>
          <w:szCs w:val="20"/>
          <w:color w:val="auto"/>
        </w:rPr>
      </w:pPr>
    </w:p>
    <w:p>
      <w:pPr>
        <w:ind w:left="2160"/>
        <w:spacing w:after="0" w:line="254" w:lineRule="auto"/>
        <w:rPr>
          <w:sz w:val="20"/>
          <w:szCs w:val="20"/>
          <w:color w:val="auto"/>
        </w:rPr>
      </w:pPr>
      <w:r>
        <w:rPr>
          <w:rFonts w:ascii="Times New Roman" w:cs="Times New Roman" w:eastAsia="Times New Roman" w:hAnsi="Times New Roman"/>
          <w:sz w:val="18"/>
          <w:szCs w:val="18"/>
          <w:color w:val="auto"/>
        </w:rPr>
        <w:t>To test the fair value of the in-process research and development assets, we performed audit procedures that included, among others, evaluating the Company's methodologies used and testing the significant assumptions discussed above. For example, we compared the significant assumptions used by management to current published scientific studies, industry, market and economic trends, and to other relevant factors. In addition, to evaluate the probability of success, we considered the phase of development of the in-process research and development assets against third-party data regarding clinical trial success rates. We also performed various sensitivity analyses of the significant assumptions to evaluate the change in the fair value of the in-process research and development assets resulting from changes in the assumptions. In addition, we involved our valuation specialists to assist in our evaluation of the methodologies and the discount rates used in the fair value estimate.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number of shares and par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r>
      <w:tr>
        <w:trPr>
          <w:trHeight w:val="184"/>
        </w:trPr>
        <w:tc>
          <w:tcPr>
            <w:tcW w:w="81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Marketable securities—available-for-sale (amortized cost $469,917 and $442,816 as of December 31, 2024</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2023 respectively; allowance for credit losses $0 as of December 31, 2024 and 2023)</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743,557</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62,972</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182,830</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4,645,402</w:t>
            </w:r>
          </w:p>
        </w:tc>
      </w:tr>
      <w:tr>
        <w:trPr>
          <w:trHeight w:val="16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751,513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52,107</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5,444,322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6,782,107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109,601</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153,348</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935,569</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38,422</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1,240,379</w:t>
            </w:r>
          </w:p>
        </w:tc>
      </w:tr>
      <w:tr>
        <w:trPr>
          <w:trHeight w:val="16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149,151</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1,996,694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1,592,270</w:t>
            </w:r>
          </w:p>
        </w:tc>
      </w:tr>
      <w:tr>
        <w:trPr>
          <w:trHeight w:val="142"/>
        </w:trPr>
        <w:tc>
          <w:tcPr>
            <w:tcW w:w="8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4"/>
        </w:trPr>
        <w:tc>
          <w:tcPr>
            <w:tcW w:w="81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none issued or outstanding as of</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18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Common stock, $0.001 par value; 400,000,000 shares authorized; 193,434,305 and 224,286,862 shares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as of December 31, 2024 and 2023, respectively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4,533,437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5,016,122</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r>
      <w:tr>
        <w:trPr>
          <w:trHeight w:val="22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5,189,837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5,444,322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6,782,107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3,618,888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3,165,168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2,746,897</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482,738</w:t>
            </w:r>
          </w:p>
        </w:tc>
      </w:tr>
      <w:tr>
        <w:trPr>
          <w:trHeight w:val="229"/>
        </w:trPr>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3,394,635</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206,997</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1,585,936</w:t>
            </w: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1,002,140</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r>
      <w:tr>
        <w:trPr>
          <w:trHeight w:val="229"/>
        </w:trPr>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2,815,195</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579,440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equity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529,116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188,456</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222,004</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223,958</w:t>
            </w: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56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340,660</w:t>
            </w:r>
          </w:p>
        </w:tc>
      </w:tr>
      <w:tr>
        <w:trPr>
          <w:trHeight w:val="270"/>
        </w:trPr>
        <w:tc>
          <w:tcPr>
            <w:tcW w:w="4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29"/>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30"/>
        </w:trPr>
        <w:tc>
          <w:tcPr>
            <w:tcW w:w="4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(loss) gain, net of tax</w:t>
            </w:r>
          </w:p>
        </w:tc>
        <w:tc>
          <w:tcPr>
            <w:tcW w:w="2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25,376</w:t>
            </w:r>
          </w:p>
        </w:tc>
      </w:tr>
      <w:tr>
        <w:trPr>
          <w:trHeight w:val="223"/>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r>
      <w:tr>
        <w:trPr>
          <w:trHeight w:val="270"/>
        </w:trPr>
        <w:tc>
          <w:tcPr>
            <w:tcW w:w="4560" w:type="dxa"/>
            <w:vAlign w:val="bottom"/>
            <w:tcBorders>
              <w:bottom w:val="single" w:sz="8" w:color="CCEEFF"/>
            </w:tcBorders>
          </w:tcPr>
          <w:p>
            <w:pPr>
              <w:spacing w:after="0"/>
              <w:rPr>
                <w:sz w:val="23"/>
                <w:szCs w:val="23"/>
                <w:color w:val="auto"/>
              </w:rPr>
            </w:pPr>
          </w:p>
        </w:tc>
        <w:tc>
          <w:tcPr>
            <w:tcW w:w="20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375,183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560" w:type="dxa"/>
            <w:vAlign w:val="bottom"/>
          </w:tcPr>
          <w:p>
            <w:pPr>
              <w:spacing w:after="0"/>
              <w:rPr>
                <w:sz w:val="24"/>
                <w:szCs w:val="24"/>
                <w:color w:val="auto"/>
              </w:rPr>
            </w:pPr>
          </w:p>
        </w:tc>
        <w:tc>
          <w:tcPr>
            <w:tcW w:w="2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23"/>
        </w:trPr>
        <w:tc>
          <w:tcPr>
            <w:tcW w:w="4560" w:type="dxa"/>
            <w:vAlign w:val="bottom"/>
          </w:tcPr>
          <w:p>
            <w:pPr>
              <w:spacing w:after="0"/>
              <w:rPr>
                <w:sz w:val="24"/>
                <w:szCs w:val="24"/>
                <w:color w:val="auto"/>
              </w:rPr>
            </w:pPr>
          </w:p>
        </w:tc>
        <w:tc>
          <w:tcPr>
            <w:tcW w:w="20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INCYTE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number of shares)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080" w:type="dxa"/>
            <w:vAlign w:val="bottom"/>
            <w:vMerge w:val="restart"/>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108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080" w:type="dxa"/>
            <w:vAlign w:val="bottom"/>
            <w:tcBorders>
              <w:top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4,567,111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(777,874)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3,770,004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13" w:right="339" w:bottom="1440" w:gutter="0" w:footer="0" w:header="0"/>
        </w:sectPr>
      </w:pPr>
    </w:p>
    <w:p>
      <w:pPr>
        <w:ind w:left="20" w:right="2160"/>
        <w:spacing w:after="0" w:line="233" w:lineRule="auto"/>
        <w:rPr>
          <w:sz w:val="20"/>
          <w:szCs w:val="20"/>
          <w:color w:val="auto"/>
        </w:rPr>
      </w:pPr>
      <w:r>
        <w:rPr>
          <w:rFonts w:ascii="Times New Roman" w:cs="Times New Roman" w:eastAsia="Times New Roman" w:hAnsi="Times New Roman"/>
          <w:sz w:val="17"/>
          <w:szCs w:val="17"/>
          <w:color w:val="auto"/>
        </w:rPr>
        <w:t>Issuance of 1,348,122 shares of Common Stock upon exercise of stock options and</w:t>
      </w:r>
    </w:p>
    <w:p>
      <w:pPr>
        <w:ind w:left="20" w:right="1760"/>
        <w:spacing w:after="0" w:line="220" w:lineRule="auto"/>
        <w:rPr>
          <w:sz w:val="20"/>
          <w:szCs w:val="20"/>
          <w:color w:val="auto"/>
        </w:rPr>
      </w:pPr>
      <w:r>
        <w:rPr>
          <w:rFonts w:ascii="Times New Roman" w:cs="Times New Roman" w:eastAsia="Times New Roman" w:hAnsi="Times New Roman"/>
          <w:sz w:val="17"/>
          <w:szCs w:val="17"/>
          <w:color w:val="auto"/>
        </w:rPr>
        <w:t>settlement of employee restricted stock units and performance shares, net of shares withheld for taxes, and 308,413 shares of Common</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under the ESPP</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5,751 shares of Common Stock for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1,154,974 shares of Common</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 upon exercise of stock options and</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settlement of employee restricted stock units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6"/>
        </w:trPr>
        <w:tc>
          <w:tcPr>
            <w:tcW w:w="3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performance shares, net of shares withheld</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 taxes, and 380,145 shares of Common</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under the ESPP</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5,024 shares of Common Stock for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1,776,728 shares of Common</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 upon exercise of stock options and</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settlement of employee restricted stock units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3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performance shares, net of shares withheld</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 taxes, and 453,312 shares of Common</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under the ESPP</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5,062 shares of Common Stock for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34,812</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34,814</w:t>
            </w:r>
          </w:p>
        </w:tc>
      </w:tr>
      <w:tr>
        <w:trPr>
          <w:trHeight w:val="41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189,691</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189,691</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34,523</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340,660</w:t>
            </w:r>
          </w:p>
        </w:tc>
      </w:tr>
      <w:tr>
        <w:trPr>
          <w:trHeight w:val="228"/>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4,792,041</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(437,214)</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-859790</wp:posOffset>
            </wp:positionV>
            <wp:extent cx="713232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-448310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-156845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7,285</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r>
      <w:tr>
        <w:trPr>
          <w:trHeight w:val="41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216,475</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216,475</w:t>
            </w:r>
          </w:p>
        </w:tc>
      </w:tr>
      <w:tr>
        <w:trPr>
          <w:trHeight w:val="229"/>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597,599</w:t>
            </w:r>
          </w:p>
        </w:tc>
      </w:tr>
      <w:tr>
        <w:trPr>
          <w:trHeight w:val="228"/>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5,016,122</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8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160,385</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-859790</wp:posOffset>
            </wp:positionV>
            <wp:extent cx="7132320" cy="266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-448310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-156845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8,997</w:t>
            </w:r>
          </w:p>
        </w:tc>
        <w:tc>
          <w:tcPr>
            <w:tcW w:w="48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r>
      <w:tr>
        <w:trPr>
          <w:trHeight w:val="41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266,058</w:t>
            </w:r>
          </w:p>
        </w:tc>
        <w:tc>
          <w:tcPr>
            <w:tcW w:w="4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266,058</w:t>
            </w:r>
          </w:p>
        </w:tc>
      </w:tr>
      <w:tr>
        <w:trPr>
          <w:trHeight w:val="229"/>
        </w:trPr>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(758,061)</w:t>
            </w:r>
          </w:p>
        </w:tc>
        <w:tc>
          <w:tcPr>
            <w:tcW w:w="4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(2,023,975)</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(26,227)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(26,227)</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32,615</w:t>
            </w:r>
          </w:p>
        </w:tc>
      </w:tr>
      <w:tr>
        <w:trPr>
          <w:trHeight w:val="223"/>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4,533,437</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(13,121)</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(1,072,881)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3,447,628</w:t>
            </w:r>
          </w:p>
        </w:tc>
      </w:tr>
      <w:tr>
        <w:trPr>
          <w:trHeight w:val="20"/>
        </w:trPr>
        <w:tc>
          <w:tcPr>
            <w:tcW w:w="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-1036320</wp:posOffset>
            </wp:positionV>
            <wp:extent cx="7132320" cy="266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-624840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-333375</wp:posOffset>
            </wp:positionV>
            <wp:extent cx="7132320" cy="3340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160" w:space="560"/>
            <w:col w:w="5520"/>
          </w:cols>
          <w:pgMar w:left="320" w:top="51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INCYTE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597,599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340,660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67,855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188,420</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Realized and unrealized (gain) loss on equity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87,590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(67,504)</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105,436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220,196</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496,487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969,941</w:t>
            </w:r>
          </w:p>
        </w:tc>
        <w:tc>
          <w:tcPr>
            <w:tcW w:w="0" w:type="dxa"/>
            <w:vAlign w:val="bottom"/>
          </w:tcPr>
          <w:p>
            <w:pPr>
              <w:spacing w:after="0"/>
              <w:rPr>
                <w:sz w:val="1"/>
                <w:szCs w:val="1"/>
                <w:color w:val="auto"/>
              </w:rPr>
            </w:pPr>
          </w:p>
        </w:tc>
      </w:tr>
      <w:tr>
        <w:trPr>
          <w:trHeight w:val="19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long 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equity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and maturities of 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79,151</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(78,542)</w:t>
            </w:r>
          </w:p>
        </w:tc>
        <w:tc>
          <w:tcPr>
            <w:tcW w:w="0" w:type="dxa"/>
            <w:vAlign w:val="bottom"/>
          </w:tcPr>
          <w:p>
            <w:pPr>
              <w:spacing w:after="0"/>
              <w:rPr>
                <w:sz w:val="1"/>
                <w:szCs w:val="1"/>
                <w:color w:val="auto"/>
              </w:rPr>
            </w:pPr>
          </w:p>
        </w:tc>
      </w:tr>
      <w:tr>
        <w:trPr>
          <w:trHeight w:val="19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and performance share vesting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(32,746)</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(2,021,547)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893,960</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3,215,221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2,953,120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2,059,160</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1,689,451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3,215,221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2,953,120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373,056</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136,242</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excise tax on repurchase of common stock</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Organization and Business. </w:t>
      </w:r>
      <w:r>
        <w:rPr>
          <w:rFonts w:ascii="Times New Roman" w:cs="Times New Roman" w:eastAsia="Times New Roman" w:hAnsi="Times New Roman"/>
          <w:sz w:val="18"/>
          <w:szCs w:val="18"/>
          <w:color w:val="auto"/>
        </w:rPr>
        <w:t>Incyte Corporation (including its subsidiaries, “Incyte,” “we,” “us,” or “our”) is a biopharmaceutical company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developing and commercializing proprietary therapeutics. Our portfolio includes compounds in various stages, ranging from preclinical to late-stage development, and commercialized products JAKAFI® (ruxolitinib), ICLUSIG® (ponatinib), PEMAZYRE® (pemigatinib), OPZELURA® (ruxolitinib cream), MINJUVI® (tafasitamab), MONJUVI® (tafasitamab-cxix) and ZYNYZ® (retifanlimab-dlwr), as well as NIKTIMVO™ (axatilimab-csfr), which was approved for medical use in the United States in August 2024 and will be co-commercialized. Our operations are treated as one operating segment.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Incyte Corporation and our wholly 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transactions, and profits have been eliminated in consolidation.</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Operations in non-U.S. entities are recorded in the functional currency of each entity. For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effect on the reported results of operations.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Cash, cash equivalents, marketable securities, and trade receivables are financial instruments which potentially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concentrations of credit risk. The estimated fair value of financial instruments 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Current Expected Credit Losses. </w:t>
      </w:r>
      <w:r>
        <w:rPr>
          <w:rFonts w:ascii="Times New Roman" w:cs="Times New Roman" w:eastAsia="Times New Roman" w:hAnsi="Times New Roman"/>
          <w:sz w:val="18"/>
          <w:szCs w:val="18"/>
          <w:color w:val="auto"/>
        </w:rPr>
        <w:t>Financial assets measured at amortized cost are assessed for future expected credit losses under guidance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 determine if application of an expected credit losses reserve is necessary. On a quarterly basis, receivables that resulted from revenue transactions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held in banks or in custodial accounts with banks. Cash equivalents are defined as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 investments and money market funds with maturity from date of purchase of 90 days or less that are readily convertible into cash.</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Securities—Available-for-Sale. </w:t>
      </w:r>
      <w:r>
        <w:rPr>
          <w:rFonts w:ascii="Times New Roman" w:cs="Times New Roman" w:eastAsia="Times New Roman" w:hAnsi="Times New Roman"/>
          <w:sz w:val="18"/>
          <w:szCs w:val="18"/>
          <w:color w:val="auto"/>
        </w:rPr>
        <w:t>Our marketable securities consist of investments in U.S. government debt securities that are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December 31, 2024 and December 31, 2023, we had a de minimis amount of allowance for doubtful accounts.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valued at the lower of cost and net realizable value. We use the specific identification method to account for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manufactured by third-party contractors, which is our predominant source of inventory. We apply the first-in, first-out (FIFO) method to inventories produced at our internal manufacturing facility located in Yverdon, Switzerland. Inventories consist of costs of materials, including shipping and handling fees, third-party contract manufacturing, and allocable overhead associated with the production of our commercialized products. We capitalize inventory after regulatory approval from U.S. Food and Drug Administration (FDA), European Medicines Agency (EMA) or Japanese Ministry of Health, Labour and Welfare (MHLW) as the related costs are expected to be recoverable through the commercialization of the product. Costs incurred prior to approval are recorded as research and development expense in our consolidated statements of operations.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Raw materials, active pharmaceutical ingredients ("API") and work-in-process inventory are monitored for obsolescence, as applicable, and generally the shelf life of the finished goods inventory is approximately 36 months from the start of manufacturing of the finished goods, with the exception of OPZELURA, ZYNYZ and NIKTIMVO, which currently has an approximate shelf life of 24 months.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We perform an initial and ongoing evaluation of the entities with which we have variable interests, such as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2024, there were no entities in which we held a variable interest which we determined to be VIEs.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Our equity investments consist of investments in common stock of publicly-held companies with whom we have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and license agreements. We classify our equity investments in common stock of publicly-held companies as either short term investments, for those investments which we intend to sell within one year, or long term investments, for those investments which we intend to hold for longer than one year, on the consolidated balance sheets. Our equity investments are accounted for at fair value using readily determinable pricing available on a securities exchange on the consolidated balance sheets. All changes in fair value are reported in the consolidated statements of operations as a realized and unrealized gain (loss) on equity investments.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have the ability to exercise significant influence.</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Property and equipment, net is stated at cost, less accumulated depreciation and amortization. Depreciation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using the straight-line method over the estimated useful lives of the respective assets. Leasehold improvements are amortized over the shorter of the estimated useful life of the assets or lease term.</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 Accounting. </w:t>
      </w:r>
      <w:r>
        <w:rPr>
          <w:rFonts w:ascii="Times New Roman" w:cs="Times New Roman" w:eastAsia="Times New Roman" w:hAnsi="Times New Roman"/>
          <w:sz w:val="18"/>
          <w:szCs w:val="18"/>
          <w:color w:val="auto"/>
        </w:rPr>
        <w:t>All leases with a lease term greater than 12 months, regardless of lease type classification, are recorded as an obligation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net. </w:t>
      </w:r>
      <w:r>
        <w:rPr>
          <w:rFonts w:ascii="Times New Roman" w:cs="Times New Roman" w:eastAsia="Times New Roman" w:hAnsi="Times New Roman"/>
          <w:sz w:val="18"/>
          <w:szCs w:val="18"/>
          <w:color w:val="auto"/>
        </w:rPr>
        <w:t>Other intangible assets, net consist of licensed intellectual property rights acquired in business combinations,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reported at acquisition date fair value, less accumulated amortization, as well as milestone payments made to collaboration partners incurred at or after the product has obtained regulatory approval. Intangible assets with finite lives are amortized over their estimated useful lives using the straight-line method. Intangible assets with finite lives are tested for recoverability whenever events or changes in circumstances indicate that the carrying amounts may not be recoverable.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with finite lives are tested for impairment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calculated as the difference between the acquisition date fair value of the consideration transferred and the values assigned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2024 and determined that the carrying value of our goodwill was not impaired.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which requires the recognition of deferred tax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The tax effects of global intangible low-taxed income from certain foreign subsidiaries is recognized in the income tax provision in the period the tax arises.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Per Share. </w:t>
      </w:r>
      <w:r>
        <w:rPr>
          <w:rFonts w:ascii="Times New Roman" w:cs="Times New Roman" w:eastAsia="Times New Roman" w:hAnsi="Times New Roman"/>
          <w:sz w:val="18"/>
          <w:szCs w:val="18"/>
          <w:color w:val="auto"/>
        </w:rPr>
        <w:t>Our basic and diluted net income per share is calculated by dividing the net income by the weighted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outstanding during all periods presented. Options to purchase stock, restricted stock units and performance stock units are included in diluted earnings per share calculations, unless the effects are anti-dilutive.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Income (Loss). </w:t>
      </w:r>
      <w:r>
        <w:rPr>
          <w:rFonts w:ascii="Times New Roman" w:cs="Times New Roman" w:eastAsia="Times New Roman" w:hAnsi="Times New Roman"/>
          <w:sz w:val="18"/>
          <w:szCs w:val="18"/>
          <w:color w:val="auto"/>
        </w:rPr>
        <w:t>Accumulated other comprehensive income (loss) consists of unrealized gains or losses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debt securities that are classified as available-for-sale, foreign currency translation gains or losses and unrecognized actuarial gains or loss related to our defined benefit pension plan.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Revenue-generating contracts are assessed under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to identify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 revenues consist of sales of JAKAFI, MONJUVI, OPZELURA, PEMAZYRE and ZYNYZ in the U.S., sales of MINJUVI, PEMAZYRE, ICLUSIG and OPZELURA in Europe, sales of OPZELURA in Canada, and sales of PEMAZYRE in Japan. Product revenues are recognized at a point in time once we satisfy the performance obligation and control is transferred under the revenue recognition criteria as described above. We sell JAKAFI, MONJUVI, OPZELURA, PEMAZYRE and ZYNYZ to our customers in the U.S., which include specialty and retail pharmacies, specialty distributors and wholesalers. We sell MINJUVI, PEMAZYRE, ICLUSIG and OPZELURA to our customers in the European Union and certain other jurisdictions, which include retail pharmacies, hospital pharmacies and distributors. We sell PEMAZYRE in Japan to an exclusive wholesaler.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the Medicaid Drug Rebate Program and Medicare Part D coverage gap reimbursements in the U.S. and mandated discounts in Europe. Product shipping and handling costs are included in cost of product revenues.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 prompt payment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Allowances for rebates include mandated discounts under the Medicaid Drug Rebate Program in the U.S. and mandated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indirect contracted customers, which currently consist primarily of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a portion of the Medicare Part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accrue a liability for co-payment assistance based on actual program participation and estimates of program redemption using data provided by third-party administrators.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Royalty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Royalty revenues on commercial sales for pemigatinib (marketed as PEMAZYRE®) by Innovent Biologics, Inc. (“Innovent”) are based on net sales of licensed products in licensed territories as provided by Innovent. We recognize royalty revenues in the period the sales occur.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Contract 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each collaborative research, development and/or commercialization agreement that results in revenue under the guidance of ASC 606,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each of the three years ended December 31, 2024, we had no revenues from intellectual property licenses recognized over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 event. Given the high level of uncertainty of achievement, variable consideration associated with milestones are fully constrained until confirmation of the satisfaction or completion of the milestone by the third-party.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and royalties owed under our collaboration and license agreements, contingent on certain conditions. In addition, cost of product revenues includes the amortization of our licensed intellectual property for ICLUSIG and the amortization of capitalized milestone payments, using the straight-line method over the respective estimated useful lives, which range between approximately 10 to 14 years. Cost of product revenues also includes employee personnel costs, including stock compensation, for those employees dedicated to the production of our commercial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Our policy is to expense research and development costs as incurred, including amounts funded by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 Costs incurred under the collaboration arrangement that are reimbursable to us are recorded net against the related research and development expenses in the period in which the related expense is incurred.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 stock units (“RSUs”)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(“PSUs”), are recognized as compensation expense over the requisite service period based on their estimated fair values as well as expected forfeiture rates, subject to customary retirement provisions that may accelerate the requisite service period for expense recognition purposes. The stock compensation process requires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9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Expenses. </w:t>
      </w:r>
      <w:r>
        <w:rPr>
          <w:rFonts w:ascii="Times New Roman" w:cs="Times New Roman" w:eastAsia="Times New Roman" w:hAnsi="Times New Roman"/>
          <w:sz w:val="18"/>
          <w:szCs w:val="18"/>
          <w:color w:val="auto"/>
        </w:rPr>
        <w:t>Advertising expenses, comprised primarily of television, radio, print media and Internet advertising,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are included in selling, general, and administrative expenses. For the years ended December 31, 2024, 2023, and 2022, advertising expenses were approximately $200.7 million, $221.9 million, and $196.4 million, respectively.</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 Term Incentive Plans. </w:t>
      </w:r>
      <w:r>
        <w:rPr>
          <w:rFonts w:ascii="Times New Roman" w:cs="Times New Roman" w:eastAsia="Times New Roman" w:hAnsi="Times New Roman"/>
          <w:sz w:val="18"/>
          <w:szCs w:val="18"/>
          <w:color w:val="auto"/>
        </w:rPr>
        <w:t>We have long term incentive plans which provide eligible employees with the opportunity to receive performance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determine whether acquisitions should be accounted for as a business combination or as an asset acquisition, we make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which include assessing whether the acquired set of activities and assets would meet the definition of a business under the relevant accounting rules. 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asset acquisition, with the purchase price being allocated to the acquired asset, with no goodwill recorded. For a transaction recorded as an asset acquisition, any acquired in-process research and development that does not have an alternative future use is charged to expense at the acquisition date. See Note 5 for additional information.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consists of our future royalty obligations on future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of ICLUSIG owed to Takeda Pharmaceutical Company Limited, which acquired ARIAD Pharmaceuticals, Inc.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Profit sharing from co-commercialization activities. </w:t>
      </w:r>
      <w:r>
        <w:rPr>
          <w:rFonts w:ascii="Times New Roman" w:cs="Times New Roman" w:eastAsia="Times New Roman" w:hAnsi="Times New Roman"/>
          <w:sz w:val="18"/>
          <w:szCs w:val="18"/>
          <w:color w:val="auto"/>
        </w:rPr>
        <w:t>In profit sharing arrangements where we are deemed to be the principal, we record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revenues and expenses associated with the co-commercialization activities. We record our collaboration partner's share of profit or loss to cost of product revenues within our consolidated statement of operations. Other components of make-whole payments between us and our collaboration partners are classified in our consolidated statement of operations based on the nature of the underlying payable or receivable.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profit sharing arrangements where we are deemed to be the agent, we record our share of profit or loss from co-commercialization activities to (profit) and loss sharing under collaboration agreements within our consolidated statement of operations. Other components of make-whole payments between us and our collaboration partners are classified in our consolidated statement of operations based on the nature of the underlying payable or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This amended guidance applies to all public entities and aims to improve reportable segment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See Note 17 for additional disclosures.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 and related disclosures.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2024, the SEC issued Release Nos. 33-11275;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to require public companies to provide certain climate-related information in their registration statements and annual reports. The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dates 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revenues are recognized under guidance within ASC 606. The following table presents our disaggregated revenue for the periods presented (in thousands):</w:t>
      </w:r>
    </w:p>
    <w:p>
      <w:pPr>
        <w:spacing w:after="0" w:line="188"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2,409,225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83,445</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2,746,897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482,738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2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4,241,217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3,394,635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revenue-generating contracts, refer to Note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12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5"/>
                <w:szCs w:val="15"/>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469,917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contractual maturities of our available-for-sale debt securities as of December 31, 2024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4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1-5 Years</w:t>
            </w:r>
          </w:p>
        </w:tc>
      </w:tr>
      <w:tr>
        <w:trPr>
          <w:trHeight w:val="23"/>
        </w:trPr>
        <w:tc>
          <w:tcPr>
            <w:tcW w:w="4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debt securities (government)</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205,128</w:t>
            </w: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security assets were assessed for risk of expected credit losses per our accounting policy as described in Note 1. As of December 31, 2024 and 2023, the available-for-sale debt securities were held in U.S.-government backed securities and in Treasury bonds and were assessed on an individual security basis to have a de minimis risk of credit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2024 and 2023,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years ended December 31, 2024 and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204"/>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1,687,829</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7)</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r>
      <w:tr>
        <w:trPr>
          <w:trHeight w:val="25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1,706,643</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2,176,906</w:t>
            </w: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209"/>
        </w:trPr>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7)</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r>
      <w:tr>
        <w:trPr>
          <w:trHeight w:val="25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3,401,092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3,843,759</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91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28"/>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7"/>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60"/>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6"/>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Liabilities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209"/>
        </w:trPr>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r>
      <w:tr>
        <w:trPr>
          <w:trHeight w:val="25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0"/>
        </w:trPr>
        <w:tc>
          <w:tcPr>
            <w:tcW w:w="6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5"/>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December 31, 2024 and 2023 included a discount rate of 10% and updated projections of future net revenues of ICLUSIG in the European Union and other countries for the approved third line treatment. The loss on change in fair value of the contingent consideration during the years ended December 31, 2024 and 2023 was due primarily to fluctuations in foreign currency exchange rates impacting future revenue projections of ICLUSIG and the passage of time.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generally make payments to Takeda quarterly based on the royalties earned in the previous quarter. As of December 31, 2024 and 2023, contingent consideration earned but not yet paid was $10.0 million and $10.3 million, respectively, and was included in accrued and other current liabilities.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there were no measurements required for any assets or liabilities at fair value on a non-recurring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Concentration of Credit Risk and Current Expected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In December 2009, we entered into a license, development and commercialization agreement with Lilly. The above collaboration partners comprised, in aggregate, 19% and 20% of the accounts receivable balance as of December 31, 2024 and 2023, respectively. For further information relating to these collaboration and license agreements, refer to Note 7.</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these products. The concentration of credit risk related to our JAKAFI and OPZELURA product revenues is as follows:</w:t>
      </w:r>
    </w:p>
    <w:p>
      <w:pPr>
        <w:spacing w:after="0" w:line="223"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spacing w:after="0" w:line="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Product Revenues for the</w:t>
      </w:r>
    </w:p>
    <w:p>
      <w:pPr>
        <w:spacing w:after="0" w:line="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30480</wp:posOffset>
            </wp:positionV>
            <wp:extent cx="31286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ind w:left="69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5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6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6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E and F comprised, in the aggregate, 52% and 40% of the accounts receivable balance as of December 31, 2024 and 2023, respectively. The concentration of credit risk relating to our other product revenues or accounts receivable is not significant.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December 31, 2024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5, 2024, pursuant to a purchase agreement with MorphoSys, we acquired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will recognize revenue and costs for all U.S. commercialization and clinical development and MorphoSys will no longer be eligible to receive future milestone, profit split and royalty payments under the now-terminated collaboration and license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purchase agreement, we have also become the successor to MorphoSys under its collaboration and license agreement with Xencor, Inc. (“Xencor”), pursuant to which Xencor granted MorphoSys an exclusive, worldwide license, including the right to sublicense under certain conditions, for tafasitamab. Xencor is entitled to receive up to $186.5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Escient Pharmaceuticals, Inc. ("Escient")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 with Escient.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Escient’s lead molecule, INCB000262 (formerly EP262), is a first-in-class oral Mas-related G protein-coupled receptor X2 (MRGPRX2) antagonist that has the potential to treat a broad range of inflammatory disorders. We accounted for the Escient transaction as an asset acquisition under U.S. GAAP because INCB000262 represents substantially all of the fair value of the gross assets acquired.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$782.5 million closing cash consideration per the terms of the merger agreement, we incurred $2.5 million of direct transaction costs that were included in the total consideration to be allocated to the acquired net assets. Of the $785.0 million total consideration, we recognized on our consolidated statements of operations during the year ended December 31, 2024 related compensation expense of $31.5 million associated with the accelerated vesting for certain Escient stock awards in connection with the acquisition.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allocation of the remaining U.S. GAAP consideration, net of compensation expense, across the net assets acquired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679,388</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U.S. GAAP Consideration (net of compensation expense)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753,511</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In-process research and development (“IPR&amp;D”) assets are related to acquired clinical-stage product candidates: lead candidate, INCB000262, and secondary candidate, INCB000547 (formerly EP547). The fair value of IPR&amp;D assets was based on the present value of future discounted cash flows, which was based on significant estimates. These estimates included the amount of future product revenues, costs required to conduct clinical trials, future milestones and royalties payable under acquired license agreements, costs to receive regulatory approval and potentially commercialize product candidates, as well as estimates for probability of success and the discount rate. The concluded allocated fair values for INCB000262 and INCB000547 was $644.8 million and $34.6 million, respectively. As both acquired IPR&amp;D assets do not have an alternative future use at the acquisition date, we recognized the full amount of $679.4 million as research and development expenses on our consolidated statements of operations during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 and Work-in-process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36,862</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API, work in process, and finished goods, inclusive of freight and inventoriable overhead. At December 31, 2024, $58.9 million of inventory was classified as current on the consolidated balance sheet as we expect this inventory to be consumed for commercial use within the next twelve months. At December 31, 2024, $348.3 million of inventory was classified as non-current on the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consolidated statements of operations. At December 31, 2024, inventory with approximately $28.3 million of product costs incurred prior to regulatory approval had not yet been sold. We expect to sell the pre-commercialization inventory over the next 6 months to 41 months and, as a result, cost of product revenues will reflect a lower average per unit cost of materials.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December 31, 2024, we have recognized and received, in the aggregate, $157.0 million for the achievement of development milestones, $345.0 million for the achievement of regulatory milestones and $200.0 million for the achievement of sales milestones.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years ended December 31, 2024, 2023 and 2022, such royalties on net sales within the United States totaled $131.8 million, $122.1 million and $113.1 million, respectively, and were reflected in cost of product revenues on the consolidated statements of operations. At December 31, 2024 and 2023, $507.4 million and $375.6 million, respectively, of accrued royalties were included in accrued and other current liabilities on the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no milestone and contract revenue under the Novartis agreement for the year ended December 31, 2024. Milestone and contract revenue under the Novartis agreement was $5.0 million and $60.0 million for the years ended December 31, 2023 and 2022, respectively. In addition, for the years ended December 31, 2024, 2023 and 2022, we recorded $418.8 million, $367.6 million and $331.6 million, respectively, of product royalty revenues related to Novartis net sales of JAKAVI outside the United States. For the years ended December 31, 2024, 2023 and 2022 we recorded $22.7 million, $17.8 million and $15.4 million, respectively, of product royalty revenues related to Novartis net sales of TABRECTA worldwide.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December 31, 2024,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no milestone and contract revenue under the Lilly agreement for the years ended December 31, 2024 and 2023. Milestone and contract revenue under the Lilly agreement was $70.0 million for the year ended December 31, 2022. In addition, for the years ended December 31, 2024, 2023 and 2022, we recorded $135.6 million, $136.1 million and $134.5 million, respectively, of product royalty revenues related to Lilly net sales of OLUMIANT outside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this agreement, we are responsible for all costs associated with discovery, preclinical, clinical development and commercialization activities for the currently active programs. Agenus will be eligible to receive tiered royalties on global net sales ranging from 6% to 12%, for all programs but one, in which Agenus will be eligible to receive 15% royalties on global net sales. The agreement may be terminated by us for convenience upon 12 months’ notice and also may be terminated under certain other circumstances, including material breach.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inception of the agreement through December 31, 2024, we have paid Agenus milestones totaling $30.0 million and Agenus is eligible to receive up to an additional $500.0 million in future contingent development, regulatory and commercialization milestones across all programs in the collaboration.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2024, we sold approximately 0.6 million of Agenus Inc. common stock for proceeds of $1.9 million. As of December 31, 2024, we had no remaining investment in Agenus Inc. common stock. The fair market value of our equity investment in Agenus Inc. at December 31, 2023 was $10.0 million. For the years ended December 31, 2024, 2023 and 2022, we recorded realized and unrealized losses of $8.2 million, $18.9 million, and $9.9 million, respectively, based on the sale of shares and change in fair value of Agenus Inc.’s common stock during the respective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 We hold worldwide exclusive development and commercialization rights to those programs and are responsible for all research, development and commercialization costs, subject to Merus’ option, subject to certain conditions, to co-fund development of up to two of such programs and participate in certain commercialization activities for one of those co-developed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the inception of the agreement through December 31, 2024, we have paid and expensed Merus milestones totaling $10.0 million.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we sold approximately 4.0 million of Merus’ common shares for proceeds of $216.1 million. As of December 31, 2024, we had no remaining investment in Merus’ common shares. The fair market value of our equity investment in Merus as of December 31, 2023 was $110.1 million. For the years ended December 31, 2024, 2023 and 2022, we recorded realized and unrealized gains of $106.1 million, an unrealized gain of $45.2 million, and an unrealized loss of $58.0 million, respectively, based on the sale of shares and change in fair value of Merus’ common shares during the respective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2024, the parties amended the agreement, and we agreed to pay MacroGenics $100.0 million in exchange for MacroGenics’ agreement that all milestones for squamous cell anal cancer and non-small cell lung cancer have been deemed either achieved or inapplicable and certain future milestones for non-small cell lung cancer were waived. This $100.0 million milestone payment was recorded as research and development expense in our consolidated statements of operations during the year ended December 31, 2024. Since the inception of the agreement, inclusive of the July 2022 and July 2024 amendments to the agreement, through December 31, 2024,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2024, 2023 and 2022, also included $45.7 million, $51.5 million and $89.2 million, respectively, of development costs incurred pursuant to the MacroGenics agreement. At December 31, 2024 and 2023, a total of $0.5 million and $0.3 million, respectively, of such costs were included in accrued and other liabilities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described in Note 5,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May 2024, as part of the Novartis tender offer for MorphoSys AG’s outstanding shares, we sold all of our 3.6 million American Depository Shares, each representing 0.25 of an ordinary share of MorphoSys AG, for proceeds of $66.6 million. The fair market value of our equity investment in MorphoSys AG as of December 31, 2023 was $35.9 million. For the year ended December 31, 2024, we recorded a realized gain of $30.7 million, based on the sale of shares and change in fair value of MorphoSys AG’s ordinary shares during the period. For the years ended December 31, 2023 and 2022 we recorded an unrealized gain of $22.9 million, and an unrealized loss of $21.2 million, respectively, based on the change in fair value of MorphoSys AG's ordinary shares during the respective periods.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50% share of the United States loss or profit for the commercialization of tafasitamab for the period from January 1, 2024 to the asset acquisition on February 5, 2024, was a profit of $1.0 million, and is recorded as (profit) and loss sharing under collaboration agreements on the consolidated statement of operations. As described in Note 5, subsequent to the asset acquisition, we recognize revenue and costs for all commercialization and clinical development of tafasitamab in the United States. Our 50% share of the United States loss for the commercialization of tafasitamab for the years ended December 31, 2023 and 2022 was $2.0 million and $8.0 million, respectively, and is recorded as (profit) and loss sharing under collaboration agreements on the consolidated statement of operations. Research and development expenses for the period from January 1, 2024 to the asset acquisition on February 5, 2024, includes $10.7 million, related to our 55% share of the co-development costs for tafasitamab. Research and development expenses for the years ended December 31, 2023 and 2022, included $76.1 million and $99.7 million, respectively, of costs for tafasitamab including our 55% share of the co-development costs. At December 31, 2023, $18.8 million was included in accrued and other liabilities on the consolidated balance sheet for amounts due to MorphoSys under the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we made a $12.5 million regulatory milestone payment to Syndax for the FDA approval of NIKTIMVO for the treatment of GVHD. This milestone payment was capitalized as an intangible asset and included in other intangible assets, net on the consolidated balance sheet as of December 31, 2024, and is being amortized through cost of product revenues over the estimated useful life of 10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December 31, 2024,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held an investment of approximately 1.4 million shares of Syndax common stock. The fair market value of our long term investment in Syndax as of December 31, 2024 and 2023 was $18.8 million and $30.7 million, respectively. For the years ended December 31, 2024, 2023 and 2022, we recorded an unrealized loss of $11.9 million, an unrealized loss of $5.5 million, and an unrealized gain of $5.1 million, respectively, based on the change in fair value of Syndax’s common stock during the respective periods.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includes $18.8 million and $25.8 million, respectively, related to our 55% share of the co-development costs for axatilimab. At December 31, 2024 and 2023, $2.2 million and $1.8 million, respectively, was included in accrued and other liabilities on the consolidated balance sheet for amounts due to Syndax under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consolidated statement of operations during the year ended December 31,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597,342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1,021,447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(269,934)</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751,513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During the year ended December 31, 2024, we capitalized $4.9 million of land, $19.5 million of building and parking garage and $30.8 million of construction in progress relating to the downtown Wilmington properties.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expense of leasehold improvements, was $65.6 million, $60.1 million and $46.3 million for the years ended December 31, 2024, 2023 and 2022,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current operating lease liabilities are reflected in accrued and other current liabilities and our noncurrent operating lease liabilities are reflected in other liabilities on the consolidated balance sheets and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4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7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35"/>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our lease liabilities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cash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 paid for amounts included in the measurement of our operating lease liabilities for the years ended December 31, 2024, 2023 and 2022 was $7.1 million, $9.4 million and $11.8 million, respectively, in operating cash flows. The cash paid for amounts included in the measurement of our finance lease liabilities for the years ended December 31, 2024, 2023 and 2022 was $3.8 million, $3.4 million and $2.9 million respectively, in financing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our finance and operating leases had a weighted average lease term of approximately 10.4 years and 4.8 years, respectively. The discount rate of our leases is an approximation of an estimated incremental borrowing rate and is dependent upon the term and economics of each agreement. The weighted average discount rate of our finance and operating leases was approximately 3.6% and 4.5%,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our finance and operating leases had a weighted average lease term of approximately 10.8 years and 5.8 years, respectively. The weighted average discount rate of our finance and operating leases was approximately 4.0% and 3.9%,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our finance and operating leases had a weighted average lease term of approximately 12.0 years and 5.5 years, respectively. The weighted average discount rate of our finance and operating leases was approximately 4.2% and 4.4%, respectively.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we incurred approximately $8.1 million of expense related to our operating leases, approximately $3.9 million of amortization on our finance lease right-of-use assets and approximately $1.3 million of interest expense on our finance lease liabilities. For the year ended December 31, 2023, we incurred approximately $9.8 million of expense related to our operating leases, approximately $3.5 million of amortization on our finance lease right-of-use assets and approximately $1.3 million of interest expense on our finance lease liabilities. For the year ended December 31, 2022, we incurred approximately $11.7 million of expense related to our operating leases, approximately $3.1 million of amortization on our finance lease right-of-use assets and approximately $1.4 million of interest expense on our finance lease liabilities.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240"/>
        <w:spacing w:after="0"/>
        <w:rPr>
          <w:sz w:val="20"/>
          <w:szCs w:val="20"/>
          <w:color w:val="auto"/>
        </w:rPr>
      </w:pPr>
      <w:r>
        <w:rPr>
          <w:rFonts w:ascii="Times New Roman" w:cs="Times New Roman" w:eastAsia="Times New Roman" w:hAnsi="Times New Roman"/>
          <w:sz w:val="18"/>
          <w:szCs w:val="18"/>
          <w:b w:val="1"/>
          <w:bCs w:val="1"/>
          <w:color w:val="auto"/>
        </w:rPr>
        <w:t>Note 9. Intangible Assets and Goodwill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intangible assets were as follows (in thousands, except for useful life):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Useful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2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1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Finite-lived intangible</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Licensed IP</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107,682</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Capitalized milestone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0" w:type="dxa"/>
            <w:vAlign w:val="bottom"/>
          </w:tcPr>
          <w:p>
            <w:pPr>
              <w:spacing w:after="0"/>
              <w:rPr>
                <w:sz w:val="1"/>
                <w:szCs w:val="1"/>
                <w:color w:val="auto"/>
              </w:rPr>
            </w:pPr>
          </w:p>
        </w:tc>
      </w:tr>
      <w:tr>
        <w:trPr>
          <w:trHeight w:val="243"/>
        </w:trPr>
        <w:tc>
          <w:tcPr>
            <w:tcW w:w="2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the years ended December 31, 2024, 2023 and 2022, was $23.6 million, $22.5 million, and $21.5 million, respectively,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for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1,212,048</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935,569</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authorized to issue 5,000,000 shares of preferred stock, none of which was outstanding as of December 31, 2024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The Board of Directors may determine the rights, preferences and privileges of any preferred stock issued in the future.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authorized to issue 400,000,000 shares of common stock.</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Share Repurchase and Modified "Dutch Auction" Tender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May 13, 2024 we announced that our Board of Directors approved a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authorization of $2.0 billion. Subsequently, we commenced a modified “Dutch Auction” tender offer to repurchase shares of our common stock for an aggregate purchase price of up to $1.672 billion (the “tender offer”). We offered to purchase up to $1.672 billion in value of our common stock at a price not greater than $60.00 per share nor less than $52.00 per share, net to the seller in cash, less any applicable withholding taxes and without interest, upon the terms and subject to the conditions set forth in the tender offer documents that were distributed to stockholders. A modified “Dutch Auction” tender offer allows stockholders to indicate how much stock they wish to tender and at what price within the range described above. Based on the number of shares tendered and the prices specified by the tendering stockholders, we determined the lowest price per share that enabled us to purchase $1.672 billion of common stock at such price. On June 13, 2024 we completed the tender offer and repurchased 27,866,666 shares at a price of $60.00 per share for an aggregate price of approximately $1.672 billion, excluding fees and related expenses, pursuant to the tender offer.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on May 12, 2024, we entered into a separate stock purchase agreement with Julian C. Baker (a member of our Board of Directors), Felix J. Baker, and entities affiliated with Julian C. and Felix J. Baker, including funds advised by Baker Bros. Advisors LP (collectively, the “Baker Entities”), to repurchase up to $328.0 million of our common stock. This would enable the Baker Entities to maintain their ownership level as of May 9, 2024 of approximately 16.4% of Incyte’s outstanding common stock. The Baker Entities purchase was to be at the same price per share as is determined and paid in the tender offer. On June 26, 2024, we repurchased 5,459,183 shares at a price of $60.00 per share for an aggregate price of approximately $328.0 million pursuant to the terms of the stock purchase agreement with the Baker Entities.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share repurchases as retirements, whereby it reduces common stock and additional paid-in capital by the amount of the original issuance, with any excess purchase price recorded as a reduction to retained earnings (accumulated deficit). Any transaction costs, including the excise tax, directly associated with the share repurchases are included as part of the purchase price. Under this method, the issued and outstanding shares of common stock are reduced by the number of shares of common stock repurchased, and no treasury stock is recognized on the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total of 33,325,849 common shares were repurchased during June 2024 at a price of $60.00 per share for an aggregate purchase price of approximately $2.0 billion. We incurred $24.4 million in fees and expenses associated with the share repurchase, which included $19.2 million for excise taxes on share repurchases in accordance with the Inflation Reduction Act of 2022. We currently expect to pay the excise tax in the first half of 2025. These costs are recognized within (accumulated deficit) retained earnings on the consolidated balance sheet as of December 31, 2024 as costs to repurchase our common stock. The purchased shares were cancelled and ceased to be outstanding.</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 Compensation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2024, we had a total of 4,302,716 shares of our common stock available for future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our stock plans as described below.</w:t>
      </w:r>
    </w:p>
    <w:p>
      <w:pPr>
        <w:spacing w:after="0" w:line="15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In May 2010 the Board of Directors adopted the 2010 Stock Incentive Plan (the “2010 Stock Plan”), which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amended in April 2023, for issuance of common stock to employees, non-employee directors, consultants, and scientific advisors. Awards under the 2010 Stock Plan include stock options, RSUs and PSUs.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our stockholders approved an increase in the number of shares of common stock reserved for issuance under the 2010 Stock Plan from 53,953,475 to 66,453,475.</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In January 2024, our Board of Directors adopted the Incyte Corporation 2024 Inducement Stock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“2024 Inducement Plan”). In reliance on Nasdaq Marketplace Rule 5635(c)(4), stockholder approval was not obtained. A total of 1,000,000 shares of common stock are reserved for issuance pursuant to the 2024 Inducement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are granted to employees, consultants, and scientific advisors under the 2010 Stock Plan and 2024 Inducement Plan. Options are also granted under the 2010 Stock Plan to non-employee members of our Board of Directors, pursuant to a formula set forth in the 2010 Stock Plan. All options are exercisable at the fair market value of the stock on the date of grant.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 Non-employee director options expire after 10 years and vest in full on the first anniversary of the date of grant or, if earlier, the date of the next annual meeting of stockholders.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2010 Stock Plan and 2024 Inducement Plan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0"/>
        </w:trPr>
        <w:tc>
          <w:tcPr>
            <w:tcW w:w="8180" w:type="dxa"/>
            <w:vAlign w:val="bottom"/>
          </w:tcPr>
          <w:p>
            <w:pPr>
              <w:spacing w:after="0"/>
              <w:rPr>
                <w:sz w:val="16"/>
                <w:szCs w:val="16"/>
                <w:color w:val="auto"/>
              </w:rPr>
            </w:pPr>
          </w:p>
        </w:tc>
        <w:tc>
          <w:tcPr>
            <w:tcW w:w="306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Outstanding Options</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8"/>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95"/>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12,457,158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1,336,397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(585,018)</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12,777,974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to purchase a total of 10,381,128, 9,743,775 and 8,952,289 shares as of December 31, 2024, 2023 and 2022, respectively, were exercisable. The aggregate intrinsic value of options exercised for the years ended December 31, 2024, 2023 and 2022 were $3.2 million, $3.2 million and $6.0 million, respectively. At December 31, 2024, the aggregate intrinsic value of options outstanding and vested options are $15.9 million and $15.3 million,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2024 under the 2010 Stock Plan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Inducement Plan: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23"/>
        </w:trPr>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1"/>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9"/>
        </w:trPr>
        <w:tc>
          <w:tcPr>
            <w:tcW w:w="3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55"/>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$52.94 - $61.76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1,443,974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533,680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r>
      <w:tr>
        <w:trPr>
          <w:trHeight w:val="25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$62.08 - $68.62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1,373,343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r>
      <w:tr>
        <w:trPr>
          <w:trHeight w:val="26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$68.70 - $74.78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1,971,358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1,791,120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r>
      <w:tr>
        <w:trPr>
          <w:trHeight w:val="25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$74.98 - $80.50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1,517,319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r>
      <w:tr>
        <w:trPr>
          <w:trHeight w:val="263"/>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$80.56</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1,449,127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1,163,248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r>
      <w:tr>
        <w:trPr>
          <w:trHeight w:val="250"/>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$83.83</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1,301,907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r>
      <w:tr>
        <w:trPr>
          <w:trHeight w:val="263"/>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$90.56</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$95.34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1,354,618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1,353,093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r>
      <w:tr>
        <w:trPr>
          <w:trHeight w:val="250"/>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$95.54</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$113.64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1,780,144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r>
      <w:tr>
        <w:trPr>
          <w:trHeight w:val="26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$115.19 - $134.38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568,742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568,742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r>
      <w:tr>
        <w:trPr>
          <w:trHeight w:val="250"/>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$138.52 - $138.52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275"/>
        </w:trPr>
        <w:tc>
          <w:tcPr>
            <w:tcW w:w="5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12,777,974</w:t>
            </w:r>
          </w:p>
        </w:tc>
        <w:tc>
          <w:tcPr>
            <w:tcW w:w="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10,381,128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 and Performance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years ended December 31, 2024, 2023 and 2022, we recorded $30.1 million, $17.2 million and $7.8 million, respectively, of stock compensation expense for PSUs on our consolidated statements of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0"/>
        </w:trPr>
        <w:tc>
          <w:tcPr>
            <w:tcW w:w="8180" w:type="dxa"/>
            <w:vAlign w:val="bottom"/>
          </w:tcPr>
          <w:p>
            <w:pPr>
              <w:spacing w:after="0"/>
              <w:rPr>
                <w:sz w:val="16"/>
                <w:szCs w:val="16"/>
                <w:color w:val="auto"/>
              </w:rPr>
            </w:pPr>
          </w:p>
        </w:tc>
        <w:tc>
          <w:tcPr>
            <w:tcW w:w="306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7,165,342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3,481,911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341,943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8,656,803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Plan and 2024 Inducement Plan. Each RSU and PSU grant reduces the available share pool by 2 shares.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60" w:type="dxa"/>
            <w:vAlign w:val="bottom"/>
          </w:tcPr>
          <w:p>
            <w:pPr>
              <w:spacing w:after="0"/>
              <w:rPr>
                <w:sz w:val="15"/>
                <w:szCs w:val="15"/>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10,815,026</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authorization - 2024 Inducement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 and issuance of shares for services rendered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(9,033,557)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1,232,142</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4,013,611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On May 21, 1997, our stockholders adopted the 1997 Employee Stock Purchase Plan, which was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in April 2023 (the “ESPP”). Each regular full-time and part-time employee working 20 hours or more per week is eligible to participate after one month of employment. In June 2023, our stockholders approved an increase in the number of shares of common stock reserved for issuance under the ESPP from 9,600,000 to 10,350,000. We issued 453,312, 380,145 and 308,413 shares under the ESPP in 2024, 2023 and 2022, respectively. For the years ended December 31, 2024, 2023 and 2022, we recorded stock compensation expense of $5.3 million, $5.1 million and $4.7 million, respectively, as the ESPP is considered compensatory under the FASB stock compensation rules. As of December 31, 2024, 289,105 shares remain available for issuance under the ESPP.</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$266.1 million, $215.9 million and $188.4 million, respectively, of stock compensation expense for the years ended December 31, 2024, 2023 and 2022. Stock compensation expense within the consolidated statements of operations included research and development expense for the years ended December 31, 2024, 2023 and 2022 of $161.3 million, $126.7 million and $112.5 million, respectively. Stock compensation expense within the consolidated statements of operations also included selling, general and administrative expense for the years ended December 31, 2024, 2023 and 2022 of $102.5 million, $86.1 million and $73.2 million, respectively. Stock compensation expense within the consolidated statements of operations also included cost of product revenues for the years ended December 31, 2024, 2023 and 2022 of $2.3 million, $3.1 million and $2.7 million, respectively.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as described in Note 5, as part of the Escient acquisition, during the year ended December 31, 2024, we recognized on our consolidated statements of operations related compensation expense of approximately $31.5 million associated with the accelerated vesting for certain Escient stock awards in connection with the acquisition.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options granted, with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800" w:type="dxa"/>
            <w:vAlign w:val="bottom"/>
            <w:gridSpan w:val="5"/>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Employee Stock Options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5"/>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740" w:type="dxa"/>
            <w:vAlign w:val="bottom"/>
          </w:tcPr>
          <w:p>
            <w:pPr>
              <w:spacing w:after="0"/>
              <w:rPr>
                <w:sz w:val="14"/>
                <w:szCs w:val="14"/>
                <w:color w:val="auto"/>
              </w:rPr>
            </w:pPr>
          </w:p>
        </w:tc>
      </w:tr>
      <w:tr>
        <w:trPr>
          <w:trHeight w:val="190"/>
        </w:trPr>
        <w:tc>
          <w:tcPr>
            <w:tcW w:w="4080" w:type="dxa"/>
            <w:vAlign w:val="bottom"/>
          </w:tcPr>
          <w:p>
            <w:pPr>
              <w:spacing w:after="0"/>
              <w:rPr>
                <w:sz w:val="16"/>
                <w:szCs w:val="16"/>
                <w:color w:val="auto"/>
              </w:rPr>
            </w:pPr>
          </w:p>
        </w:tc>
        <w:tc>
          <w:tcPr>
            <w:tcW w:w="2800" w:type="dxa"/>
            <w:vAlign w:val="bottom"/>
            <w:gridSpan w:val="5"/>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5"/>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(in dollars)</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14.99</w:t>
            </w: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December 31, 2024, was $19.2 million, which is expected to be recognized over the weighted average period of 1.1 years. Total compensation cost of RSUs granted but not yet vested, as of December 31, 2024, was $235.9 million, which is expected to be recognized over the weighted average period of 1.6 years. Total compensation cost of PSUs granted but not yet vested, as of December 31, 2024, was $27.3 million, which is expected to be recognized over the weighted average period of 1.6 years, should the underlying performance conditions be deemed probable of achievement.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state and foreign corporate income taxes. The provision for income taxes is based on income before provision for income taxes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401,760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766,781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(237,665)</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316,630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529,116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Our provision for income taxes consists of the following (in thousands):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322,682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62,107</w:t>
            </w:r>
          </w:p>
        </w:tc>
        <w:tc>
          <w:tcPr>
            <w:tcW w:w="0" w:type="dxa"/>
            <w:vAlign w:val="bottom"/>
          </w:tcPr>
          <w:p>
            <w:pPr>
              <w:spacing w:after="0"/>
              <w:rPr>
                <w:sz w:val="1"/>
                <w:szCs w:val="1"/>
                <w:color w:val="auto"/>
              </w:rPr>
            </w:pPr>
          </w:p>
        </w:tc>
      </w:tr>
      <w:tr>
        <w:trPr>
          <w:trHeight w:val="25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57,091</w:t>
            </w:r>
          </w:p>
        </w:tc>
        <w:tc>
          <w:tcPr>
            <w:tcW w:w="0" w:type="dxa"/>
            <w:vAlign w:val="bottom"/>
          </w:tcPr>
          <w:p>
            <w:pPr>
              <w:spacing w:after="0"/>
              <w:rPr>
                <w:sz w:val="1"/>
                <w:szCs w:val="1"/>
                <w:color w:val="auto"/>
              </w:rPr>
            </w:pPr>
          </w:p>
        </w:tc>
      </w:tr>
      <w:tr>
        <w:trPr>
          <w:trHeight w:val="27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01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A reconciliation of income taxes at the U.S. federal statutory rate to the provision for income taxes is as follows (in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111,114</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accounted for as research and development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7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284,015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The 2024 acquisitions accounted for as research and development expenses in the table above reflects the impact of non-deductible charges associated with the Escient acquisition. The 2023 foreign tax rate differential in the table above reflects the impact of operations in jurisdictions with tax rates that differ from the U.S. federal statutory rate of 21%. It also includes a tax benefit associated with the remeasurement of foreign deferred tax assets resulting from the cancellation of a tax holiday. The 2023 income tax credits in the table above includes a tax benefit associated with the issuance of non-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refundable Swiss income tax credits. The 2023 remeasurement of foreign deferred tax assets and the Swiss income tax credits are fully offset with a valuation allowance in the table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326,446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1,398,495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1,441,981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457,603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and accruals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2,939,735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2,768,418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(2,139,673)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(2,096,318)</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800,062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(37,991)</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762,071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Company’s net deferred tax assets increased by $130.2 million. This was primary due to future deductible temporary differences associated with U.S. research and development expenses required to be capitalized and amortized under the Tax Cuts and Jobs Act of 2017, partially offset by an increase to a related valuation allowance. As part of the Escient acquisition, the Company also recorded a net deferred tax asset of $44.8 million predominately related to U.S. net operating losses ("NOLs") and capitalized researched and development costs. As of December 31, 2024, the Company continues to maintain a valuation allowance on certain U.S. temporary differences, foreign NOLs and the non-refundable Swiss income tax credits granted in the year ended December 31, 2023.</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valuation allowance for deferred tax assets increased by approximately $43.4 million during the year ended December 31, 2024 and increased by approximately $1.6 billion during the year ended December 31, 2023. The valuation allowance increase during 2024 was primarily due to future deductible temporary differences mainly associated with U.S. research and development expenses required to be capitalized and amortized under the Tax Cuts and Jobs Act of 2017 and the acquisition of Escient’s U.S. NOLs, a portion of which is not more-likely-than-not to be realized as of December 31, 2024. This was partially offset by the expiration of foreign NOLs with a full valuation allowance.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NOL carryforwards, research and development credit carryforwards and foreign income tax credit carryforwards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 if not utilized</w:t>
            </w:r>
          </w:p>
        </w:tc>
      </w:tr>
      <w:tr>
        <w:trPr>
          <w:trHeight w:val="23"/>
        </w:trPr>
        <w:tc>
          <w:tcPr>
            <w:tcW w:w="6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r>
      <w:tr>
        <w:trPr>
          <w:trHeight w:val="25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102,034</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63"/>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782,156</w:t>
            </w: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 through 2044; indefinite</w:t>
            </w:r>
          </w:p>
        </w:tc>
      </w:tr>
      <w:tr>
        <w:trPr>
          <w:trHeight w:val="25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1,749,821</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 through 2041; indefinite</w:t>
            </w:r>
          </w:p>
        </w:tc>
      </w:tr>
      <w:tr>
        <w:trPr>
          <w:trHeight w:val="26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r>
      <w:tr>
        <w:trPr>
          <w:trHeight w:val="25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 through 2044</w:t>
            </w:r>
          </w:p>
        </w:tc>
      </w:tr>
      <w:tr>
        <w:trPr>
          <w:trHeight w:val="263"/>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 through 2043</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Swiss income tax credit carryforwards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1,382,413</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Federal NOL and tax credit carryforward are subject to an annual limitation under Internal Revenue Code Section 382.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we would recognize a tax benefit of $79.3 million. The following table summarizes the gross amounts of unrecognized tax benefits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73,040</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related to prior periods tax positions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Reductions related to prior periods tax positions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related to current period tax positions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related to acquisitions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uncertain tax positions, if any, as a component of income tax expense. During the years ending December 31, 2024 and 2023, we recorded interest and penalties as a component of income tax expense of $8.5 million and $4.9 million, respectively. As of December 31, 2024 and 2023, the Company has accrued liabilities of $18.7 million and $10.1 million, respectively, for interest and penalties related to its uncertain tax positions. We do not expect any significant decreases in recognized tax benefits within the next 12 months.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2021. We are currently under U.S. federal audit for tax year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basic net income per share is computed by dividing the net income by the number of weighted average common shares outstanding during the period. Our diluted net income per share is computed by dividing net income by the weighted average common shares outstanding during the period assuming potentially dilutive common shares of stock options, RSUs and PSUs.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per share was calculated as follows for the periods indicated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2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Basic Net Income Per Share</w:t>
            </w:r>
          </w:p>
        </w:tc>
        <w:tc>
          <w:tcPr>
            <w:tcW w:w="5160" w:type="dxa"/>
            <w:vAlign w:val="bottom"/>
            <w:tcBorders>
              <w:bottom w:val="single" w:sz="8" w:color="CCEEFF"/>
            </w:tcBorders>
            <w:gridSpan w:val="3"/>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222,004</w:t>
            </w: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222,004</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tcPr>
          <w:p>
            <w:pPr>
              <w:spacing w:after="0"/>
              <w:rPr>
                <w:sz w:val="21"/>
                <w:szCs w:val="21"/>
                <w:color w:val="auto"/>
              </w:rPr>
            </w:pPr>
          </w:p>
        </w:tc>
        <w:tc>
          <w:tcPr>
            <w:tcW w:w="7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per share</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223,958</w:t>
            </w:r>
          </w:p>
        </w:tc>
        <w:tc>
          <w:tcPr>
            <w:tcW w:w="0" w:type="dxa"/>
            <w:vAlign w:val="bottom"/>
          </w:tcPr>
          <w:p>
            <w:pPr>
              <w:spacing w:after="0"/>
              <w:rPr>
                <w:sz w:val="1"/>
                <w:szCs w:val="1"/>
                <w:color w:val="auto"/>
              </w:rPr>
            </w:pPr>
          </w:p>
        </w:tc>
      </w:tr>
      <w:tr>
        <w:trPr>
          <w:trHeight w:val="270"/>
        </w:trPr>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4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CCEEFF"/>
            </w:tcBorders>
            <w:shd w:val="clear" w:color="auto" w:fill="CCEEFF"/>
          </w:tcPr>
          <w:p>
            <w:pPr>
              <w:spacing w:after="0"/>
              <w:rPr>
                <w:sz w:val="23"/>
                <w:szCs w:val="23"/>
                <w:color w:val="auto"/>
              </w:rPr>
            </w:pPr>
          </w:p>
        </w:tc>
        <w:tc>
          <w:tcPr>
            <w:tcW w:w="7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potential common shares that were excluded from the diluted net income per share computation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12,905,281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12,710,250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10,946,703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$20.6 million, $18.9 million and $18.7 million for the years ended December 31, 2024,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pension plans assumptions reflect the expected investment return and discount rate on plan assets and disability rate probabilities. The benefit obligation at December 31, 2024 for the plans was determined using a discount rate of 0.90% and rate of compensation increase of 2.25%. The 2024 net periodic benefit cost for the plans was determined using discount rates of 1.30%, rates of compensation increase of 2.25% and long term expected return on plan assets of 5.50%. The benefit obligation at December 31, 2023 for the plans was determined using a discount rate of 1.30% and rate of compensation increase of 2.25%. The 2023 net periodic benefit cost for the plans was determined using discount rates of 2.20%, rates of compensation increase of 2.25% and long term expected return on plan assets of 5.80%.</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Summarized information regarding changes in the obligations and plan assets, the funded status and the amounts recorded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service cost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benefits net of payments from fund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(gain) loss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13,007</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169,667</w:t>
            </w:r>
          </w:p>
        </w:tc>
      </w:tr>
      <w:tr>
        <w:trPr>
          <w:trHeight w:val="256"/>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benefits net of payments from fund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(loss) gain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128,482</w:t>
            </w:r>
          </w:p>
        </w:tc>
      </w:tr>
      <w:tr>
        <w:trPr>
          <w:trHeight w:val="256"/>
        </w:trPr>
        <w:tc>
          <w:tcPr>
            <w:tcW w:w="81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liability,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41,185</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unfunded liability is reported in other liabilities on the consolidated balance sheets as of December 31, 2024 and 2023. The accumulated benefit obligation is $182.4 million and $157.9 million as of December 31, 2024 and 2023,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12,121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interest income and other, net on the consolidated statements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Other changes in the plans assets and the benefit obligation that is recognized in accumulated other comprehensive (loss) income were as follows, net of tax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 (asset), beginning of year</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30,924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prior service costs</w:t>
            </w:r>
          </w:p>
        </w:tc>
        <w:tc>
          <w:tcPr>
            <w:tcW w:w="9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liability (asset), end of year</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39,923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contribute a total of $10.1 million to the pension plans in 2025. The following payments are expected to be paid from the fund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56,544</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the Incyte Corporation, as borrower,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its consolidated leverage ratio in effect immediately prior to giving effect to such increase.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the consolidated leverage ratio or (b) a rate based on the secured overnight financing rate (“SOFR”) plus a credit spread adjustment of 0.10% (but not less than 0.00%), plus an applicable rate per annum varying from 1.125% to 1.875% depending on the consolidated leverage ratio. Commitment fees payable on the undrawn amount range from 0.150% per annum to 0.225% per annum, based on our consolidated leverage ratio. We may, at our option, prepay any borrowings under the Credit Agreement, in whole or in part, at any time and from time to time without premium or penalty, subject to customary exceptions.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were in compliance with all financial and operational covenants under the terms of the Credit Agreement and there were no outstanding borrowings or letters of credit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December 31, 2024, we have accrued approximately $127.6 million within accrued and other current liabilities on the consolidated balance sheet, relating to the incremental rebates that would be owed were OPZELURA considered a line extension of JAKAFI. The impact on OPZELURA gross to net deductions for the quarter ending December 31, 2024, is approximately 6.3%. If OPZELURA is not treated as a line extension of JAKAFI, this would result in a reversal of our accrual and a lower future gross to net deduction for OPZELURA.</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as described in Note 7 of the Notes to the Consolidated Financial Statements, we have an outstanding contractual dispute with Novartis relating to royalties on JAKAFI net sales within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for our single operating segment are the same as those described in the summary of significant accounting policies. Our single operating segment generates revenues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segment, the chief operating decision maker uses net income or loss, that also is reported on the consolidated statements of operations as consolidated net income (loss),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consolidated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our segment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2,746,897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482,738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3,394,635</w:t>
            </w: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206,997</w:t>
            </w: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Research and development - internal</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739,785</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Research and development - external</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720,201</w:t>
            </w: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770,141</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231,999</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238,780</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340,660</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internal is comprised of internally generated costs such as salaries, travel, regulatory costs, lab costs, contracting, etc.</w:t>
      </w:r>
    </w:p>
    <w:p>
      <w:pPr>
        <w:spacing w:after="0" w:line="1" w:lineRule="exact"/>
        <w:rPr>
          <w:rFonts w:ascii="Times New Roman" w:cs="Times New Roman" w:eastAsia="Times New Roman" w:hAnsi="Times New Roman"/>
          <w:sz w:val="23"/>
          <w:szCs w:val="23"/>
          <w:color w:val="auto"/>
          <w:vertAlign w:val="superscript"/>
        </w:rPr>
      </w:pPr>
    </w:p>
    <w:p>
      <w:pPr>
        <w:ind w:left="180" w:hanging="172"/>
        <w:spacing w:after="0" w:line="219" w:lineRule="auto"/>
        <w:tabs>
          <w:tab w:leader="none" w:pos="173"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external is comprised of specific program spend with external vendors (i.e. contract manufacturing organization, contract research organization and lab vendors for clinical, technical operations and toxicology services).</w:t>
      </w:r>
    </w:p>
    <w:p>
      <w:pPr>
        <w:ind w:left="180" w:hanging="172"/>
        <w:spacing w:after="0" w:line="219" w:lineRule="auto"/>
        <w:tabs>
          <w:tab w:leader="none" w:pos="173"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research and development is comprised of all other costs including certain one-time costs resulting from the acquisition of IPR&amp;D assets and one-time development milestone expenses.</w:t>
      </w:r>
    </w:p>
    <w:p>
      <w:pPr>
        <w:spacing w:after="0" w:line="1" w:lineRule="exact"/>
        <w:rPr>
          <w:rFonts w:ascii="Times New Roman" w:cs="Times New Roman" w:eastAsia="Times New Roman" w:hAnsi="Times New Roman"/>
          <w:sz w:val="23"/>
          <w:szCs w:val="23"/>
          <w:color w:val="auto"/>
          <w:vertAlign w:val="superscript"/>
        </w:rPr>
      </w:pPr>
    </w:p>
    <w:p>
      <w:pPr>
        <w:ind w:left="180" w:right="20" w:hanging="172"/>
        <w:spacing w:after="0" w:line="260" w:lineRule="auto"/>
        <w:tabs>
          <w:tab w:leader="none" w:pos="169"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Other segment items is comprised of interest income, interest expense, realized and unrealized (gain) loss on equity investments, other, net, and provision for income taxes.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total revenues generated by subsidiaries in the United States was approximately $4.0 billion, total revenues generated from subsidiaries in Europe was approximately $260.4 million, and total revenues generated from subsidiaries in other countries was approximately $6.2 million. During the year ended December 31, 2023, total revenues generated by subsidiaries in the United States was approximately $3.5 billion, total revenues generated from subsidiaries in Europe was approximately $175.9 million, and total revenues generated from subsidiaries in other countries was approximately $4.9 million. During the year ended December 31, 2022, total revenues generated by subsidiaries in the United States was approximately $3.2 billion and total revenues generated from subsidiaries in Europe was approximately $147.0 million.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property and equipment, net was approximately $474.1 million in the United States, approximately $277.6 million in Switzerland and approximately $11.7 million in other countries. As of December 31, 2023, property and equipment, net was approximately $432.3 million in the United States, approximately $303.9 million in Switzerland and approximately $15.3 million in other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concluded that, as of such date, our disclosure controls and procedures were effective at the reasonable assurance level.</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under the Exchange Act) for the quarter ended December 31, 2024, that have materially affected or are reasonably likely to materially affect our internal control over financial reporting.</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Our management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adequate internal control over financial reporting, as such term is defined in Exchange Act Rule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internal control over financial reporting as of December 31, 2024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Incyte Corporation’s internal control over financial reporting as of December 31, 2024, based on criteria established in Internal Control— 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2024, based on the COSO criteria.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stockholders’ equity and cash flows for each of the three years in the period ended December 31, 2024, and the related notes and our report dated February 10,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firstLine="656"/>
        <w:spacing w:after="0" w:line="266" w:lineRule="auto"/>
        <w:tabs>
          <w:tab w:leader="none" w:pos="9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the following officers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Christiana Stamoulis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Executive Vice President and Chief Financial Officer, adopted a trading plan on November 26, 2024 providing for the sale of up to an aggregate of 107,938 shares of our common stock until November 26, 2025.</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Sheila Denton, our Executive Vice President and General Counsel, adopted a trading plan on November 27, 2024 providing for the sale of up to an aggregate of 32,014 shares of our common stock until November 27,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Barry Flannelly, our Executive Vice President and General Manager, North America, adopted a trading plan on December 13, 2024 providing for the sale of up to an aggregate of 315,415 shares of our common stock until January 6,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2025 Annual Meeting of Stockholders to be held on June 10, 2025 (the “Proxy Statement”). Certain information required by this item concerning executive officers is set forth in Part I of this Report under the caption “Information about our Executive Officers” and is incorporated herein by reference.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caption “Section 16(a) Beneficial Ownership Reporting Compliance” in the Proxy Statement and is incorporated herein by reference.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officers and employees, including our Chief Executive Officer, Chief Financial Officer, Principal Accounting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Times New Roman" w:cs="Times New Roman" w:eastAsia="Times New Roman" w:hAnsi="Times New Roman"/>
          <w:sz w:val="18"/>
          <w:szCs w:val="18"/>
          <w:i w:val="1"/>
          <w:iCs w:val="1"/>
          <w:color w:val="auto"/>
        </w:rPr>
        <w:t>investor.incyte.com/corporate-governance</w:t>
      </w:r>
      <w:r>
        <w:rPr>
          <w:rFonts w:ascii="Times New Roman" w:cs="Times New Roman" w:eastAsia="Times New Roman" w:hAnsi="Times New Roman"/>
          <w:sz w:val="18"/>
          <w:szCs w:val="18"/>
          <w:color w:val="auto"/>
        </w:rPr>
        <w:t>. Our website address listed in the prior sentence and below is intended to be an inactive, textual reference only. None of the materials on, or accessible through, our website is part of this report or is incorporated by reference herein.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Times New Roman" w:cs="Times New Roman" w:eastAsia="Times New Roman" w:hAnsi="Times New Roman"/>
          <w:sz w:val="18"/>
          <w:szCs w:val="18"/>
          <w:i w:val="1"/>
          <w:iCs w:val="1"/>
          <w:color w:val="auto"/>
        </w:rPr>
        <w:t>www.incyte.com</w:t>
      </w:r>
      <w:r>
        <w:rPr>
          <w:rFonts w:ascii="Times New Roman" w:cs="Times New Roman" w:eastAsia="Times New Roman" w:hAnsi="Times New Roman"/>
          <w:sz w:val="18"/>
          <w:szCs w:val="18"/>
          <w:color w:val="auto"/>
        </w:rPr>
        <w:t xml:space="preserve"> within four business days following the date of such amendment or waiver.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our Policy on Insider Trading governing the purchase or sale of our securities by our officers, employees and members of the Board of Directors, as well as our contractors, consultants, secondees and temporary workers, that we believe is reasonably designed to promote compliance with insider trading laws, rules and regulations, and the listing standards of The Nasdaq Stock Market. A copy of our Policy on Insider Trading is filed as Exhibit 19.1 to this Annual Report on Form 10-K.</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our policies and practices on the timing of equity awards will be included in the Proxy Statement and is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appointed an Audit and Finance Committee of three directors, currently comprised of Mr. Paul J. Clancy, as Chairman, Dr. Jacqualyn A. Fouse and Dr. Edmund P. Harrigan. The Board of Directors has also determined that Mr. Clancy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“Compensation of Directors” and “Executive Compensation” contained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“Equity Compensation Plan Information” and “Security Ownership of Certain Beneficial Owners and Management” contained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“Ratification of Independent Registered Public Accounting Firm” contained in the Proxy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5"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Index to Consolidated Financial Statements of Incyte Corporation under Item 8 of Part II 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below. Each management contract or compensatory plan or arrangement required to be filed has been identified.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26"/>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3(i)</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gridSpan w:val="32"/>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Integrated copy of the Restated Certificate of Incorporation, as amended, of the Company (incorporated by reference to Exhibit 3(i) to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80" w:type="dxa"/>
            <w:vAlign w:val="bottom"/>
            <w:tcBorders>
              <w:top w:val="single" w:sz="8" w:color="0000EE"/>
            </w:tcBorders>
            <w:gridSpan w:val="31"/>
          </w:tcPr>
          <w:p>
            <w:pPr>
              <w:spacing w:after="0" w:line="182"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Company’s Annual Report on Form 10-K for the year ended December 31, 2009).</w:t>
              </w:r>
            </w:hyperlink>
          </w:p>
        </w:tc>
        <w:tc>
          <w:tcPr>
            <w:tcW w:w="40" w:type="dxa"/>
            <w:vAlign w:val="bottom"/>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3(ii)</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Bylaws of the Company, as amended as of July 27, 2023 (incorporated by reference to Exhibit 3.1 to the Company’s Quarterly Report on</w:t>
              </w:r>
            </w:hyperlink>
          </w:p>
        </w:tc>
        <w:tc>
          <w:tcPr>
            <w:tcW w:w="60" w:type="dxa"/>
            <w:vAlign w:val="bottom"/>
            <w:gridSpan w:val="2"/>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Form 10-Q for the quarter ended June 30, 2023).</w:t>
              </w:r>
            </w:hyperlink>
          </w:p>
        </w:tc>
        <w:tc>
          <w:tcPr>
            <w:tcW w:w="6460" w:type="dxa"/>
            <w:vAlign w:val="bottom"/>
            <w:gridSpan w:val="26"/>
          </w:tcPr>
          <w:p>
            <w:pPr>
              <w:spacing w:after="0"/>
              <w:rPr>
                <w:sz w:val="18"/>
                <w:szCs w:val="18"/>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Common Stock Certificate (incorporated by reference to the Exhibit 4.1 to the Company’s Annual Report on Form 10-K for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7"/>
              </w:rPr>
            </w:pPr>
            <w:hyperlink r:id="rId161">
              <w:r>
                <w:rPr>
                  <w:rFonts w:ascii="Times New Roman" w:cs="Times New Roman" w:eastAsia="Times New Roman" w:hAnsi="Times New Roman"/>
                  <w:sz w:val="18"/>
                  <w:szCs w:val="18"/>
                  <w:color w:val="0000EE"/>
                  <w:w w:val="97"/>
                </w:rPr>
                <w:t>year ended December 31, 2002).</w:t>
              </w:r>
            </w:hyperlink>
          </w:p>
        </w:tc>
        <w:tc>
          <w:tcPr>
            <w:tcW w:w="7500" w:type="dxa"/>
            <w:vAlign w:val="bottom"/>
            <w:tcBorders>
              <w:top w:val="single" w:sz="8" w:color="0000EE"/>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Description of Registrant’s Securities Registered under Section 12 of the Securities Exchange Act of 1934 (incorporated by reference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Exhibit 4.3 to the Company’s Annual Report on Form 10-K for the year ended December 31,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254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Incyte Corporation Amended and Restated 2010 Stock Incentive Plan, as amended on April 13, 2023 (incorporated by reference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6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Exhibit 10.1 to the Company’s Current Report on Form 8-K filed June 15, 2023).</w:t>
              </w:r>
            </w:hyperlink>
          </w:p>
        </w:tc>
        <w:tc>
          <w:tcPr>
            <w:tcW w:w="350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Global Stock Option Agreement for Executive Officers under the Incyte Corporation Amended and Restated 2010 Stock</w:t>
              </w:r>
            </w:hyperlink>
          </w:p>
        </w:tc>
        <w:tc>
          <w:tcPr>
            <w:tcW w:w="620" w:type="dxa"/>
            <w:vAlign w:val="bottom"/>
            <w:gridSpan w:val="18"/>
          </w:tcPr>
          <w:p>
            <w:pPr>
              <w:spacing w:after="0"/>
              <w:rPr>
                <w:sz w:val="21"/>
                <w:szCs w:val="21"/>
                <w:color w:val="auto"/>
              </w:rPr>
            </w:pPr>
          </w:p>
        </w:tc>
      </w:t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Incentive Plan (incorporated by reference to Exhibit 10.1 to the Company's Quarterly Report on Form 10-Q for the quarter ended</w:t>
              </w:r>
            </w:hyperlink>
          </w:p>
        </w:tc>
        <w:tc>
          <w:tcPr>
            <w:tcW w:w="640" w:type="dxa"/>
            <w:vAlign w:val="bottom"/>
            <w:gridSpan w:val="19"/>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September 30,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Global Restricted Stock Unit Award Agreement under the Incyte Corporation Amended and Restated 2010 Stock Incentive Plan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6"/>
          </w:tcPr>
          <w:p>
            <w:pPr>
              <w:spacing w:after="0" w:line="182"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(incorporated by reference to Exhibit 10.2 to the Company's Quarterly Report on Form 10-Q for the quarter ended September 30, 2020).</w:t>
              </w:r>
            </w:hyperlink>
          </w:p>
        </w:tc>
        <w:tc>
          <w:tcPr>
            <w:tcW w:w="60" w:type="dxa"/>
            <w:vAlign w:val="bottom"/>
            <w:tcBorders>
              <w:top w:val="single" w:sz="8" w:color="0000EE"/>
            </w:tcBorders>
            <w:gridSpan w:val="3"/>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Form of Performance Share Award Agreement under the Incyte Corporation Amended and Restated 2010 Stock Incentive Plan</w:t>
              </w:r>
            </w:hyperlink>
          </w:p>
        </w:tc>
        <w:tc>
          <w:tcPr>
            <w:tcW w:w="820" w:type="dxa"/>
            <w:vAlign w:val="bottom"/>
            <w:gridSpan w:val="22"/>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80" w:type="dxa"/>
            <w:vAlign w:val="bottom"/>
            <w:tcBorders>
              <w:bottom w:val="single" w:sz="8" w:color="0000EE"/>
            </w:tcBorders>
            <w:gridSpan w:val="26"/>
          </w:tcPr>
          <w:p>
            <w:pPr>
              <w:spacing w:after="0" w:line="182"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(incorporated by reference to Exhibit 10.3 to the Company's Quarterly Report on Form 10-Q for the quarter ended September 30, 2020).</w:t>
              </w:r>
            </w:hyperlink>
          </w:p>
        </w:tc>
        <w:tc>
          <w:tcPr>
            <w:tcW w:w="140" w:type="dxa"/>
            <w:vAlign w:val="bottom"/>
            <w:gridSpan w:val="6"/>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Nonstatutory Stock Option Agreement for Outside Directors under the Incyte Corporation Amended and Restated 2010 Stock</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4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Incentive Plan (incorporated by reference to Exhibit 10.24 to the Company’s Annual Report on Form 10-K for the year ended December</w:t>
              </w:r>
            </w:hyperlink>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2" w:lineRule="exact"/>
              <w:rPr>
                <w:rFonts w:ascii="Times New Roman" w:cs="Times New Roman" w:eastAsia="Times New Roman" w:hAnsi="Times New Roman"/>
                <w:sz w:val="18"/>
                <w:szCs w:val="18"/>
                <w:color w:val="0000EE"/>
                <w:w w:val="89"/>
              </w:rPr>
            </w:pPr>
            <w:hyperlink r:id="rId167">
              <w:r>
                <w:rPr>
                  <w:rFonts w:ascii="Times New Roman" w:cs="Times New Roman" w:eastAsia="Times New Roman" w:hAnsi="Times New Roman"/>
                  <w:sz w:val="18"/>
                  <w:szCs w:val="18"/>
                  <w:color w:val="0000EE"/>
                  <w:w w:val="89"/>
                </w:rPr>
                <w:t>31, 2013).</w:t>
              </w:r>
            </w:hyperlink>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20" w:type="dxa"/>
            <w:vAlign w:val="bottom"/>
            <w:gridSpan w:val="32"/>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Form of Restricted Stock Unit Award Agreement for Outside Directors under the Incyte Corporation Amended and Restated 2010 Stock</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8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Incentive Plan (incorporated by reference to Exhibit 10.1 to the Company’s Quarterly Report on Form 10-Q for the quarter ended June</w:t>
              </w:r>
            </w:hyperlink>
          </w:p>
        </w:tc>
        <w:tc>
          <w:tcPr>
            <w:tcW w:w="4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89"/>
              </w:rPr>
            </w:pPr>
            <w:hyperlink r:id="rId168">
              <w:r>
                <w:rPr>
                  <w:rFonts w:ascii="Times New Roman" w:cs="Times New Roman" w:eastAsia="Times New Roman" w:hAnsi="Times New Roman"/>
                  <w:sz w:val="18"/>
                  <w:szCs w:val="18"/>
                  <w:color w:val="0000EE"/>
                  <w:w w:val="89"/>
                </w:rPr>
                <w:t>30, 2019).</w:t>
              </w:r>
            </w:hyperlink>
          </w:p>
        </w:tc>
        <w:tc>
          <w:tcPr>
            <w:tcW w:w="80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33"/>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U.S. Stock Option Agreement for Executive Officers under the Incyte Corporation Amended and Restated 2010 Stock Incentive</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EE"/>
            </w:tcBorders>
            <w:gridSpan w:val="29"/>
          </w:tcPr>
          <w:p>
            <w:pPr>
              <w:spacing w:after="0" w:line="15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Plan (incorporated by reference to Exhibit 10.1 to the Company's Quarterly Report on Form 10-Q for the quarter ended September 30,</w:t>
              </w:r>
            </w:hyperlink>
          </w:p>
        </w:tc>
        <w:tc>
          <w:tcPr>
            <w:tcW w:w="100" w:type="dxa"/>
            <w:vAlign w:val="bottom"/>
            <w:gridSpan w:val="4"/>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EE"/>
              <w:bottom w:val="single" w:sz="8" w:color="0000EE"/>
            </w:tcBorders>
            <w:gridSpan w:val="2"/>
          </w:tcPr>
          <w:p>
            <w:pPr>
              <w:spacing w:after="0" w:line="156" w:lineRule="exact"/>
              <w:rPr>
                <w:rFonts w:ascii="Times New Roman" w:cs="Times New Roman" w:eastAsia="Times New Roman" w:hAnsi="Times New Roman"/>
                <w:sz w:val="18"/>
                <w:szCs w:val="18"/>
                <w:color w:val="0000EE"/>
                <w:w w:val="94"/>
              </w:rPr>
            </w:pPr>
            <w:hyperlink r:id="rId169">
              <w:r>
                <w:rPr>
                  <w:rFonts w:ascii="Times New Roman" w:cs="Times New Roman" w:eastAsia="Times New Roman" w:hAnsi="Times New Roman"/>
                  <w:sz w:val="18"/>
                  <w:szCs w:val="18"/>
                  <w:color w:val="0000EE"/>
                  <w:w w:val="94"/>
                </w:rPr>
                <w:t>2024).</w:t>
              </w:r>
            </w:hyperlink>
          </w:p>
        </w:tc>
        <w:tc>
          <w:tcPr>
            <w:tcW w:w="28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10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40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33"/>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Form of U.S. Restricted Stock Unit Award Agreement under the Incyte Corporation Amended and Restated 2010 Stock Incentive Plan</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EE"/>
              <w:bottom w:val="single" w:sz="8" w:color="0000EE"/>
            </w:tcBorders>
            <w:gridSpan w:val="21"/>
          </w:tcPr>
          <w:p>
            <w:pPr>
              <w:spacing w:after="0" w:line="15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(incorporated by reference to Exhibit 10.2 to the Company's Quarterly Report on Form 10-Q for the quarter ended September 30, 2024)</w:t>
              </w:r>
            </w:hyperlink>
          </w:p>
        </w:tc>
        <w:tc>
          <w:tcPr>
            <w:tcW w:w="140" w:type="dxa"/>
            <w:vAlign w:val="bottom"/>
            <w:tcBorders>
              <w:bottom w:val="single" w:sz="8" w:color="0000EE"/>
            </w:tcBorders>
            <w:gridSpan w:val="5"/>
          </w:tcPr>
          <w:p>
            <w:pPr>
              <w:jc w:val="right"/>
              <w:ind w:right="20"/>
              <w:spacing w:after="0" w:line="15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w:t>
              </w:r>
            </w:hyperlink>
          </w:p>
        </w:tc>
        <w:tc>
          <w:tcPr>
            <w:tcW w:w="160" w:type="dxa"/>
            <w:vAlign w:val="bottom"/>
            <w:gridSpan w:val="7"/>
          </w:tcPr>
          <w:p>
            <w:pPr>
              <w:spacing w:after="0"/>
              <w:rPr>
                <w:sz w:val="13"/>
                <w:szCs w:val="13"/>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33"/>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u w:val="single" w:color="auto"/>
                  <w:color w:val="0000EE"/>
                </w:rPr>
                <w:t>Incyte</w:t>
              </w:r>
              <w:r>
                <w:rPr>
                  <w:rFonts w:ascii="Times New Roman" w:cs="Times New Roman" w:eastAsia="Times New Roman" w:hAnsi="Times New Roman"/>
                  <w:sz w:val="18"/>
                  <w:szCs w:val="18"/>
                  <w:color w:val="0000EE"/>
                </w:rPr>
                <w:t xml:space="preserve"> Corporation 2024 Inducement Stock Incentive Plan (incorporated by reference to Exhibit 99.1 to the Company's Registration</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top w:val="single" w:sz="8" w:color="0000EE"/>
            </w:tcBorders>
            <w:gridSpan w:val="17"/>
          </w:tcPr>
          <w:p>
            <w:pPr>
              <w:spacing w:after="0" w:line="15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Statement on Form S-8 (File No. 333-277043).</w:t>
              </w:r>
            </w:hyperlink>
          </w:p>
        </w:tc>
        <w:tc>
          <w:tcPr>
            <w:tcW w:w="6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Form of Global Nonstatutory Stock Option Agreement for Executive Officers under the Incyte Corporation 2024 Inducement Stock</w:t>
              </w:r>
            </w:hyperlink>
          </w:p>
        </w:tc>
        <w:tc>
          <w:tcPr>
            <w:tcW w:w="500" w:type="dxa"/>
            <w:vAlign w:val="bottom"/>
            <w:gridSpan w:val="16"/>
          </w:tcPr>
          <w:p>
            <w:pPr>
              <w:spacing w:after="0"/>
              <w:rPr>
                <w:sz w:val="19"/>
                <w:szCs w:val="19"/>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bottom w:val="single" w:sz="8" w:color="0000EE"/>
            </w:tcBorders>
            <w:gridSpan w:val="24"/>
          </w:tcPr>
          <w:p>
            <w:pPr>
              <w:spacing w:after="0" w:line="15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Incentive Plan (incorporated by reference to Exhibit 99.2 to the Company's Registration Statement on Form S-8 (File No. 333-277043).</w:t>
              </w:r>
            </w:hyperlink>
          </w:p>
        </w:tc>
        <w:tc>
          <w:tcPr>
            <w:tcW w:w="200" w:type="dxa"/>
            <w:vAlign w:val="bottom"/>
            <w:gridSpan w:val="9"/>
          </w:tcPr>
          <w:p>
            <w:pPr>
              <w:spacing w:after="0"/>
              <w:rPr>
                <w:sz w:val="13"/>
                <w:szCs w:val="13"/>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33"/>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Global Restricted Stock Unit Agreement under the Incyte Corporation 2024 Inducement Stock Incentive Plan (incorporated by</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top w:val="single" w:sz="8" w:color="0000EE"/>
              <w:bottom w:val="single" w:sz="8" w:color="0000EE"/>
            </w:tcBorders>
            <w:gridSpan w:val="10"/>
          </w:tcPr>
          <w:p>
            <w:pPr>
              <w:spacing w:after="0" w:line="15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reference to Exhibit 99.3 to the Company's Registration Statement on Form S-8 (File No. 333-277043).</w:t>
              </w:r>
            </w:hyperlink>
          </w:p>
        </w:tc>
        <w:tc>
          <w:tcPr>
            <w:tcW w:w="2320" w:type="dxa"/>
            <w:vAlign w:val="bottom"/>
            <w:tcBorders>
              <w:top w:val="single" w:sz="8" w:color="0000EE"/>
            </w:tcBorders>
            <w:gridSpan w:val="13"/>
          </w:tcPr>
          <w:p>
            <w:pPr>
              <w:spacing w:after="0"/>
              <w:rPr>
                <w:sz w:val="13"/>
                <w:szCs w:val="13"/>
                <w:color w:val="auto"/>
              </w:rPr>
            </w:pPr>
          </w:p>
        </w:tc>
        <w:tc>
          <w:tcPr>
            <w:tcW w:w="220" w:type="dxa"/>
            <w:vAlign w:val="bottom"/>
            <w:gridSpan w:val="10"/>
          </w:tcPr>
          <w:p>
            <w:pPr>
              <w:spacing w:after="0"/>
              <w:rPr>
                <w:sz w:val="13"/>
                <w:szCs w:val="13"/>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33"/>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Performance Share Award Agreement under the Incyte Corporation 2024 Inducement Stock Incentive Plan (incorporated by</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top w:val="single" w:sz="8" w:color="0000EE"/>
              <w:bottom w:val="single" w:sz="8" w:color="0000EE"/>
            </w:tcBorders>
            <w:gridSpan w:val="10"/>
          </w:tcPr>
          <w:p>
            <w:pPr>
              <w:spacing w:after="0" w:line="15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reference to Exhibit 99.4 to the Company's Registration Statement on Form S-8 (File No. 333-277043).</w:t>
              </w:r>
            </w:hyperlink>
          </w:p>
        </w:tc>
        <w:tc>
          <w:tcPr>
            <w:tcW w:w="2120" w:type="dxa"/>
            <w:vAlign w:val="bottom"/>
            <w:tcBorders>
              <w:top w:val="single" w:sz="8" w:color="0000EE"/>
            </w:tcBorders>
            <w:gridSpan w:val="9"/>
          </w:tcPr>
          <w:p>
            <w:pPr>
              <w:spacing w:after="0"/>
              <w:rPr>
                <w:sz w:val="13"/>
                <w:szCs w:val="13"/>
                <w:color w:val="auto"/>
              </w:rPr>
            </w:pPr>
          </w:p>
        </w:tc>
        <w:tc>
          <w:tcPr>
            <w:tcW w:w="420" w:type="dxa"/>
            <w:vAlign w:val="bottom"/>
            <w:gridSpan w:val="14"/>
          </w:tcPr>
          <w:p>
            <w:pPr>
              <w:spacing w:after="0"/>
              <w:rPr>
                <w:sz w:val="13"/>
                <w:szCs w:val="13"/>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Form of U.S. Nonstatutory Stock Option Agreement for Executive Officers under the Incyte Corporation 2024 Inducement Stock</w:t>
              </w:r>
            </w:hyperlink>
          </w:p>
        </w:tc>
        <w:tc>
          <w:tcPr>
            <w:tcW w:w="660" w:type="dxa"/>
            <w:vAlign w:val="bottom"/>
            <w:gridSpan w:val="20"/>
          </w:tcPr>
          <w:p>
            <w:pPr>
              <w:spacing w:after="0"/>
              <w:rPr>
                <w:sz w:val="19"/>
                <w:szCs w:val="19"/>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13"/>
          </w:tcPr>
          <w:p>
            <w:pPr>
              <w:spacing w:after="0" w:line="15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Incentive Plan (incorporated by reference to Exhibit 10.3 to the Company's Quarterly Report on Form 10-Q for the quarter ended</w:t>
              </w:r>
            </w:hyperlink>
          </w:p>
        </w:tc>
        <w:tc>
          <w:tcPr>
            <w:tcW w:w="660" w:type="dxa"/>
            <w:vAlign w:val="bottom"/>
            <w:gridSpan w:val="20"/>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EE"/>
            </w:tcBorders>
            <w:gridSpan w:val="12"/>
          </w:tcPr>
          <w:p>
            <w:pPr>
              <w:spacing w:after="0" w:line="156"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September </w:t>
            </w:r>
            <w:hyperlink r:id="rId175">
              <w:r>
                <w:rPr>
                  <w:rFonts w:ascii="Times New Roman" w:cs="Times New Roman" w:eastAsia="Times New Roman" w:hAnsi="Times New Roman"/>
                  <w:sz w:val="18"/>
                  <w:szCs w:val="18"/>
                  <w:color w:val="0000EE"/>
                </w:rPr>
                <w:t>30, 2024).</w:t>
              </w:r>
            </w:hyperlink>
          </w:p>
        </w:tc>
        <w:tc>
          <w:tcPr>
            <w:tcW w:w="680" w:type="dxa"/>
            <w:vAlign w:val="bottom"/>
            <w:gridSpan w:val="21"/>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8440" w:type="dxa"/>
            <w:vAlign w:val="bottom"/>
            <w:gridSpan w:val="29"/>
          </w:tcPr>
          <w:p>
            <w:pPr>
              <w:spacing w:after="0" w:line="20" w:lineRule="exact"/>
              <w:rPr>
                <w:sz w:val="1"/>
                <w:szCs w:val="1"/>
                <w:color w:val="auto"/>
              </w:rPr>
            </w:pPr>
          </w:p>
        </w:tc>
      </w:tr>
      <w:tr>
        <w:trPr>
          <w:trHeight w:val="225"/>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33"/>
          </w:tcPr>
          <w:p>
            <w:pPr>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Form of U.S. Restricted Stock Unit Award Agreement for Executive Officers under the Incyte Corporation 2024 Inducement Stock</w:t>
              </w:r>
            </w:hyperlink>
          </w:p>
        </w:tc>
      </w:tr>
    </w:tbl>
    <w:p>
      <w:pPr>
        <w:ind w:left="1260" w:right="680"/>
        <w:spacing w:after="0" w:line="226" w:lineRule="auto"/>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Incentive Plan (incorporated by reference to Exhibit 10.4 to the Company's Quarterly Report on Form 10-Q for the quarter ended</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September 30, 2024).</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860" w:type="dxa"/>
            <w:vAlign w:val="bottom"/>
            <w:gridSpan w:val="3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5"/>
        </w:trPr>
        <w:tc>
          <w:tcPr>
            <w:tcW w:w="11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38"/>
          </w:tcPr>
          <w:p>
            <w:pPr>
              <w:spacing w:after="0" w:line="205" w:lineRule="exact"/>
              <w:rPr>
                <w:sz w:val="20"/>
                <w:szCs w:val="20"/>
                <w:color w:val="auto"/>
              </w:rPr>
            </w:pPr>
            <w:r>
              <w:rPr>
                <w:rFonts w:ascii="Times New Roman" w:cs="Times New Roman" w:eastAsia="Times New Roman" w:hAnsi="Times New Roman"/>
                <w:sz w:val="18"/>
                <w:szCs w:val="18"/>
                <w:color w:val="auto"/>
              </w:rPr>
              <w:t>Form of Indemnity Agreement between the Company and its directors and officers (incorporated by reference to Exhibit 10.5 to the</w:t>
            </w: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Company’s Registration Statement on Form S-1 (File No. 33 68138)).</w:t>
            </w:r>
          </w:p>
        </w:tc>
      </w:tr>
      <w:tr>
        <w:trPr>
          <w:trHeight w:val="21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1997 Employee Stock Purchase Plan of Incyte Corporation, as amended on April 13, 2023 (incorporated by reference to Exhibit 10.2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the Company’s Current Report on Form 8-K filed June 15, 2023).</w:t>
              </w:r>
            </w:hyperlink>
          </w:p>
        </w:tc>
        <w:tc>
          <w:tcPr>
            <w:tcW w:w="506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Form of Employment Agreement between the Company and Barry P. Flannelly (effective as of August 11, 2014), Christiana Stamoulis</w:t>
              </w:r>
            </w:hyperlink>
          </w:p>
        </w:tc>
        <w:tc>
          <w:tcPr>
            <w:tcW w:w="280" w:type="dxa"/>
            <w:vAlign w:val="bottom"/>
            <w:gridSpan w:val="14"/>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38"/>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(effective as of February 11, 2019), Steven H. Stein (effective as of March 2, 2015), Vijay K. Iyengar (effective as of May 9, 2016), Pablo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37"/>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J. Cagnoni (effective as of June 7, 2023), Sheila A. Denton (effective as of October 2, 2023), Matteo Trotta (effective as of March 25,</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38"/>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2024)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Lee Heeson (effective as of October 1, 2024) and Mohamed Issa (effective as of January 6, 2025) (incorporated by reference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Exhibit 10.14 to the Company’s Annual Report on Form 10-K for the year ended December 31,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Form of Amended and Restated Employment Agreement, effective as of April 18, 2012, between the Company and Paula J. Swain</w:t>
              </w:r>
            </w:hyperlink>
          </w:p>
        </w:tc>
        <w:tc>
          <w:tcPr>
            <w:tcW w:w="580" w:type="dxa"/>
            <w:vAlign w:val="bottom"/>
            <w:gridSpan w:val="23"/>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bottom w:val="single" w:sz="8" w:color="0000EE"/>
            </w:tcBorders>
            <w:gridSpan w:val="18"/>
          </w:tcPr>
          <w:p>
            <w:pPr>
              <w:spacing w:after="0" w:line="182"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(incorporated by reference to Exhibit 10.14 to the Company’s Quarterly Report on Form 10-Q for the quarter ended March 31, 2012).</w:t>
              </w:r>
            </w:hyperlink>
          </w:p>
        </w:tc>
        <w:tc>
          <w:tcPr>
            <w:tcW w:w="400" w:type="dxa"/>
            <w:vAlign w:val="bottom"/>
            <w:gridSpan w:val="20"/>
          </w:tcPr>
          <w:p>
            <w:pPr>
              <w:spacing w:after="0"/>
              <w:rPr>
                <w:sz w:val="15"/>
                <w:szCs w:val="15"/>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gridSpan w:val="3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Offer of Employment Letter, dated December 14, 2018, from the Company to Christiana Stamoulis (incorporated by reference to Exhibit</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Quarterly Report on Form 10-Q for the quarter ended March 31, 2019).</w:t>
              </w:r>
            </w:hyperlink>
          </w:p>
        </w:tc>
        <w:tc>
          <w:tcPr>
            <w:tcW w:w="30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Amended and Restated Employment Agreement between the Company and Hervé Hoppenot, dated as of October 25, 2019 (incorporated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EE"/>
            </w:tcBorders>
            <w:gridSpan w:val="32"/>
          </w:tcPr>
          <w:p>
            <w:pPr>
              <w:spacing w:after="0" w:line="182"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by reference to Exhibit 10.3 to the Company’s Quarterly Report on Form 10-Q for the quarter ended September 30,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Offer of Employment Letter, dated April 21, 2023, from the Company to Pablo J. Cagnoni (incorporated by reference to Exhibit 10.1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the Company’s Quarterly Report on Form 10-Q for the quarter ended June 30,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Collaboration and License Agreement entered into as of November 24, 2009, by and between the Company and Novartis International</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Pharmaceutical Ltd. (incorporated by reference to Exhibit 10.1 to the Company’s Quarterly Report on Form 10-Q for the quarter ended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4"/>
          </w:tcPr>
          <w:p>
            <w:pPr>
              <w:spacing w:after="0" w:line="182"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September 30, 2019).</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10.22.1†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Amendment, dated as of April 5, 2016, to Collaboration and License Agreement entered into as of November 24, 2009, by and between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the Company and Novartis International Pharmaceutical Ltd. (incorporated by reference to Exhibit 10.1.1 to the Company’s Quarterly</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Report on Form 10-Q for the quarter ended September 30, 2019).</w:t>
              </w:r>
            </w:hyperlink>
          </w:p>
        </w:tc>
        <w:tc>
          <w:tcPr>
            <w:tcW w:w="4940" w:type="dxa"/>
            <w:vAlign w:val="bottom"/>
            <w:tcBorders>
              <w:top w:val="single" w:sz="8" w:color="0000EE"/>
            </w:tcBorders>
            <w:gridSpan w:val="1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Amendment, dated as of March 20, 2020, to the Collaboration and License Agreement entered into as of November 24, 2009, by and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between the Company and Novartis International Pharmaceutical Ltd. (incorporated by reference to Exhibit 10.2 to the Company’s</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Quarterly Report on Form 10-Q for the quarter ended March 31, 2020).</w:t>
              </w:r>
            </w:hyperlink>
          </w:p>
        </w:tc>
        <w:tc>
          <w:tcPr>
            <w:tcW w:w="4280" w:type="dxa"/>
            <w:vAlign w:val="bottom"/>
            <w:tcBorders>
              <w:top w:val="single" w:sz="8" w:color="0000EE"/>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1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License, Development and Commercialization Agreement, entered into as of December 18, 2009, by and between the Company and Eli</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EE"/>
            </w:tcBorders>
            <w:gridSpan w:val="28"/>
          </w:tcPr>
          <w:p>
            <w:pPr>
              <w:spacing w:after="0" w:line="182"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Lilly and Company (incorporated by reference to Exhibit 10.2 to the Company’s Quarterly Report on Form 10-Q for the quarter ended</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September 30, 2019).</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Amendment, dated June 22, 2010, to License, Development and Commercialization Agreement entered into as of December 18, 2009, by</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EE"/>
            </w:tcBorders>
            <w:gridSpan w:val="36"/>
          </w:tcPr>
          <w:p>
            <w:pPr>
              <w:spacing w:after="0" w:line="182"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and between the Company and Eli Lilly and Company (incorporated by reference to Exhibit 10.2.1 to the Company’s Quarterly Report</w:t>
              </w:r>
            </w:hyperlink>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on Form 10-Q for the quarter ended September 30, 2019).</w:t>
              </w:r>
            </w:hyperlink>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Third Amendment, entered into effective March 31, 2016, to License, Development and Commercialization Agreement entered into as of</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EE"/>
            </w:tcBorders>
            <w:gridSpan w:val="35"/>
          </w:tcPr>
          <w:p>
            <w:pPr>
              <w:spacing w:after="0" w:line="182"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December 18, 2009, by and between the Company and Eli Lilly and Company (incorporated by reference to Exhibit 10.2.2 to the</w:t>
              </w:r>
            </w:hyperlink>
          </w:p>
        </w:tc>
        <w:tc>
          <w:tcPr>
            <w:tcW w:w="6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Company’s Quarterly Report on Form 10-Q for the quarter ended September 30, 2019).</w:t>
              </w:r>
            </w:hyperlink>
          </w:p>
        </w:tc>
        <w:tc>
          <w:tcPr>
            <w:tcW w:w="3000" w:type="dxa"/>
            <w:vAlign w:val="bottom"/>
            <w:tcBorders>
              <w:top w:val="single" w:sz="8" w:color="0000EE"/>
            </w:tcBorders>
            <w:gridSpan w:val="6"/>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gridSpan w:val="11"/>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 .3†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Fourth Amendment, entered into effective December 13, 2016, to License, Development and Commercialization Agreement entered into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EE"/>
            </w:tcBorders>
            <w:gridSpan w:val="31"/>
          </w:tcPr>
          <w:p>
            <w:pPr>
              <w:spacing w:after="0" w:line="182"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as of December 18, 2009, by and between the Company and Eli Lilly and Company (incorporated by reference to Exhibit 10.21.4 to</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Amendment No. 2 on Form 10-K/A to the Company’s Annual Report on Form 10-K for the year ended December 31, 2016).</w:t>
              </w:r>
            </w:hyperlink>
          </w:p>
        </w:tc>
        <w:tc>
          <w:tcPr>
            <w:tcW w:w="520" w:type="dxa"/>
            <w:vAlign w:val="bottom"/>
            <w:tcBorders>
              <w:top w:val="single" w:sz="8" w:color="0000EE"/>
            </w:tcBorders>
            <w:gridSpan w:val="4"/>
          </w:tcPr>
          <w:p>
            <w:pPr>
              <w:spacing w:after="0"/>
              <w:rPr>
                <w:sz w:val="15"/>
                <w:szCs w:val="15"/>
                <w:color w:val="auto"/>
              </w:rPr>
            </w:pPr>
          </w:p>
        </w:tc>
        <w:tc>
          <w:tcPr>
            <w:tcW w:w="280" w:type="dxa"/>
            <w:vAlign w:val="bottom"/>
            <w:gridSpan w:val="11"/>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38"/>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Letter Agreement, dated May 13, 2020, between the Company and Eli Lilly and Company, together with related Letter of Understanding,</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27"/>
          </w:tcPr>
          <w:p>
            <w:pPr>
              <w:spacing w:after="0" w:line="182"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dated March 5, 2020, between the Company and Eli Lilly and Company, each relating to License, Development and Commercialization</w:t>
              </w:r>
            </w:hyperlink>
          </w:p>
        </w:tc>
        <w:tc>
          <w:tcPr>
            <w:tcW w:w="140" w:type="dxa"/>
            <w:vAlign w:val="bottom"/>
            <w:tcBorders>
              <w:top w:val="single" w:sz="8" w:color="0000EE"/>
            </w:tcBorders>
            <w:gridSpan w:val="7"/>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EE"/>
            </w:tcBorders>
            <w:gridSpan w:val="33"/>
          </w:tcPr>
          <w:p>
            <w:pPr>
              <w:spacing w:after="0" w:line="182"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Agreement entered into as of December 18, 2009 by and between the Company and Eli Lilly and Company (incorporated by reference to</w:t>
              </w:r>
            </w:hyperlink>
          </w:p>
        </w:tc>
        <w:tc>
          <w:tcPr>
            <w:tcW w:w="100" w:type="dxa"/>
            <w:vAlign w:val="bottom"/>
            <w:gridSpan w:val="5"/>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38"/>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Exhibit 10.1 to the Company’s Quarterly Report on Form 10-Q for the quarter ended June 30, 2020).</w:t>
              </w:r>
            </w:hyperlink>
          </w:p>
        </w:tc>
      </w:tr>
      <w:tr>
        <w:trPr>
          <w:trHeight w:val="938"/>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700" w:type="dxa"/>
            <w:vAlign w:val="bottom"/>
            <w:tcBorders>
              <w:top w:val="single" w:sz="8" w:color="0000EE"/>
            </w:tcBorders>
            <w:gridSpan w:val="3"/>
          </w:tcPr>
          <w:p>
            <w:pPr>
              <w:ind w:left="420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16"/>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Registration Rights Agreement, dated as of February 12, 2016, between the Company and 667, L.P., Baker Brothers Life Sciences, L.P.</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w w:val="97"/>
              </w:rPr>
            </w:pPr>
            <w:hyperlink r:id="rId194">
              <w:r>
                <w:rPr>
                  <w:rFonts w:ascii="Times New Roman" w:cs="Times New Roman" w:eastAsia="Times New Roman" w:hAnsi="Times New Roman"/>
                  <w:sz w:val="18"/>
                  <w:szCs w:val="18"/>
                  <w:color w:val="0000EE"/>
                  <w:w w:val="97"/>
                </w:rPr>
                <w:t>and 14159, L.P. (incorporated by reference to Exhibit 10.28 to the Company’s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194">
              <w:r>
                <w:rPr>
                  <w:rFonts w:ascii="Times New Roman" w:cs="Times New Roman" w:eastAsia="Times New Roman" w:hAnsi="Times New Roman"/>
                  <w:sz w:val="18"/>
                  <w:szCs w:val="18"/>
                  <w:color w:val="0000EE"/>
                  <w:w w:val="95"/>
                </w:rPr>
                <w:t>31, 2015).</w:t>
              </w:r>
            </w:hyperlink>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19"/>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Revolving Credit and Guaranty Agreement, dated as of August 18, 2021, among the Company, the guarantors party thereto, the lenders</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party thereto, and JPMorgan Chase Bank, N.A., as Administrative Agent (incorporated by reference to Exhibit 10.1 to the Company’s</w:t>
              </w:r>
            </w:hyperlink>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Quarterly Report on Form 10-Q for the quarter ended September 30, 2021).</w:t>
              </w:r>
            </w:hyperlink>
          </w:p>
        </w:tc>
        <w:tc>
          <w:tcPr>
            <w:tcW w:w="4180" w:type="dxa"/>
            <w:vAlign w:val="bottom"/>
            <w:tcBorders>
              <w:top w:val="single" w:sz="8" w:color="0000EE"/>
            </w:tcBorders>
            <w:gridSpan w:val="9"/>
          </w:tcPr>
          <w:p>
            <w:pPr>
              <w:spacing w:after="0"/>
              <w:rPr>
                <w:sz w:val="15"/>
                <w:szCs w:val="15"/>
                <w:color w:val="auto"/>
              </w:rPr>
            </w:pPr>
          </w:p>
        </w:tc>
        <w:tc>
          <w:tcPr>
            <w:tcW w:w="3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Amendment No. 1, dated as of May 10, 2023, to Revolving Credit and Guaranty Agreement dated as of August 18, 2021, among the</w:t>
              </w:r>
            </w:hyperlink>
          </w:p>
        </w:tc>
        <w:tc>
          <w:tcPr>
            <w:tcW w:w="420" w:type="dxa"/>
            <w:vAlign w:val="bottom"/>
            <w:gridSpan w:val="5"/>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19"/>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Company, the guarantors party thereto, the lenders party thereto, and JPMorgan Chase Bank, N.A., as Administrative Agent.</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6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by reference to Exhibit 10.3 to the Company’s Quarterly Report on Form 10-Q for the quarter ended June 30,</w:t>
              </w:r>
            </w:hyperlink>
          </w:p>
        </w:tc>
        <w:tc>
          <w:tcPr>
            <w:tcW w:w="560" w:type="dxa"/>
            <w:vAlign w:val="bottom"/>
            <w:gridSpan w:val="2"/>
          </w:tcPr>
          <w:p>
            <w:pPr>
              <w:jc w:val="right"/>
              <w:ind w:right="140"/>
              <w:spacing w:after="0" w:line="182" w:lineRule="exact"/>
              <w:rPr>
                <w:rFonts w:ascii="Times New Roman" w:cs="Times New Roman" w:eastAsia="Times New Roman" w:hAnsi="Times New Roman"/>
                <w:sz w:val="18"/>
                <w:szCs w:val="18"/>
                <w:color w:val="0000FF"/>
                <w:w w:val="85"/>
              </w:rPr>
            </w:pPr>
            <w:hyperlink r:id="rId196">
              <w:r>
                <w:rPr>
                  <w:rFonts w:ascii="Times New Roman" w:cs="Times New Roman" w:eastAsia="Times New Roman" w:hAnsi="Times New Roman"/>
                  <w:sz w:val="18"/>
                  <w:szCs w:val="18"/>
                  <w:color w:val="0000FF"/>
                  <w:w w:val="85"/>
                </w:rPr>
                <w:t>2023).</w:t>
              </w:r>
            </w:hyperlink>
          </w:p>
        </w:tc>
        <w:tc>
          <w:tcPr>
            <w:tcW w:w="4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Amendment No. 2, dated as of June 28, 2024, to Revolving Credit and Guaranty Agreement dated as of August 18, 2021, among the</w:t>
              </w:r>
            </w:hyperlink>
          </w:p>
        </w:tc>
        <w:tc>
          <w:tcPr>
            <w:tcW w:w="440" w:type="dxa"/>
            <w:vAlign w:val="bottom"/>
            <w:gridSpan w:val="6"/>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0"/>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Company, the guarantors party thereto, the lenders party thereto, and JPMorgan Chase Bank, N.A., as Administrative Agent (incorporated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6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by reference to Exhibit 10.1 to the Company's Quarterly Report on Form 10-Q for the quarter ended June 30, 2024).</w:t>
              </w:r>
            </w:hyperlink>
          </w:p>
        </w:tc>
        <w:tc>
          <w:tcPr>
            <w:tcW w:w="158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Policy on insider trading.</w:t>
            </w:r>
          </w:p>
        </w:tc>
        <w:tc>
          <w:tcPr>
            <w:tcW w:w="8140" w:type="dxa"/>
            <w:vAlign w:val="bottom"/>
            <w:gridSpan w:val="17"/>
          </w:tcPr>
          <w:p>
            <w:pPr>
              <w:spacing w:after="0"/>
              <w:rPr>
                <w:sz w:val="21"/>
                <w:szCs w:val="21"/>
                <w:color w:val="auto"/>
              </w:rPr>
            </w:pP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c>
          <w:tcPr>
            <w:tcW w:w="4080" w:type="dxa"/>
            <w:vAlign w:val="bottom"/>
            <w:gridSpan w:val="12"/>
          </w:tcPr>
          <w:p>
            <w:pPr>
              <w:spacing w:after="0"/>
              <w:rPr>
                <w:sz w:val="20"/>
                <w:szCs w:val="20"/>
                <w:color w:val="auto"/>
              </w:rPr>
            </w:pPr>
          </w:p>
        </w:tc>
      </w:tr>
      <w:tr>
        <w:trPr>
          <w:trHeight w:val="27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to this Annual Report on Form 10-K).</w:t>
            </w:r>
          </w:p>
        </w:tc>
      </w:tr>
      <w:tr>
        <w:trPr>
          <w:trHeight w:val="21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Rule 13a 14(a) Certification of the Chief Executive Officer.</w:t>
            </w: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Rule 13a 14(a) Certification of the Chief Financial Officer.</w:t>
            </w:r>
          </w:p>
        </w:tc>
        <w:tc>
          <w:tcPr>
            <w:tcW w:w="40" w:type="dxa"/>
            <w:vAlign w:val="bottom"/>
            <w:tcBorders>
              <w:top w:val="single" w:sz="8" w:color="0000EE"/>
            </w:tcBorders>
          </w:tcPr>
          <w:p>
            <w:pPr>
              <w:spacing w:after="0"/>
              <w:rPr>
                <w:sz w:val="20"/>
                <w:szCs w:val="20"/>
                <w:color w:val="auto"/>
              </w:rPr>
            </w:pPr>
          </w:p>
        </w:tc>
        <w:tc>
          <w:tcPr>
            <w:tcW w:w="5680" w:type="dxa"/>
            <w:vAlign w:val="bottom"/>
            <w:gridSpan w:val="14"/>
          </w:tcPr>
          <w:p>
            <w:pPr>
              <w:spacing w:after="0"/>
              <w:rPr>
                <w:sz w:val="20"/>
                <w:szCs w:val="20"/>
                <w:color w:val="auto"/>
              </w:rPr>
            </w:pP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 Oxley Act of 2002 (18 U.S.C Section 1350).</w:t>
            </w: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Statement of the Chief Financial Officer under Section 906 of the Sarbanes Oxley Act of 2002 (18 U.S.C Section 1350).</w:t>
            </w:r>
          </w:p>
        </w:tc>
        <w:tc>
          <w:tcPr>
            <w:tcW w:w="40" w:type="dxa"/>
            <w:vAlign w:val="bottom"/>
            <w:tcBorders>
              <w:top w:val="single" w:sz="8" w:color="0000EE"/>
            </w:tcBorders>
          </w:tcPr>
          <w:p>
            <w:pPr>
              <w:spacing w:after="0"/>
              <w:rPr>
                <w:sz w:val="20"/>
                <w:szCs w:val="20"/>
                <w:color w:val="auto"/>
              </w:rPr>
            </w:pPr>
          </w:p>
        </w:tc>
        <w:tc>
          <w:tcPr>
            <w:tcW w:w="1260" w:type="dxa"/>
            <w:vAlign w:val="bottom"/>
            <w:gridSpan w:val="9"/>
          </w:tcPr>
          <w:p>
            <w:pPr>
              <w:spacing w:after="0"/>
              <w:rPr>
                <w:sz w:val="20"/>
                <w:szCs w:val="20"/>
                <w:color w:val="auto"/>
              </w:rPr>
            </w:pPr>
          </w:p>
        </w:tc>
      </w:tr>
    </w:tbl>
    <w:p>
      <w:pPr>
        <w:spacing w:after="0" w:line="49" w:lineRule="exact"/>
        <w:rPr>
          <w:sz w:val="20"/>
          <w:szCs w:val="20"/>
          <w:color w:val="auto"/>
        </w:rPr>
      </w:pPr>
    </w:p>
    <w:p>
      <w:pPr>
        <w:ind w:left="1280" w:right="480" w:hanging="1237"/>
        <w:spacing w:after="0" w:line="266" w:lineRule="auto"/>
        <w:tabs>
          <w:tab w:leader="none" w:pos="1280" w:val="left"/>
        </w:tabs>
        <w:numPr>
          <w:ilvl w:val="0"/>
          <w:numId w:val="36"/>
        </w:numPr>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Incyte Corporation Policy for Recoupment of Erroneously Awarded Compensation (incorporated by reference to Exhibit 97.1 to the</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Company's Amended Annual Report on Form 10-K/A for the year ended December 31, 2023 filed February 16, 2024).</w:t>
        </w:r>
      </w:hyperlink>
    </w:p>
    <w:p>
      <w:pPr>
        <w:spacing w:after="0" w:line="14" w:lineRule="exact"/>
        <w:rPr>
          <w:rFonts w:ascii="Times New Roman" w:cs="Times New Roman" w:eastAsia="Times New Roman" w:hAnsi="Times New Roman"/>
          <w:sz w:val="18"/>
          <w:szCs w:val="18"/>
          <w:color w:val="auto"/>
        </w:rPr>
      </w:pPr>
    </w:p>
    <w:p>
      <w:pPr>
        <w:ind w:left="1280" w:right="400" w:hanging="1237"/>
        <w:spacing w:after="0" w:line="266"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 the instance document does not appear in the Interactive Data File because its XBRL tags are embedded within the Inline XBRL document</w:t>
      </w:r>
    </w:p>
    <w:p>
      <w:pPr>
        <w:sectPr>
          <w:pgSz w:w="11900" w:h="16838" w:orient="portrait"/>
          <w:cols w:equalWidth="0" w:num="1">
            <w:col w:w="11240"/>
          </w:cols>
          <w:pgMar w:left="320" w:top="513"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Instance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740" w:space="540"/>
            <w:col w:w="9960"/>
          </w:cols>
          <w:pgMar w:left="320" w:top="51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800" w:space="480"/>
            <w:col w:w="9960"/>
          </w:cols>
          <w:pgMar w:left="320" w:top="51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800" w:space="480"/>
            <w:col w:w="9960"/>
          </w:cols>
          <w:pgMar w:left="320" w:top="51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800" w:space="480"/>
            <w:col w:w="9960"/>
          </w:cols>
          <w:pgMar w:left="320" w:top="51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780" w:space="500"/>
            <w:col w:w="9960"/>
          </w:cols>
          <w:pgMar w:left="320" w:top="51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Definition Linkbase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780" w:space="500"/>
            <w:col w:w="9960"/>
          </w:cols>
          <w:pgMar w:left="320" w:top="513" w:right="339" w:bottom="1440" w:gutter="0" w:footer="0" w:header="0"/>
          <w:type w:val="continuous"/>
        </w:sectPr>
      </w:pPr>
    </w:p>
    <w:p>
      <w:pPr>
        <w:ind w:left="1260" w:hanging="1217"/>
        <w:spacing w:after="0"/>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jc w:val="both"/>
        <w:ind w:left="820" w:right="20" w:hanging="794"/>
        <w:spacing w:after="0" w:line="246"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-1064260</wp:posOffset>
            </wp:positionV>
            <wp:extent cx="19970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820" w:hanging="794"/>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these agreements.</w:t>
      </w:r>
    </w:p>
    <w:p>
      <w:pPr>
        <w:spacing w:after="0" w:line="50" w:lineRule="exact"/>
        <w:rPr>
          <w:rFonts w:ascii="Times New Roman" w:cs="Times New Roman" w:eastAsia="Times New Roman" w:hAnsi="Times New Roman"/>
          <w:sz w:val="18"/>
          <w:szCs w:val="18"/>
          <w:color w:val="auto"/>
        </w:rPr>
      </w:pPr>
    </w:p>
    <w:p>
      <w:pPr>
        <w:ind w:left="820" w:hanging="79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50" w:lineRule="exact"/>
        <w:rPr>
          <w:rFonts w:ascii="Times New Roman" w:cs="Times New Roman" w:eastAsia="Times New Roman" w:hAnsi="Times New Roman"/>
          <w:sz w:val="18"/>
          <w:szCs w:val="18"/>
          <w:color w:val="auto"/>
        </w:rPr>
      </w:pPr>
    </w:p>
    <w:p>
      <w:pPr>
        <w:ind w:left="820" w:hanging="79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Copies of above exhibits not contained herein are available to any stockholder upon written request to: Investor Relations, Incyte Corporation, 1801 Augustine Cut-Off, Wilmington, DE 19803.</w:t>
      </w:r>
    </w:p>
    <w:p>
      <w:pPr>
        <w:spacing w:after="0" w:line="158" w:lineRule="exact"/>
        <w:rPr>
          <w:sz w:val="20"/>
          <w:szCs w:val="20"/>
          <w:color w:val="auto"/>
        </w:rPr>
      </w:pPr>
    </w:p>
    <w:p>
      <w:pPr>
        <w:ind w:left="660" w:right="7540" w:hanging="652"/>
        <w:spacing w:after="0" w:line="530" w:lineRule="auto"/>
        <w:tabs>
          <w:tab w:leader="none" w:pos="392"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and Schedules </w:t>
      </w:r>
      <w:r>
        <w:rPr>
          <w:rFonts w:ascii="Times New Roman" w:cs="Times New Roman" w:eastAsia="Times New Roman" w:hAnsi="Times New Roman"/>
          <w:sz w:val="17"/>
          <w:szCs w:val="17"/>
          <w:color w:val="auto"/>
        </w:rPr>
        <w:t>Reference is made to Item 15(a)(2)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INCYTE CORPORATION</w:t>
      </w:r>
    </w:p>
    <w:p>
      <w:pPr>
        <w:spacing w:after="0" w:line="50"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2"/>
          <w:szCs w:val="12"/>
          <w:color w:val="auto"/>
        </w:rPr>
        <w:t>ERVÉ</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0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Hervé Hoppenot, Christiana Stamoulis, and Sheila Denton, and each of them, his or her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500" w:type="dxa"/>
            <w:vAlign w:val="bottom"/>
            <w:gridSpan w:val="2"/>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353"/>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 and</w:t>
            </w:r>
          </w:p>
        </w:tc>
        <w:tc>
          <w:tcPr>
            <w:tcW w:w="2480" w:type="dxa"/>
            <w:vAlign w:val="bottom"/>
          </w:tcPr>
          <w:p>
            <w:pPr>
              <w:spacing w:after="0"/>
              <w:rPr>
                <w:sz w:val="24"/>
                <w:szCs w:val="24"/>
                <w:color w:val="auto"/>
              </w:rPr>
            </w:pPr>
          </w:p>
        </w:tc>
      </w:tr>
      <w:tr>
        <w:trPr>
          <w:trHeight w:val="24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HERVÉ HOPPENOT</w:t>
            </w:r>
          </w:p>
        </w:tc>
        <w:tc>
          <w:tcPr>
            <w:tcW w:w="100" w:type="dxa"/>
            <w:vAlign w:val="bottom"/>
          </w:tcPr>
          <w:p>
            <w:pPr>
              <w:spacing w:after="0"/>
              <w:rPr>
                <w:sz w:val="21"/>
                <w:szCs w:val="21"/>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Chairman of the Board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7"/>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Hervé Hoppenot</w:t>
            </w:r>
          </w:p>
        </w:tc>
        <w:tc>
          <w:tcPr>
            <w:tcW w:w="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tc>
        <w:tc>
          <w:tcPr>
            <w:tcW w:w="2480" w:type="dxa"/>
            <w:vAlign w:val="bottom"/>
          </w:tcPr>
          <w:p>
            <w:pPr>
              <w:spacing w:after="0"/>
              <w:rPr>
                <w:sz w:val="24"/>
                <w:szCs w:val="24"/>
                <w:color w:val="auto"/>
              </w:rPr>
            </w:pPr>
          </w:p>
        </w:tc>
      </w:tr>
      <w:tr>
        <w:trPr>
          <w:trHeight w:val="2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CHRISTIANA STAMOULIS</w:t>
            </w:r>
          </w:p>
        </w:tc>
        <w:tc>
          <w:tcPr>
            <w:tcW w:w="100" w:type="dxa"/>
            <w:vAlign w:val="bottom"/>
          </w:tcPr>
          <w:p>
            <w:pPr>
              <w:spacing w:after="0"/>
              <w:rPr>
                <w:sz w:val="20"/>
                <w:szCs w:val="20"/>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Christiana Stamoulis</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3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 and Chief Accounting Officer (Principal Accounting</w:t>
            </w:r>
          </w:p>
        </w:tc>
        <w:tc>
          <w:tcPr>
            <w:tcW w:w="2480" w:type="dxa"/>
            <w:vAlign w:val="bottom"/>
          </w:tcPr>
          <w:p>
            <w:pPr>
              <w:spacing w:after="0"/>
              <w:rPr>
                <w:sz w:val="24"/>
                <w:szCs w:val="24"/>
                <w:color w:val="auto"/>
              </w:rPr>
            </w:pPr>
          </w:p>
        </w:tc>
      </w:tr>
      <w:tr>
        <w:trPr>
          <w:trHeight w:val="2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THOMAS TRAY</w:t>
            </w:r>
          </w:p>
        </w:tc>
        <w:tc>
          <w:tcPr>
            <w:tcW w:w="100" w:type="dxa"/>
            <w:vAlign w:val="bottom"/>
          </w:tcPr>
          <w:p>
            <w:pPr>
              <w:spacing w:after="0"/>
              <w:rPr>
                <w:sz w:val="20"/>
                <w:szCs w:val="20"/>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Tray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JULIAN C. BAKER</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Julian C. Baker</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JEAN-JACQUES BIENAIMÉ</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Jean-Jacques Bienaimé</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OTIS W. BRAWLEY</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Otis W. Brawley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PAUL J. CLANCY</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Paul J. Clancy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JACQUALYN A. FOUSE</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Jacqualyn A. Fouse</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EDMUND P. HARRIGAN</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Edmund P. Harrigan</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KATHERINE A. HIGH</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Katherine A. High</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SUSANNE SCHAFFERT</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Susanne Schaffert</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513" w:right="339" w:bottom="1440" w:gutter="0" w:footer="0" w:header="0"/>
          <w:type w:val="continuous"/>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Incyte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Policy on Insider Trading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purchase or sale of securities by persons who have Material Non-Public Information that is not generally known or available to the public is prohibited by U.S. federal and state securities laws. These laws also prohibit persons with Material Non-Public Information from disclosing this information to others who may trade. While regulatory authorities such as the U.S. SEC concentrate their efforts on the individuals who trade securities or who disclose inside information to others who trade, the U.S. federal securities laws also impose potential liability on companies and other “controlling persons” for Insider trading violations by personnel of Incyte Corporation (“Incyte” or the “Company”). Many other countries have similar laws regarding insider trading. Accordingly, this Policy on Insider Trading applies to all Incyte persons specified in Section 1.2 below regardless of their location, and even if the activities prohibited in the policy are not illegal in the country where that person is located.</w:t>
      </w:r>
    </w:p>
    <w:p>
      <w:pPr>
        <w:spacing w:after="0" w:line="161" w:lineRule="exact"/>
        <w:rPr>
          <w:sz w:val="20"/>
          <w:szCs w:val="20"/>
          <w:color w:val="auto"/>
        </w:rPr>
      </w:pPr>
    </w:p>
    <w:p>
      <w:pPr>
        <w:ind w:right="740"/>
        <w:spacing w:after="0" w:line="286" w:lineRule="auto"/>
        <w:rPr>
          <w:sz w:val="20"/>
          <w:szCs w:val="20"/>
          <w:color w:val="auto"/>
        </w:rPr>
      </w:pPr>
      <w:r>
        <w:rPr>
          <w:rFonts w:ascii="Arial" w:cs="Arial" w:eastAsia="Arial" w:hAnsi="Arial"/>
          <w:sz w:val="20"/>
          <w:szCs w:val="20"/>
          <w:color w:val="auto"/>
        </w:rPr>
        <w:t>If companies like ours do not take active steps to adopt preventive policies and procedures covering securities trades by Company personnel, the consequences could be severe.</w:t>
      </w:r>
    </w:p>
    <w:p>
      <w:pPr>
        <w:spacing w:after="0" w:line="154"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We have adopted this Policy on Insider Trading to comply with our legal obligations and also to avoid even the appearance of improper conduct on the part of anyone employed by or associated with our Company (not just so-called Insiders). We have all worked hard to establish our reputation for integrity and ethical conduct; we cannot afford to have it damaged.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This Policy on Insider Trading applies to all officers, employees, and members of the Board of Directors of the Company and its subsidiaries, including subsidiaries outside of the United States, as well as contractors, consultants, secondees and temporary workers of the Company and its subsidiaries. The Company may also determine that other persons who have access to Material Non-Public Information concerning the Company should be subject to this Policy.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ectPr>
          <w:pgSz w:w="11900" w:h="16838" w:orient="portrait"/>
          <w:cols w:equalWidth="0" w:num="1">
            <w:col w:w="11240"/>
          </w:cols>
          <w:pgMar w:left="320" w:top="122" w:right="3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93"/>
        </w:trPr>
        <w:tc>
          <w:tcPr>
            <w:tcW w:w="3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Insider</w:t>
            </w:r>
          </w:p>
        </w:tc>
        <w:tc>
          <w:tcPr>
            <w:tcW w:w="8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 person who possesses, or has access to, Material Non-Public Information concerning</w:t>
            </w:r>
          </w:p>
        </w:tc>
      </w:tr>
      <w:tr>
        <w:trPr>
          <w:trHeight w:val="270"/>
        </w:trPr>
        <w:tc>
          <w:tcPr>
            <w:tcW w:w="3220" w:type="dxa"/>
            <w:vAlign w:val="bottom"/>
            <w:tcBorders>
              <w:left w:val="single" w:sz="8" w:color="auto"/>
              <w:right w:val="single" w:sz="8" w:color="auto"/>
            </w:tcBorders>
          </w:tcPr>
          <w:p>
            <w:pPr>
              <w:spacing w:after="0"/>
              <w:rPr>
                <w:sz w:val="23"/>
                <w:szCs w:val="23"/>
                <w:color w:val="auto"/>
              </w:rPr>
            </w:pP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Incyte.</w:t>
            </w:r>
          </w:p>
        </w:tc>
      </w:tr>
      <w:tr>
        <w:trPr>
          <w:trHeight w:val="30"/>
        </w:trPr>
        <w:tc>
          <w:tcPr>
            <w:tcW w:w="3220" w:type="dxa"/>
            <w:vAlign w:val="bottom"/>
            <w:tcBorders>
              <w:left w:val="single" w:sz="8" w:color="auto"/>
              <w:bottom w:val="single" w:sz="8" w:color="8064A2"/>
              <w:right w:val="single" w:sz="8" w:color="auto"/>
            </w:tcBorders>
          </w:tcPr>
          <w:p>
            <w:pPr>
              <w:spacing w:after="0"/>
              <w:rPr>
                <w:sz w:val="2"/>
                <w:szCs w:val="2"/>
                <w:color w:val="auto"/>
              </w:rPr>
            </w:pPr>
          </w:p>
        </w:tc>
        <w:tc>
          <w:tcPr>
            <w:tcW w:w="8040" w:type="dxa"/>
            <w:vAlign w:val="bottom"/>
            <w:tcBorders>
              <w:bottom w:val="single" w:sz="8" w:color="8064A2"/>
              <w:right w:val="single" w:sz="8" w:color="auto"/>
            </w:tcBorders>
          </w:tcPr>
          <w:p>
            <w:pPr>
              <w:spacing w:after="0"/>
              <w:rPr>
                <w:sz w:val="2"/>
                <w:szCs w:val="2"/>
                <w:color w:val="auto"/>
              </w:rPr>
            </w:pPr>
          </w:p>
        </w:tc>
      </w:tr>
      <w:tr>
        <w:trPr>
          <w:trHeight w:val="274"/>
        </w:trPr>
        <w:tc>
          <w:tcPr>
            <w:tcW w:w="322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Material Information</w:t>
            </w: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Any information that a reasonable investor would consider important in a decision to buy,</w:t>
            </w:r>
          </w:p>
        </w:tc>
      </w:tr>
      <w:tr>
        <w:trPr>
          <w:trHeight w:val="265"/>
        </w:trPr>
        <w:tc>
          <w:tcPr>
            <w:tcW w:w="3220" w:type="dxa"/>
            <w:vAlign w:val="bottom"/>
            <w:tcBorders>
              <w:left w:val="single" w:sz="8" w:color="auto"/>
            </w:tcBorders>
          </w:tcPr>
          <w:p>
            <w:pPr>
              <w:spacing w:after="0"/>
              <w:rPr>
                <w:sz w:val="23"/>
                <w:szCs w:val="23"/>
                <w:color w:val="auto"/>
              </w:rPr>
            </w:pP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hold or sell securities. In short, Material Information includes any information that could</w:t>
            </w:r>
          </w:p>
        </w:tc>
      </w:tr>
      <w:tr>
        <w:trPr>
          <w:trHeight w:val="261"/>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9"/>
              </w:rPr>
              <w:t>reasonably affect the price of the securities. Either positive or negative information may be</w:t>
            </w:r>
          </w:p>
        </w:tc>
      </w:tr>
      <w:tr>
        <w:trPr>
          <w:trHeight w:val="265"/>
        </w:trPr>
        <w:tc>
          <w:tcPr>
            <w:tcW w:w="3220" w:type="dxa"/>
            <w:vAlign w:val="bottom"/>
            <w:tcBorders>
              <w:left w:val="single" w:sz="8" w:color="auto"/>
            </w:tcBorders>
          </w:tcPr>
          <w:p>
            <w:pPr>
              <w:spacing w:after="0"/>
              <w:rPr>
                <w:sz w:val="23"/>
                <w:szCs w:val="23"/>
                <w:color w:val="auto"/>
              </w:rPr>
            </w:pP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material. Common examples of information that will frequently be regarded as material</w:t>
            </w:r>
          </w:p>
        </w:tc>
      </w:tr>
      <w:tr>
        <w:trPr>
          <w:trHeight w:val="261"/>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are, but are not limited to:</w:t>
            </w:r>
          </w:p>
        </w:tc>
      </w:tr>
      <w:tr>
        <w:trPr>
          <w:trHeight w:val="380"/>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projections of future earnings or losses;</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news of a pending or proposed merger, acquisition or tender offer;</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news of a significant sale of assets or the disposition of a subsidiary;</w:t>
            </w:r>
          </w:p>
        </w:tc>
      </w:tr>
      <w:tr>
        <w:trPr>
          <w:trHeight w:val="385"/>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changes in dividend policy, the declaration of a stock split or the offering of</w:t>
            </w:r>
          </w:p>
        </w:tc>
      </w:tr>
      <w:tr>
        <w:trPr>
          <w:trHeight w:val="261"/>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additional securities;</w:t>
            </w:r>
          </w:p>
        </w:tc>
      </w:tr>
      <w:tr>
        <w:trPr>
          <w:trHeight w:val="380"/>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changes in management;</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significant new products or discoveries;</w:t>
            </w:r>
          </w:p>
        </w:tc>
      </w:tr>
      <w:tr>
        <w:trPr>
          <w:trHeight w:val="391"/>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significant regulatory actions concerning products or product candidates;</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clinical trial results (positive or negative);</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impending bankruptcy or financial liquidity problems;</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actual or threatened litigation or the resolution of such litigation;</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the gain or loss of a substantial collaborator, supplier or customer;</w:t>
            </w:r>
          </w:p>
        </w:tc>
      </w:tr>
      <w:tr>
        <w:trPr>
          <w:trHeight w:val="378"/>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a significant cybersecurity incident, such as a data breach, or any other significant</w:t>
            </w:r>
          </w:p>
        </w:tc>
      </w:tr>
      <w:tr>
        <w:trPr>
          <w:trHeight w:val="263"/>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disruption in our Company’s operations or loss, potential loss, breach or</w:t>
            </w:r>
          </w:p>
        </w:tc>
      </w:tr>
      <w:tr>
        <w:trPr>
          <w:trHeight w:val="261"/>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unauthorized access of our Company’s property or assets, whether at our</w:t>
            </w:r>
          </w:p>
        </w:tc>
      </w:tr>
      <w:tr>
        <w:trPr>
          <w:trHeight w:val="265"/>
        </w:trPr>
        <w:tc>
          <w:tcPr>
            <w:tcW w:w="3220" w:type="dxa"/>
            <w:vAlign w:val="bottom"/>
            <w:tcBorders>
              <w:left w:val="single" w:sz="8" w:color="auto"/>
            </w:tcBorders>
          </w:tcPr>
          <w:p>
            <w:pPr>
              <w:spacing w:after="0"/>
              <w:rPr>
                <w:sz w:val="23"/>
                <w:szCs w:val="23"/>
                <w:color w:val="auto"/>
              </w:rPr>
            </w:pPr>
          </w:p>
        </w:tc>
        <w:tc>
          <w:tcPr>
            <w:tcW w:w="80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Company’s facilities or through our Company’s information technology</w:t>
            </w:r>
          </w:p>
        </w:tc>
      </w:tr>
      <w:tr>
        <w:trPr>
          <w:trHeight w:val="261"/>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infrastructure; and</w:t>
            </w:r>
          </w:p>
        </w:tc>
      </w:tr>
      <w:tr>
        <w:trPr>
          <w:trHeight w:val="387"/>
        </w:trPr>
        <w:tc>
          <w:tcPr>
            <w:tcW w:w="322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the imposition of an event-specific restriction on trading in Incyte securities or the</w:t>
            </w:r>
          </w:p>
        </w:tc>
      </w:tr>
      <w:tr>
        <w:trPr>
          <w:trHeight w:val="261"/>
        </w:trPr>
        <w:tc>
          <w:tcPr>
            <w:tcW w:w="3220" w:type="dxa"/>
            <w:vAlign w:val="bottom"/>
            <w:tcBorders>
              <w:left w:val="single" w:sz="8" w:color="auto"/>
            </w:tcBorders>
          </w:tcPr>
          <w:p>
            <w:pPr>
              <w:spacing w:after="0"/>
              <w:rPr>
                <w:sz w:val="22"/>
                <w:szCs w:val="22"/>
                <w:color w:val="auto"/>
              </w:rPr>
            </w:pPr>
          </w:p>
        </w:tc>
        <w:tc>
          <w:tcPr>
            <w:tcW w:w="80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securities of another company or the extension or termination of such a restriction.</w:t>
            </w:r>
          </w:p>
        </w:tc>
      </w:tr>
      <w:tr>
        <w:trPr>
          <w:trHeight w:val="44"/>
        </w:trPr>
        <w:tc>
          <w:tcPr>
            <w:tcW w:w="3220" w:type="dxa"/>
            <w:vAlign w:val="bottom"/>
            <w:tcBorders>
              <w:left w:val="single" w:sz="8" w:color="auto"/>
              <w:bottom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274"/>
        </w:trPr>
        <w:tc>
          <w:tcPr>
            <w:tcW w:w="3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Material Non-Public Information</w:t>
            </w:r>
          </w:p>
        </w:tc>
        <w:tc>
          <w:tcPr>
            <w:tcW w:w="8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Material Information that has not been fully disclosed to the public.</w:t>
            </w:r>
          </w:p>
        </w:tc>
      </w:tr>
      <w:tr>
        <w:trPr>
          <w:trHeight w:val="44"/>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46" w:right="31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Policy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Consequences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consequences of Insider trading violations can be substantial:</w:t>
      </w:r>
    </w:p>
    <w:p>
      <w:pPr>
        <w:spacing w:after="0" w:line="216" w:lineRule="exact"/>
        <w:rPr>
          <w:sz w:val="20"/>
          <w:szCs w:val="20"/>
          <w:color w:val="auto"/>
        </w:rPr>
      </w:pPr>
    </w:p>
    <w:p>
      <w:pPr>
        <w:ind w:left="980" w:right="860" w:hanging="648"/>
        <w:spacing w:after="0" w:line="465" w:lineRule="auto"/>
        <w:tabs>
          <w:tab w:leader="none" w:pos="644"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For individuals who trade on Material Non-Public information (or tip Material Non-Public Information to others): </w:t>
      </w:r>
      <w:r>
        <w:rPr>
          <w:rFonts w:ascii="Courier New" w:cs="Courier New" w:eastAsia="Courier New" w:hAnsi="Courier New"/>
          <w:sz w:val="20"/>
          <w:szCs w:val="20"/>
          <w:color w:val="auto"/>
        </w:rPr>
        <w:t xml:space="preserve">o </w:t>
      </w:r>
      <w:r>
        <w:rPr>
          <w:rFonts w:ascii="Arial" w:cs="Arial" w:eastAsia="Arial" w:hAnsi="Arial"/>
          <w:sz w:val="20"/>
          <w:szCs w:val="20"/>
          <w:color w:val="auto"/>
        </w:rPr>
        <w:t>A jail term of up to 20 years;</w:t>
      </w:r>
    </w:p>
    <w:p>
      <w:pPr>
        <w:ind w:left="980" w:right="3560"/>
        <w:spacing w:after="0" w:line="452"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 civil penalty of up to three times the profit gained or loss avoided; and</w:t>
      </w:r>
      <w:r>
        <w:rPr>
          <w:rFonts w:ascii="Courier New" w:cs="Courier New" w:eastAsia="Courier New" w:hAnsi="Courier New"/>
          <w:sz w:val="20"/>
          <w:szCs w:val="20"/>
          <w:color w:val="auto"/>
        </w:rPr>
        <w:t xml:space="preserve"> o </w:t>
      </w:r>
      <w:r>
        <w:rPr>
          <w:rFonts w:ascii="Arial" w:cs="Arial" w:eastAsia="Arial" w:hAnsi="Arial"/>
          <w:sz w:val="20"/>
          <w:szCs w:val="20"/>
          <w:color w:val="auto"/>
        </w:rPr>
        <w:t>A criminal fine (no matter how small the profit) of up to $5 million.</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9"/>
          <w:szCs w:val="19"/>
          <w:color w:val="auto"/>
        </w:rPr>
      </w:pPr>
      <w:r>
        <w:rPr>
          <w:rFonts w:ascii="Arial" w:cs="Arial" w:eastAsia="Arial" w:hAnsi="Arial"/>
          <w:sz w:val="19"/>
          <w:szCs w:val="19"/>
          <w:color w:val="auto"/>
        </w:rPr>
        <w:t>For a company (as well as possibly any supervisory person) that fails to take appropriate steps to prevent illegal trading:</w:t>
      </w:r>
    </w:p>
    <w:p>
      <w:pPr>
        <w:spacing w:after="0" w:line="226" w:lineRule="exact"/>
        <w:rPr>
          <w:sz w:val="20"/>
          <w:szCs w:val="20"/>
          <w:color w:val="auto"/>
        </w:rPr>
      </w:pPr>
    </w:p>
    <w:p>
      <w:pPr>
        <w:ind w:left="1300" w:right="620" w:hanging="320"/>
        <w:spacing w:after="0" w:line="281" w:lineRule="auto"/>
        <w:tabs>
          <w:tab w:leader="none" w:pos="1300" w:val="left"/>
        </w:tabs>
        <w:numPr>
          <w:ilvl w:val="0"/>
          <w:numId w:val="45"/>
        </w:numPr>
        <w:rPr>
          <w:rFonts w:ascii="Courier New" w:cs="Courier New" w:eastAsia="Courier New" w:hAnsi="Courier New"/>
          <w:sz w:val="20"/>
          <w:szCs w:val="20"/>
          <w:color w:val="auto"/>
        </w:rPr>
      </w:pPr>
      <w:r>
        <w:rPr>
          <w:rFonts w:ascii="Arial" w:cs="Arial" w:eastAsia="Arial" w:hAnsi="Arial"/>
          <w:sz w:val="20"/>
          <w:szCs w:val="20"/>
          <w:color w:val="auto"/>
        </w:rPr>
        <w:t>A civil penalty of the greater of $1 million or three times the profit gained or loss avoided as a result of the employee's violation; and</w:t>
      </w:r>
    </w:p>
    <w:p>
      <w:pPr>
        <w:spacing w:after="0" w:line="156" w:lineRule="exact"/>
        <w:rPr>
          <w:rFonts w:ascii="Courier New" w:cs="Courier New" w:eastAsia="Courier New" w:hAnsi="Courier New"/>
          <w:sz w:val="20"/>
          <w:szCs w:val="20"/>
          <w:color w:val="auto"/>
        </w:rPr>
      </w:pPr>
    </w:p>
    <w:p>
      <w:pPr>
        <w:ind w:left="1300" w:hanging="320"/>
        <w:spacing w:after="0"/>
        <w:tabs>
          <w:tab w:leader="none" w:pos="1300" w:val="left"/>
        </w:tabs>
        <w:numPr>
          <w:ilvl w:val="0"/>
          <w:numId w:val="45"/>
        </w:numPr>
        <w:rPr>
          <w:rFonts w:ascii="Courier New" w:cs="Courier New" w:eastAsia="Courier New" w:hAnsi="Courier New"/>
          <w:sz w:val="20"/>
          <w:szCs w:val="20"/>
          <w:color w:val="auto"/>
        </w:rPr>
      </w:pPr>
      <w:r>
        <w:rPr>
          <w:rFonts w:ascii="Arial" w:cs="Arial" w:eastAsia="Arial" w:hAnsi="Arial"/>
          <w:sz w:val="20"/>
          <w:szCs w:val="20"/>
          <w:color w:val="auto"/>
        </w:rPr>
        <w:t>A criminal penalty of up to $25 million.</w:t>
      </w:r>
    </w:p>
    <w:p>
      <w:pPr>
        <w:spacing w:after="0" w:line="211"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Moreover, if an employee violates this Policy on Insider Trading, Company-imposed sanctions, including dismissal for cause, could result. Needless to say, any of the above consequences, even an SEC investigation that does not result in prosecution, can tarnish one's reputation and irreparably damage a career. Finally, remember that there are no limits on the size of a transaction that will trigger Insider trading liability. In the past, relatively small trades have resulted in SEC investigations and lawsuits.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Trading on the Basis of Material Non-Public Information</w:t>
      </w:r>
    </w:p>
    <w:p>
      <w:pPr>
        <w:spacing w:after="0" w:line="231"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If a member of the Board of Directors, officer or any employee (or any other person, such as a consultant or contractor, designated by the Company as subject to this Policy) has Material Non-Public Information relating to our Company, it is our policy that no such person may buy or sell securities of the Company or engage in any other action to take advantage of, or pass on to others, that information. This Policy also applies to Material Non-Public Information relating to any other company, including our customers, collaborators, partners or suppliers, obtained in the course of employment at the Company, and you may not buy or sell securities of that other company or engage in any other action to take advantage of, or pass on to others (other than co-workers who have a business need to know), that information.</w:t>
      </w:r>
    </w:p>
    <w:p>
      <w:pPr>
        <w:spacing w:after="0" w:line="193" w:lineRule="exact"/>
        <w:rPr>
          <w:sz w:val="20"/>
          <w:szCs w:val="20"/>
          <w:color w:val="auto"/>
        </w:rPr>
      </w:pPr>
    </w:p>
    <w:p>
      <w:pPr>
        <w:ind w:left="660" w:hanging="328"/>
        <w:spacing w:after="0" w:line="262" w:lineRule="auto"/>
        <w:tabs>
          <w:tab w:leader="none" w:pos="648"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20"/>
          </w:cols>
          <w:pgMar w:left="320" w:top="1420" w:right="45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When Information is “Public”</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If you are aware of Material Non-Public Information, you may not trade until the information has been disclosed broadly to the marketplace (such as by press release or an SEC filing) and the investing public has had time to absorb the information fully. To avoid the appearance of impropriety, as a general rule, you should not engage in any transaction until at least one full business day has passed following the day the information was released. Thus, if an announcement were made after the market close on a Monday, Wednesday generally would be the first day on which you would be able to trade. If an announcement were made after the market close on a Friday, Tuesday generally would be the first eligible trading day.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Pre-Clearance of Trades and Other Transactions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To provide assistance in preventing inadvertent violations and avoid even the appearance of an improper transaction (which could result, for example, where an employee engages in a trade while unaware of a pending major development) - all members of the Board of Directors, officers and certain employees in a position to have access to Material Non-Public Information (as specified by our General Counsel or our Chief Financial Officer) are subject to pre-clearance in writing by our General Counsel, or, in our General Counsel’s absence, our Chief Financial Officer, of all transactions in Company securities (acquisitions, dispositions, transfers, etc.), including gifts or donations of Company securities to a third party. Pre-clearance is subject to a five business day expiration and must be renewed by the applicant after such five business day period to continue to be valid. Employees who are subject to these pre-clearance requirements will be notified by the Finance Department.</w:t>
      </w:r>
    </w:p>
    <w:p>
      <w:pPr>
        <w:spacing w:after="0" w:line="188" w:lineRule="exact"/>
        <w:rPr>
          <w:sz w:val="20"/>
          <w:szCs w:val="20"/>
          <w:color w:val="auto"/>
        </w:rPr>
      </w:pPr>
    </w:p>
    <w:p>
      <w:pPr>
        <w:ind w:left="660" w:right="100" w:hanging="328"/>
        <w:spacing w:after="0" w:line="252" w:lineRule="auto"/>
        <w:tabs>
          <w:tab w:leader="none" w:pos="648"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Pre-clearance does not relieve you of your responsibility under Securities and Exchange Commission rules. All employees and others subject to this Policy, whether subject to pre-clearance or not, are responsible for adherence to this Policy, including, but not limited to: not trading on Material Non-Public Information; not trading until one full business day has passed after an earnings or other announcement of Material Non-Public Information; and not trading in securities on a short term basis. Employees and others normally not subject to pre-clearance are still responsible for written pre-clearance for the sale of securities purchased in the open market and which have been owned less than six months. If you are in doubt of whether or not pre-clearance is required, you should inquire with our General Counsel or our Chief Financial Officer or obtain pre-clearance as a cautionary measure.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Blackouts</w:t>
      </w:r>
    </w:p>
    <w:p>
      <w:pPr>
        <w:spacing w:after="0" w:line="231"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From time to time, the Company may require that members of the Board of Directors, officers, selected employees and others suspend trading because of developments known to the Company and not yet disclosed to the public.</w:t>
      </w:r>
    </w:p>
    <w:p>
      <w:pPr>
        <w:spacing w:after="0" w:line="169" w:lineRule="exact"/>
        <w:rPr>
          <w:sz w:val="20"/>
          <w:szCs w:val="20"/>
          <w:color w:val="auto"/>
        </w:rPr>
      </w:pPr>
    </w:p>
    <w:p>
      <w:pPr>
        <w:ind w:right="400"/>
        <w:spacing w:after="0" w:line="286" w:lineRule="auto"/>
        <w:rPr>
          <w:sz w:val="20"/>
          <w:szCs w:val="20"/>
          <w:color w:val="auto"/>
        </w:rPr>
      </w:pPr>
      <w:r>
        <w:rPr>
          <w:rFonts w:ascii="Arial" w:cs="Arial" w:eastAsia="Arial" w:hAnsi="Arial"/>
          <w:sz w:val="20"/>
          <w:szCs w:val="20"/>
          <w:color w:val="auto"/>
        </w:rPr>
        <w:t>In that event, such persons should not engage in any transaction involving the purchase or sale of the Company's securities during that period and should not disclose to others the fact that they have been suspended from trading.</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also require the following mandatory trading blackouts: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12" w:right="359" w:bottom="1440" w:gutter="0" w:footer="0" w:header="0"/>
        </w:sectPr>
      </w:pPr>
    </w:p>
    <w:bookmarkStart w:id="135" w:name="page136"/>
    <w:bookmarkEnd w:id="135"/>
    <w:p>
      <w:pPr>
        <w:ind w:left="660" w:right="260" w:hanging="328"/>
        <w:spacing w:after="0" w:line="260" w:lineRule="auto"/>
        <w:tabs>
          <w:tab w:leader="none" w:pos="648"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Earnings Trading Blackouts: </w:t>
      </w:r>
      <w:r>
        <w:rPr>
          <w:rFonts w:ascii="Arial" w:cs="Arial" w:eastAsia="Arial" w:hAnsi="Arial"/>
          <w:sz w:val="20"/>
          <w:szCs w:val="20"/>
          <w:color w:val="auto"/>
        </w:rPr>
        <w:t>All members of the Board of Directors, officers, and certain employees in a position to</w:t>
      </w:r>
      <w:r>
        <w:rPr>
          <w:rFonts w:ascii="Arial" w:cs="Arial" w:eastAsia="Arial" w:hAnsi="Arial"/>
          <w:sz w:val="20"/>
          <w:szCs w:val="20"/>
          <w:b w:val="1"/>
          <w:bCs w:val="1"/>
          <w:color w:val="auto"/>
        </w:rPr>
        <w:t xml:space="preserve"> </w:t>
      </w:r>
      <w:r>
        <w:rPr>
          <w:rFonts w:ascii="Arial" w:cs="Arial" w:eastAsia="Arial" w:hAnsi="Arial"/>
          <w:sz w:val="20"/>
          <w:szCs w:val="20"/>
          <w:color w:val="auto"/>
        </w:rPr>
        <w:t>have access to Material Non-Public Information (as designated by our General Counsel or our Chief Financial Officer) will be subject to a stock trading blackout period normally beginning two weeks prior to the end of a fiscal quarter until one full trading day has passed after the date of the earnings release for that quarter.</w:t>
      </w:r>
    </w:p>
    <w:p>
      <w:pPr>
        <w:spacing w:after="0" w:line="163" w:lineRule="exact"/>
        <w:rPr>
          <w:rFonts w:ascii="Times New Roman" w:cs="Times New Roman" w:eastAsia="Times New Roman" w:hAnsi="Times New Roman"/>
          <w:sz w:val="20"/>
          <w:szCs w:val="20"/>
          <w:color w:val="auto"/>
        </w:rPr>
      </w:pPr>
    </w:p>
    <w:p>
      <w:pPr>
        <w:ind w:left="660" w:right="80" w:hanging="328"/>
        <w:spacing w:after="0" w:line="275" w:lineRule="auto"/>
        <w:tabs>
          <w:tab w:leader="none" w:pos="648" w:val="left"/>
        </w:tabs>
        <w:numPr>
          <w:ilvl w:val="0"/>
          <w:numId w:val="48"/>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Trading After Earnings Announcements: </w:t>
      </w:r>
      <w:r>
        <w:rPr>
          <w:rFonts w:ascii="Arial" w:cs="Arial" w:eastAsia="Arial" w:hAnsi="Arial"/>
          <w:sz w:val="19"/>
          <w:szCs w:val="19"/>
          <w:color w:val="auto"/>
        </w:rPr>
        <w:t>In addition to those employees subject to earnings trading blackout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all employees are restricted from engaging in transactions from the time of a quarterly earnings announcement until one full trading day has passed after that announcement. Thus, if an earnings announcement is made before the stock market opens on a Monday, Tuesday would be the first day on which you may trade. If an earnings announcement is made after the stock market closes on a Monday, Wednesday would be the first day on which you may trade.</w:t>
      </w:r>
    </w:p>
    <w:p>
      <w:pPr>
        <w:spacing w:after="0" w:line="15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Of course, no trading should be done at any time that you are actually aware of Material Non-Public Information such as a major undisclosed corporate development.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Notes Regarding Gifts of Company Securities</w:t>
      </w:r>
    </w:p>
    <w:p>
      <w:pPr>
        <w:spacing w:after="0" w:line="218" w:lineRule="exact"/>
        <w:rPr>
          <w:sz w:val="20"/>
          <w:szCs w:val="20"/>
          <w:color w:val="auto"/>
        </w:rPr>
      </w:pPr>
    </w:p>
    <w:p>
      <w:pPr>
        <w:ind w:right="40"/>
        <w:spacing w:after="0" w:line="313" w:lineRule="auto"/>
        <w:rPr>
          <w:sz w:val="20"/>
          <w:szCs w:val="20"/>
          <w:color w:val="auto"/>
        </w:rPr>
      </w:pPr>
      <w:r>
        <w:rPr>
          <w:rFonts w:ascii="Arial" w:cs="Arial" w:eastAsia="Arial" w:hAnsi="Arial"/>
          <w:sz w:val="19"/>
          <w:szCs w:val="19"/>
          <w:color w:val="auto"/>
        </w:rPr>
        <w:t>As with trading in Company securities, gifts or donations of Company securities to a third party may not be made when you are in possession of Material Non-Public Information concerning the Company or during a trading blackout period applicable to you.</w:t>
      </w:r>
    </w:p>
    <w:p>
      <w:pPr>
        <w:spacing w:after="0" w:line="119" w:lineRule="exact"/>
        <w:rPr>
          <w:sz w:val="20"/>
          <w:szCs w:val="20"/>
          <w:color w:val="auto"/>
        </w:rPr>
      </w:pPr>
    </w:p>
    <w:p>
      <w:pPr>
        <w:ind w:left="660" w:right="100" w:hanging="328"/>
        <w:spacing w:after="0" w:line="269" w:lineRule="auto"/>
        <w:tabs>
          <w:tab w:leader="none" w:pos="648"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An exception to the above restriction is that you may make gifts to Family Members (as defined below) or family trusts (or similar entities) controlled by you given that the Company securities that are the subject of the gift will continue to be subject to the restrictions in this Policy.</w:t>
      </w:r>
    </w:p>
    <w:p>
      <w:pPr>
        <w:spacing w:after="0" w:line="157" w:lineRule="exact"/>
        <w:rPr>
          <w:rFonts w:ascii="Times New Roman" w:cs="Times New Roman" w:eastAsia="Times New Roman" w:hAnsi="Times New Roman"/>
          <w:sz w:val="20"/>
          <w:szCs w:val="20"/>
          <w:color w:val="auto"/>
        </w:rPr>
      </w:pPr>
    </w:p>
    <w:p>
      <w:pPr>
        <w:ind w:left="660" w:right="60" w:hanging="328"/>
        <w:spacing w:after="0" w:line="259" w:lineRule="auto"/>
        <w:tabs>
          <w:tab w:leader="none" w:pos="648"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Any member of the Board of Directors or any Section 16 officer who makes a gift or donation of Company securities to a third party shall notify both our General Counsel and our Chief Financial Officer in writing (which may include e-mail) promptly after making such gift or donation in order to enable the timely preparation and filing of required Section 16 filings.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Family Members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same restrictions apply to your family members and others living in your household, and any family members who do not live in your household but whose transactions in the Company’s securities are directed by you or are subject to your influence or control, such as parents or children who consult with you before they trade in the Company’s securities (those persons collectively, “Family Members”). You are expected to be responsible for the compliance by these persons.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Entities That You Influence or Control</w:t>
      </w:r>
    </w:p>
    <w:p>
      <w:pPr>
        <w:spacing w:after="0" w:line="231"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This Policy applies to all investment funds, trusts, retirement plans, partnerships, corporations and other types of entities over which you have the ability to influence or direct investment decisions concerning the Company’s securities; provided, however, that this policy shall not apply to any such entity that engages in the investment of securities in the ordinary course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12" w:right="379" w:bottom="1440" w:gutter="0" w:footer="0" w:header="0"/>
        </w:sectPr>
      </w:pPr>
    </w:p>
    <w:bookmarkStart w:id="136" w:name="page137"/>
    <w:bookmarkEnd w:id="136"/>
    <w:p>
      <w:pPr>
        <w:ind w:right="20"/>
        <w:spacing w:after="0" w:line="286" w:lineRule="auto"/>
        <w:rPr>
          <w:sz w:val="20"/>
          <w:szCs w:val="20"/>
          <w:color w:val="auto"/>
        </w:rPr>
      </w:pPr>
      <w:r>
        <w:rPr>
          <w:rFonts w:ascii="Arial" w:cs="Arial" w:eastAsia="Arial" w:hAnsi="Arial"/>
          <w:sz w:val="20"/>
          <w:szCs w:val="20"/>
          <w:color w:val="auto"/>
        </w:rPr>
        <w:t>business (e.g., an investment fund or partnership) if such entity has established its own insider trading controls and procedures in compliance with applicable securities laws.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 Not Pass Information to Others</w:t>
      </w:r>
    </w:p>
    <w:p>
      <w:pPr>
        <w:spacing w:after="0" w:line="231" w:lineRule="exact"/>
        <w:rPr>
          <w:sz w:val="20"/>
          <w:szCs w:val="20"/>
          <w:color w:val="auto"/>
        </w:rPr>
      </w:pPr>
    </w:p>
    <w:p>
      <w:pPr>
        <w:jc w:val="both"/>
        <w:ind w:right="80"/>
        <w:spacing w:after="0" w:line="254" w:lineRule="auto"/>
        <w:rPr>
          <w:sz w:val="20"/>
          <w:szCs w:val="20"/>
          <w:color w:val="auto"/>
        </w:rPr>
      </w:pPr>
      <w:r>
        <w:rPr>
          <w:rFonts w:ascii="Arial" w:cs="Arial" w:eastAsia="Arial" w:hAnsi="Arial"/>
          <w:sz w:val="20"/>
          <w:szCs w:val="20"/>
          <w:color w:val="auto"/>
        </w:rPr>
        <w:t>Whether the information is proprietary, about Incyte, or information that could have an impact on the price of our securities, or similar information about a company with which we do business, you must not pass the information on to others. It is illegal to advise others to trade on the basis of Material Non-Public Information. Liability in such cases can extend both to the “tippee” – the person to whom the Insider disclosed inside information – and you, as the “tipper,” and will apply whether or not you derive any benefit from another’s actions.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Under Company Plans</w:t>
      </w:r>
    </w:p>
    <w:p>
      <w:pPr>
        <w:spacing w:after="0" w:line="216"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Stock Option Exercises and Tax Withholding Elections:</w:t>
      </w:r>
    </w:p>
    <w:p>
      <w:pPr>
        <w:spacing w:after="0" w:line="230" w:lineRule="exact"/>
        <w:rPr>
          <w:sz w:val="20"/>
          <w:szCs w:val="20"/>
          <w:color w:val="auto"/>
        </w:rPr>
      </w:pPr>
    </w:p>
    <w:p>
      <w:pPr>
        <w:ind w:left="1300" w:hanging="320"/>
        <w:spacing w:after="0"/>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on Insider Trading does not apply to cash exercises of stock options.</w:t>
      </w:r>
    </w:p>
    <w:p>
      <w:pPr>
        <w:spacing w:after="0" w:line="224" w:lineRule="exact"/>
        <w:rPr>
          <w:rFonts w:ascii="Courier New" w:cs="Courier New" w:eastAsia="Courier New" w:hAnsi="Courier New"/>
          <w:sz w:val="20"/>
          <w:szCs w:val="20"/>
          <w:color w:val="auto"/>
        </w:rPr>
      </w:pPr>
    </w:p>
    <w:p>
      <w:pPr>
        <w:ind w:left="1300" w:right="80" w:hanging="320"/>
        <w:spacing w:after="0" w:line="267" w:lineRule="auto"/>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also does not apply to the exercise of a tax withholding right pursuant to which you elect to have the Company withhold shares subject to an option to satisfy tax withholding requirements.</w:t>
      </w:r>
    </w:p>
    <w:p>
      <w:pPr>
        <w:spacing w:after="0" w:line="170" w:lineRule="exact"/>
        <w:rPr>
          <w:rFonts w:ascii="Courier New" w:cs="Courier New" w:eastAsia="Courier New" w:hAnsi="Courier New"/>
          <w:sz w:val="20"/>
          <w:szCs w:val="20"/>
          <w:color w:val="auto"/>
        </w:rPr>
      </w:pPr>
    </w:p>
    <w:p>
      <w:pPr>
        <w:jc w:val="both"/>
        <w:ind w:left="1300" w:hanging="320"/>
        <w:spacing w:after="0" w:line="259" w:lineRule="auto"/>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does apply, however, to any sale of stock as part of a broker-assisted cashless exercise of an option, or any other market sale for the purpose of generating the cash needed to pay the exercise price of an option or otherwise.</w:t>
      </w:r>
    </w:p>
    <w:p>
      <w:pPr>
        <w:spacing w:after="0" w:line="179"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Restricted Stock Unit (RSU), Performance Share (PSU) and Restricted Share Awards:</w:t>
      </w:r>
    </w:p>
    <w:p>
      <w:pPr>
        <w:spacing w:after="0" w:line="21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on Insider Trading does not apply to vesting of RSUs, PSUs or restricted shares.</w:t>
      </w:r>
    </w:p>
    <w:p>
      <w:pPr>
        <w:spacing w:after="0" w:line="224" w:lineRule="exact"/>
        <w:rPr>
          <w:rFonts w:ascii="Courier New" w:cs="Courier New" w:eastAsia="Courier New" w:hAnsi="Courier New"/>
          <w:sz w:val="20"/>
          <w:szCs w:val="20"/>
          <w:color w:val="auto"/>
        </w:rPr>
      </w:pPr>
    </w:p>
    <w:p>
      <w:pPr>
        <w:ind w:left="1300" w:right="80" w:hanging="320"/>
        <w:spacing w:after="0" w:line="259" w:lineRule="auto"/>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also does not apply to the exercise of a tax withholding right pursuant to which you elect to have the Company withhold shares subject to an RSU, PSU or restricted share award to satisfy tax withholding requirements.</w:t>
      </w:r>
    </w:p>
    <w:p>
      <w:pPr>
        <w:spacing w:after="0" w:line="167" w:lineRule="exact"/>
        <w:rPr>
          <w:rFonts w:ascii="Courier New" w:cs="Courier New" w:eastAsia="Courier New" w:hAnsi="Courier New"/>
          <w:sz w:val="20"/>
          <w:szCs w:val="20"/>
          <w:color w:val="auto"/>
        </w:rPr>
      </w:pPr>
    </w:p>
    <w:p>
      <w:pPr>
        <w:ind w:left="1300" w:right="460" w:hanging="320"/>
        <w:spacing w:after="0" w:line="281" w:lineRule="auto"/>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does apply, however, to any market sale of stock received in settlement of an RSU or PSU or of restricted shares.</w:t>
      </w:r>
    </w:p>
    <w:p>
      <w:pPr>
        <w:spacing w:after="0" w:line="154"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Employee Stock Purchase Plan:</w:t>
      </w:r>
    </w:p>
    <w:p>
      <w:pPr>
        <w:spacing w:after="0" w:line="216" w:lineRule="exact"/>
        <w:rPr>
          <w:rFonts w:ascii="Times New Roman" w:cs="Times New Roman" w:eastAsia="Times New Roman" w:hAnsi="Times New Roman"/>
          <w:sz w:val="20"/>
          <w:szCs w:val="20"/>
          <w:color w:val="auto"/>
        </w:rPr>
      </w:pPr>
    </w:p>
    <w:p>
      <w:pPr>
        <w:ind w:left="1300" w:right="60" w:hanging="320"/>
        <w:spacing w:after="0" w:line="259" w:lineRule="auto"/>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on Insider Trading does not apply to purchases of Company stock in the employee stock purchase plan resulting from your periodic contribution of money to the plan pursuant to the election you made at the time of your enrollment in the plan.</w:t>
      </w:r>
    </w:p>
    <w:p>
      <w:pPr>
        <w:spacing w:after="0" w:line="181" w:lineRule="exact"/>
        <w:rPr>
          <w:rFonts w:ascii="Courier New" w:cs="Courier New" w:eastAsia="Courier New" w:hAnsi="Courier New"/>
          <w:sz w:val="20"/>
          <w:szCs w:val="20"/>
          <w:color w:val="auto"/>
        </w:rPr>
      </w:pPr>
    </w:p>
    <w:p>
      <w:pPr>
        <w:ind w:left="1300" w:right="280" w:hanging="320"/>
        <w:spacing w:after="0" w:line="259" w:lineRule="auto"/>
        <w:tabs>
          <w:tab w:leader="none" w:pos="1300" w:val="left"/>
        </w:tabs>
        <w:numPr>
          <w:ilvl w:val="1"/>
          <w:numId w:val="51"/>
        </w:numPr>
        <w:rPr>
          <w:rFonts w:ascii="Courier New" w:cs="Courier New" w:eastAsia="Courier New" w:hAnsi="Courier New"/>
          <w:sz w:val="20"/>
          <w:szCs w:val="20"/>
          <w:color w:val="auto"/>
        </w:rPr>
      </w:pPr>
      <w:r>
        <w:rPr>
          <w:rFonts w:ascii="Arial" w:cs="Arial" w:eastAsia="Arial" w:hAnsi="Arial"/>
          <w:sz w:val="20"/>
          <w:szCs w:val="20"/>
          <w:color w:val="auto"/>
        </w:rPr>
        <w:t>This Policy does apply to your election to participate in the plan for any enrollment period, to your elections to increase or decrease your percentage payroll deductions, and to your sales of Company stock purchased pursuant to the plan. Note, however, that if you are a new employee, and you begin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20"/>
          </w:cols>
          <w:pgMar w:left="320" w:top="1414" w:right="459" w:bottom="1440" w:gutter="0" w:footer="0" w:header="0"/>
        </w:sectPr>
      </w:pPr>
    </w:p>
    <w:bookmarkStart w:id="137" w:name="page138"/>
    <w:bookmarkEnd w:id="137"/>
    <w:p>
      <w:pPr>
        <w:ind w:left="1300" w:right="200"/>
        <w:spacing w:after="0" w:line="269" w:lineRule="auto"/>
        <w:rPr>
          <w:sz w:val="20"/>
          <w:szCs w:val="20"/>
          <w:color w:val="auto"/>
        </w:rPr>
      </w:pPr>
      <w:r>
        <w:rPr>
          <w:rFonts w:ascii="Arial" w:cs="Arial" w:eastAsia="Arial" w:hAnsi="Arial"/>
          <w:sz w:val="19"/>
          <w:szCs w:val="19"/>
          <w:color w:val="auto"/>
        </w:rPr>
        <w:t>employment during a period when you would otherwise be restricted from any trading activity in Incyte shares, you will be permitted to elect to participate in the employee stock purchase plan but you must do so within three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 days of your first day of employment. Otherwise, you will need to wait until the next enrollment period.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Prohibited Transactions</w:t>
      </w:r>
    </w:p>
    <w:p>
      <w:pPr>
        <w:spacing w:after="0" w:line="218" w:lineRule="exact"/>
        <w:rPr>
          <w:sz w:val="20"/>
          <w:szCs w:val="20"/>
          <w:color w:val="auto"/>
        </w:rPr>
      </w:pPr>
    </w:p>
    <w:p>
      <w:pPr>
        <w:ind w:right="480"/>
        <w:spacing w:after="0" w:line="259" w:lineRule="auto"/>
        <w:rPr>
          <w:sz w:val="20"/>
          <w:szCs w:val="20"/>
          <w:color w:val="auto"/>
        </w:rPr>
      </w:pPr>
      <w:r>
        <w:rPr>
          <w:rFonts w:ascii="Arial" w:cs="Arial" w:eastAsia="Arial" w:hAnsi="Arial"/>
          <w:sz w:val="20"/>
          <w:szCs w:val="20"/>
          <w:color w:val="auto"/>
        </w:rPr>
        <w:t>Because we believe it is improper and inappropriate for any Company personnel to engage in short-term or speculative transactions involving Company securities, it is the Company’s policy that members of the Board of Directors, officers, employees and others designated by the Company as being subject to this Policy should not engage in any of the following activities with respect to securities of the Company.</w:t>
      </w:r>
    </w:p>
    <w:p>
      <w:pPr>
        <w:spacing w:after="0" w:line="180" w:lineRule="exact"/>
        <w:rPr>
          <w:sz w:val="20"/>
          <w:szCs w:val="20"/>
          <w:color w:val="auto"/>
        </w:rPr>
      </w:pPr>
    </w:p>
    <w:p>
      <w:pPr>
        <w:ind w:left="660" w:hanging="328"/>
        <w:spacing w:after="0" w:line="254" w:lineRule="auto"/>
        <w:tabs>
          <w:tab w:leader="none" w:pos="64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Trading in Securities on a Short Term Basis: </w:t>
      </w:r>
      <w:r>
        <w:rPr>
          <w:rFonts w:ascii="Arial" w:cs="Arial" w:eastAsia="Arial" w:hAnsi="Arial"/>
          <w:sz w:val="20"/>
          <w:szCs w:val="20"/>
          <w:color w:val="auto"/>
        </w:rPr>
        <w:t>Any Company securities purchased in the open market should be held</w:t>
      </w:r>
      <w:r>
        <w:rPr>
          <w:rFonts w:ascii="Arial" w:cs="Arial" w:eastAsia="Arial" w:hAnsi="Arial"/>
          <w:sz w:val="20"/>
          <w:szCs w:val="20"/>
          <w:b w:val="1"/>
          <w:bCs w:val="1"/>
          <w:color w:val="auto"/>
        </w:rPr>
        <w:t xml:space="preserve"> </w:t>
      </w:r>
      <w:r>
        <w:rPr>
          <w:rFonts w:ascii="Arial" w:cs="Arial" w:eastAsia="Arial" w:hAnsi="Arial"/>
          <w:sz w:val="20"/>
          <w:szCs w:val="20"/>
          <w:color w:val="auto"/>
        </w:rPr>
        <w:t>for a minimum of six months and ideally longer. Note that the SEC’s short-swing profit rule already penalizes officers and directors who sell any company securities within six months of a purchase of securities of the same class. If an employee (other than an officer or member of the Board of Directors) wishes to sell securities purchased in the open market and that have been owned less than six months, written pre-clearance from our General Counsel or, in our General Counsel’s absence, our Chief Financial Officer, must be obtained prior to selling the securities.</w:t>
      </w:r>
    </w:p>
    <w:p>
      <w:pPr>
        <w:spacing w:after="0" w:line="172" w:lineRule="exact"/>
        <w:rPr>
          <w:rFonts w:ascii="Times New Roman" w:cs="Times New Roman" w:eastAsia="Times New Roman" w:hAnsi="Times New Roman"/>
          <w:sz w:val="20"/>
          <w:szCs w:val="20"/>
          <w:color w:val="auto"/>
        </w:rPr>
      </w:pPr>
    </w:p>
    <w:p>
      <w:pPr>
        <w:ind w:left="660" w:right="360" w:hanging="328"/>
        <w:spacing w:after="0" w:line="270" w:lineRule="auto"/>
        <w:tabs>
          <w:tab w:leader="none" w:pos="64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Purchases of Company Securities on Margin: </w:t>
      </w:r>
      <w:r>
        <w:rPr>
          <w:rFonts w:ascii="Arial" w:cs="Arial" w:eastAsia="Arial" w:hAnsi="Arial"/>
          <w:sz w:val="20"/>
          <w:szCs w:val="20"/>
          <w:color w:val="auto"/>
        </w:rPr>
        <w:t>This means borrowing from a brokerage firm, bank or other entity in</w:t>
      </w:r>
      <w:r>
        <w:rPr>
          <w:rFonts w:ascii="Arial" w:cs="Arial" w:eastAsia="Arial" w:hAnsi="Arial"/>
          <w:sz w:val="20"/>
          <w:szCs w:val="20"/>
          <w:b w:val="1"/>
          <w:bCs w:val="1"/>
          <w:color w:val="auto"/>
        </w:rPr>
        <w:t xml:space="preserve"> </w:t>
      </w:r>
      <w:r>
        <w:rPr>
          <w:rFonts w:ascii="Arial" w:cs="Arial" w:eastAsia="Arial" w:hAnsi="Arial"/>
          <w:sz w:val="20"/>
          <w:szCs w:val="20"/>
          <w:color w:val="auto"/>
        </w:rPr>
        <w:t>order to buy Company securities (other than in connection with a so-called “cashless” exercise of options under the Company’s stock plan).</w:t>
      </w:r>
    </w:p>
    <w:p>
      <w:pPr>
        <w:spacing w:after="0" w:line="154" w:lineRule="exact"/>
        <w:rPr>
          <w:rFonts w:ascii="Times New Roman" w:cs="Times New Roman" w:eastAsia="Times New Roman" w:hAnsi="Times New Roman"/>
          <w:sz w:val="20"/>
          <w:szCs w:val="20"/>
          <w:color w:val="auto"/>
        </w:rPr>
      </w:pPr>
    </w:p>
    <w:p>
      <w:pPr>
        <w:ind w:left="660" w:right="140" w:hanging="328"/>
        <w:spacing w:after="0" w:line="254" w:lineRule="auto"/>
        <w:tabs>
          <w:tab w:leader="none" w:pos="64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Pledges of Company Securities: </w:t>
      </w:r>
      <w:r>
        <w:rPr>
          <w:rFonts w:ascii="Arial" w:cs="Arial" w:eastAsia="Arial" w:hAnsi="Arial"/>
          <w:sz w:val="20"/>
          <w:szCs w:val="20"/>
          <w:color w:val="auto"/>
        </w:rPr>
        <w:t>This involves pledging (or hypothecating) Company securities as collateral for a loan</w:t>
      </w:r>
      <w:r>
        <w:rPr>
          <w:rFonts w:ascii="Arial" w:cs="Arial" w:eastAsia="Arial" w:hAnsi="Arial"/>
          <w:sz w:val="20"/>
          <w:szCs w:val="20"/>
          <w:b w:val="1"/>
          <w:bCs w:val="1"/>
          <w:color w:val="auto"/>
        </w:rPr>
        <w:t xml:space="preserve"> </w:t>
      </w:r>
      <w:r>
        <w:rPr>
          <w:rFonts w:ascii="Arial" w:cs="Arial" w:eastAsia="Arial" w:hAnsi="Arial"/>
          <w:sz w:val="20"/>
          <w:szCs w:val="20"/>
          <w:color w:val="auto"/>
        </w:rPr>
        <w:t>(not including margin debt, which is covered in the prior paragraph). Because securities pledged as collateral for a loan may be sold in foreclosure if the borrower defaults on the loan, and that sale may occur at a time when the pledgor is aware of Material Non-Public Information or is otherwise prohibited from trading in Company securities, these transactions are prohibited. Investment funds or similar entities affiliated with members of the Board of Directors are not subject to this prohibition unless the fund or entity is solely for the benefit of such a member and/or such member’s immediate family.</w:t>
      </w:r>
    </w:p>
    <w:p>
      <w:pPr>
        <w:spacing w:after="0" w:line="171" w:lineRule="exact"/>
        <w:rPr>
          <w:rFonts w:ascii="Times New Roman" w:cs="Times New Roman" w:eastAsia="Times New Roman" w:hAnsi="Times New Roman"/>
          <w:sz w:val="20"/>
          <w:szCs w:val="20"/>
          <w:color w:val="auto"/>
        </w:rPr>
      </w:pPr>
    </w:p>
    <w:p>
      <w:pPr>
        <w:ind w:left="660" w:right="880" w:hanging="328"/>
        <w:spacing w:after="0" w:line="287" w:lineRule="auto"/>
        <w:tabs>
          <w:tab w:leader="none" w:pos="64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Short Sales of Company Securities: </w:t>
      </w:r>
      <w:r>
        <w:rPr>
          <w:rFonts w:ascii="Arial" w:cs="Arial" w:eastAsia="Arial" w:hAnsi="Arial"/>
          <w:sz w:val="20"/>
          <w:szCs w:val="20"/>
          <w:color w:val="auto"/>
        </w:rPr>
        <w:t>This involves selling Company securities you do not currently own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expectation that the price of the security will fall, or as part of an arbitrage transaction.</w:t>
      </w:r>
    </w:p>
    <w:p>
      <w:pPr>
        <w:spacing w:after="0" w:line="137" w:lineRule="exact"/>
        <w:rPr>
          <w:rFonts w:ascii="Times New Roman" w:cs="Times New Roman" w:eastAsia="Times New Roman" w:hAnsi="Times New Roman"/>
          <w:sz w:val="20"/>
          <w:szCs w:val="20"/>
          <w:color w:val="auto"/>
        </w:rPr>
      </w:pPr>
    </w:p>
    <w:p>
      <w:pPr>
        <w:ind w:left="660" w:right="280" w:hanging="328"/>
        <w:spacing w:after="0" w:line="287" w:lineRule="auto"/>
        <w:tabs>
          <w:tab w:leader="none" w:pos="64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Buying or Selling Puts or Calls on Company Stock: </w:t>
      </w:r>
      <w:r>
        <w:rPr>
          <w:rFonts w:ascii="Arial" w:cs="Arial" w:eastAsia="Arial" w:hAnsi="Arial"/>
          <w:sz w:val="20"/>
          <w:szCs w:val="20"/>
          <w:color w:val="auto"/>
        </w:rPr>
        <w:t>This includes options trading on any of the stock exchanges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futures exchanges.</w:t>
      </w:r>
    </w:p>
    <w:p>
      <w:pPr>
        <w:spacing w:after="0" w:line="150" w:lineRule="exact"/>
        <w:rPr>
          <w:rFonts w:ascii="Times New Roman" w:cs="Times New Roman" w:eastAsia="Times New Roman" w:hAnsi="Times New Roman"/>
          <w:sz w:val="20"/>
          <w:szCs w:val="20"/>
          <w:color w:val="auto"/>
        </w:rPr>
      </w:pPr>
    </w:p>
    <w:p>
      <w:pPr>
        <w:ind w:left="660" w:right="20" w:hanging="328"/>
        <w:spacing w:after="0" w:line="263" w:lineRule="auto"/>
        <w:tabs>
          <w:tab w:leader="none" w:pos="64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Other Hedging or Monetization Transactions: </w:t>
      </w:r>
      <w:r>
        <w:rPr>
          <w:rFonts w:ascii="Arial" w:cs="Arial" w:eastAsia="Arial" w:hAnsi="Arial"/>
          <w:sz w:val="20"/>
          <w:szCs w:val="20"/>
          <w:color w:val="auto"/>
        </w:rPr>
        <w:t>This includes the use of financial instruments such as prepaid variable</w:t>
      </w:r>
      <w:r>
        <w:rPr>
          <w:rFonts w:ascii="Arial" w:cs="Arial" w:eastAsia="Arial" w:hAnsi="Arial"/>
          <w:sz w:val="20"/>
          <w:szCs w:val="20"/>
          <w:b w:val="1"/>
          <w:bCs w:val="1"/>
          <w:color w:val="auto"/>
        </w:rPr>
        <w:t xml:space="preserve"> </w:t>
      </w:r>
      <w:r>
        <w:rPr>
          <w:rFonts w:ascii="Arial" w:cs="Arial" w:eastAsia="Arial" w:hAnsi="Arial"/>
          <w:sz w:val="20"/>
          <w:szCs w:val="20"/>
          <w:color w:val="auto"/>
        </w:rPr>
        <w:t>forwards, equity swaps, collars and exchange funds, and may permit a holder to continue to own Company securities but without the full risks and rewards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4"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Exception for Approved 10b5-1 Plans</w:t>
      </w:r>
    </w:p>
    <w:p>
      <w:pPr>
        <w:spacing w:after="0" w:line="231" w:lineRule="exact"/>
        <w:rPr>
          <w:sz w:val="20"/>
          <w:szCs w:val="20"/>
          <w:color w:val="auto"/>
        </w:rPr>
      </w:pPr>
    </w:p>
    <w:p>
      <w:pPr>
        <w:jc w:val="both"/>
        <w:ind w:right="60"/>
        <w:spacing w:after="0" w:line="282" w:lineRule="auto"/>
        <w:rPr>
          <w:sz w:val="20"/>
          <w:szCs w:val="20"/>
          <w:color w:val="auto"/>
        </w:rPr>
      </w:pPr>
      <w:r>
        <w:rPr>
          <w:rFonts w:ascii="Arial" w:cs="Arial" w:eastAsia="Arial" w:hAnsi="Arial"/>
          <w:sz w:val="19"/>
          <w:szCs w:val="19"/>
          <w:color w:val="auto"/>
        </w:rPr>
        <w:t>Trades by members of the Board of Directors or officers in the Company’s securities that are executed pursuant to an approved 10b5-1 trading plan are not subject to the prohibition on trading on the basis of Material Non-Public Information contained in this Policy on Insider Trading or to the restrictions set forth above relating to pre-clearance procedures and blackout periods.</w:t>
      </w:r>
    </w:p>
    <w:p>
      <w:pPr>
        <w:spacing w:after="0" w:line="148" w:lineRule="exact"/>
        <w:rPr>
          <w:sz w:val="20"/>
          <w:szCs w:val="20"/>
          <w:color w:val="auto"/>
        </w:rPr>
      </w:pPr>
    </w:p>
    <w:p>
      <w:pPr>
        <w:ind w:left="660" w:right="60" w:hanging="328"/>
        <w:spacing w:after="0" w:line="259" w:lineRule="auto"/>
        <w:tabs>
          <w:tab w:leader="none" w:pos="648"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SEC Rule 10b5-1 provides an affirmative defense from Insider trading liability under the federal securities laws for trading plans that meet certain requirements. It does not prevent someone from bringing a lawsuit. In general, a 10b5-1 plan may not be adopted during a blackout period and must be entered into before you are aware of Material Non-Public Information.</w:t>
      </w:r>
    </w:p>
    <w:p>
      <w:pPr>
        <w:spacing w:after="0" w:line="180" w:lineRule="exact"/>
        <w:rPr>
          <w:rFonts w:ascii="Times New Roman" w:cs="Times New Roman" w:eastAsia="Times New Roman" w:hAnsi="Times New Roman"/>
          <w:sz w:val="20"/>
          <w:szCs w:val="20"/>
          <w:color w:val="auto"/>
        </w:rPr>
      </w:pPr>
    </w:p>
    <w:p>
      <w:pPr>
        <w:ind w:left="660" w:right="360" w:hanging="328"/>
        <w:spacing w:after="0" w:line="259" w:lineRule="auto"/>
        <w:tabs>
          <w:tab w:leader="none" w:pos="648"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has implemented additional guidelines related to 10b5-1 trading plans, and you should contact our General Counsel for additional information. Any such 10b5-1 trading plan must comply with SEC Rule 10b5-1 and be approved in writing in advance by our General Counsel, and the establishment of such a plan with respect to an individual may be publicly announced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 Information</w:t>
      </w:r>
    </w:p>
    <w:p>
      <w:pPr>
        <w:spacing w:after="0" w:line="231" w:lineRule="exact"/>
        <w:rPr>
          <w:sz w:val="20"/>
          <w:szCs w:val="20"/>
          <w:color w:val="auto"/>
        </w:rPr>
      </w:pPr>
    </w:p>
    <w:p>
      <w:pPr>
        <w:jc w:val="both"/>
        <w:ind w:right="460"/>
        <w:spacing w:after="0" w:line="262" w:lineRule="auto"/>
        <w:rPr>
          <w:sz w:val="20"/>
          <w:szCs w:val="20"/>
          <w:color w:val="auto"/>
        </w:rPr>
      </w:pPr>
      <w:r>
        <w:rPr>
          <w:rFonts w:ascii="Arial" w:cs="Arial" w:eastAsia="Arial" w:hAnsi="Arial"/>
          <w:sz w:val="20"/>
          <w:szCs w:val="20"/>
          <w:color w:val="auto"/>
        </w:rPr>
        <w:t>Unauthorized disclosure of internal information relating to the Company (including information regarding new products, new discoveries, clinical trial results, or potential new partnerships) could cause competitive harm to the Company and in some cases could result in liability for the Company.</w:t>
      </w:r>
    </w:p>
    <w:p>
      <w:pPr>
        <w:spacing w:after="0" w:line="176"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Unauthorized Disclosure:</w:t>
      </w:r>
    </w:p>
    <w:p>
      <w:pPr>
        <w:spacing w:after="0" w:line="217" w:lineRule="exact"/>
        <w:rPr>
          <w:sz w:val="20"/>
          <w:szCs w:val="20"/>
          <w:color w:val="auto"/>
        </w:rPr>
      </w:pPr>
    </w:p>
    <w:p>
      <w:pPr>
        <w:ind w:left="1300" w:hanging="320"/>
        <w:spacing w:after="0" w:line="259" w:lineRule="auto"/>
        <w:tabs>
          <w:tab w:leader="none" w:pos="1300" w:val="left"/>
        </w:tabs>
        <w:numPr>
          <w:ilvl w:val="1"/>
          <w:numId w:val="55"/>
        </w:numPr>
        <w:rPr>
          <w:rFonts w:ascii="Courier New" w:cs="Courier New" w:eastAsia="Courier New" w:hAnsi="Courier New"/>
          <w:sz w:val="20"/>
          <w:szCs w:val="20"/>
          <w:color w:val="auto"/>
        </w:rPr>
      </w:pPr>
      <w:r>
        <w:rPr>
          <w:rFonts w:ascii="Arial" w:cs="Arial" w:eastAsia="Arial" w:hAnsi="Arial"/>
          <w:sz w:val="20"/>
          <w:szCs w:val="20"/>
          <w:color w:val="auto"/>
        </w:rPr>
        <w:t>Company personnel and others subject to this Policy should not disclose non-public internal information about the Company with anyone outside the Company, except as required in the performance of regular duties for the Company.</w:t>
      </w:r>
    </w:p>
    <w:p>
      <w:pPr>
        <w:spacing w:after="0" w:line="181" w:lineRule="exact"/>
        <w:rPr>
          <w:rFonts w:ascii="Courier New" w:cs="Courier New" w:eastAsia="Courier New" w:hAnsi="Courier New"/>
          <w:sz w:val="20"/>
          <w:szCs w:val="20"/>
          <w:color w:val="auto"/>
        </w:rPr>
      </w:pPr>
    </w:p>
    <w:p>
      <w:pPr>
        <w:ind w:left="1300" w:right="120" w:hanging="320"/>
        <w:spacing w:after="0" w:line="253" w:lineRule="auto"/>
        <w:tabs>
          <w:tab w:leader="none" w:pos="1300" w:val="left"/>
        </w:tabs>
        <w:numPr>
          <w:ilvl w:val="1"/>
          <w:numId w:val="55"/>
        </w:numPr>
        <w:rPr>
          <w:rFonts w:ascii="Courier New" w:cs="Courier New" w:eastAsia="Courier New" w:hAnsi="Courier New"/>
          <w:sz w:val="20"/>
          <w:szCs w:val="20"/>
          <w:color w:val="auto"/>
        </w:rPr>
      </w:pPr>
      <w:r>
        <w:rPr>
          <w:rFonts w:ascii="Arial" w:cs="Arial" w:eastAsia="Arial" w:hAnsi="Arial"/>
          <w:sz w:val="20"/>
          <w:szCs w:val="20"/>
          <w:color w:val="auto"/>
        </w:rPr>
        <w:t>In this regard, Company employees (as well as contractors, consultants, secondees and temporary workers) are prohibited from posting internal information about the Company on a “bulletin board” or otherwise on the Internet or on social media or communicating about the Company and its business in Internet-based “chat” rooms, discussion websites, blogs or social media (except, in the latter case, for communications expressly authorized by our Investor Relations or Corporate Communications teams).</w:t>
      </w:r>
    </w:p>
    <w:p>
      <w:pPr>
        <w:spacing w:after="0" w:line="184" w:lineRule="exact"/>
        <w:rPr>
          <w:rFonts w:ascii="Courier New" w:cs="Courier New" w:eastAsia="Courier New" w:hAnsi="Courier New"/>
          <w:sz w:val="20"/>
          <w:szCs w:val="20"/>
          <w:color w:val="auto"/>
        </w:rPr>
      </w:pPr>
    </w:p>
    <w:p>
      <w:pPr>
        <w:ind w:left="660" w:right="940" w:hanging="328"/>
        <w:spacing w:after="0" w:line="263" w:lineRule="auto"/>
        <w:tabs>
          <w:tab w:leader="none" w:pos="648"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Safeguarding Confidential Information: </w:t>
      </w:r>
      <w:r>
        <w:rPr>
          <w:rFonts w:ascii="Arial" w:cs="Arial" w:eastAsia="Arial" w:hAnsi="Arial"/>
          <w:sz w:val="20"/>
          <w:szCs w:val="20"/>
          <w:color w:val="auto"/>
        </w:rPr>
        <w:t>You have a responsibility to safeguard the confidentiality of internal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For example, sensitive documents should not be left lying on desks, and visitors should not be left unattended in offices containing internal Company documents.</w:t>
      </w:r>
    </w:p>
    <w:p>
      <w:pPr>
        <w:spacing w:after="0" w:line="174" w:lineRule="exact"/>
        <w:rPr>
          <w:sz w:val="20"/>
          <w:szCs w:val="20"/>
          <w:color w:val="auto"/>
        </w:rPr>
      </w:pPr>
    </w:p>
    <w:p>
      <w:pPr>
        <w:ind w:right="340"/>
        <w:spacing w:after="0" w:line="263" w:lineRule="auto"/>
        <w:rPr>
          <w:sz w:val="20"/>
          <w:szCs w:val="20"/>
          <w:color w:val="auto"/>
        </w:rPr>
      </w:pPr>
      <w:r>
        <w:rPr>
          <w:rFonts w:ascii="Arial" w:cs="Arial" w:eastAsia="Arial" w:hAnsi="Arial"/>
          <w:sz w:val="20"/>
          <w:szCs w:val="20"/>
          <w:b w:val="1"/>
          <w:bCs w:val="1"/>
          <w:color w:val="auto"/>
        </w:rPr>
        <w:t xml:space="preserve">There are No Exceptions: </w:t>
      </w:r>
      <w:r>
        <w:rPr>
          <w:rFonts w:ascii="Arial" w:cs="Arial" w:eastAsia="Arial" w:hAnsi="Arial"/>
          <w:sz w:val="20"/>
          <w:szCs w:val="20"/>
          <w:color w:val="auto"/>
        </w:rPr>
        <w:t>Transactions that may be necessary or justifiable for independent reasons, such as the need to</w:t>
      </w:r>
      <w:r>
        <w:rPr>
          <w:rFonts w:ascii="Arial" w:cs="Arial" w:eastAsia="Arial" w:hAnsi="Arial"/>
          <w:sz w:val="20"/>
          <w:szCs w:val="20"/>
          <w:b w:val="1"/>
          <w:bCs w:val="1"/>
          <w:color w:val="auto"/>
        </w:rPr>
        <w:t xml:space="preserve"> </w:t>
      </w:r>
      <w:r>
        <w:rPr>
          <w:rFonts w:ascii="Arial" w:cs="Arial" w:eastAsia="Arial" w:hAnsi="Arial"/>
          <w:sz w:val="20"/>
          <w:szCs w:val="20"/>
          <w:color w:val="auto"/>
        </w:rPr>
        <w:t>raise money for an emergency expenditure, do not excuse someone from adhering to this Policy. Even the appearance of an improper transaction must be avoided to preserve our reputation for adhering to the highest standards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2" w:right="339" w:bottom="1440" w:gutter="0" w:footer="0" w:header="0"/>
        </w:sectPr>
      </w:pPr>
    </w:p>
    <w:bookmarkStart w:id="139" w:name="page140"/>
    <w:bookmarkEnd w:id="139"/>
    <w:p>
      <w:pPr>
        <w:spacing w:after="0" w:line="284" w:lineRule="auto"/>
        <w:rPr>
          <w:sz w:val="20"/>
          <w:szCs w:val="20"/>
          <w:color w:val="auto"/>
        </w:rPr>
      </w:pPr>
      <w:r>
        <w:rPr>
          <w:rFonts w:ascii="Arial" w:cs="Arial" w:eastAsia="Arial" w:hAnsi="Arial"/>
          <w:sz w:val="19"/>
          <w:szCs w:val="19"/>
          <w:b w:val="1"/>
          <w:bCs w:val="1"/>
          <w:color w:val="auto"/>
        </w:rPr>
        <w:t xml:space="preserve">Post-Termination Transactions: </w:t>
      </w:r>
      <w:r>
        <w:rPr>
          <w:rFonts w:ascii="Arial" w:cs="Arial" w:eastAsia="Arial" w:hAnsi="Arial"/>
          <w:sz w:val="19"/>
          <w:szCs w:val="19"/>
          <w:color w:val="auto"/>
        </w:rPr>
        <w:t>This Policy on Insider Trading continues to apply to your transactions in Company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even after you have terminated employment. If you are in possession of Material Non-Public Information when your employment terminates, you may not trade in Company securities until that information has become public or is no longer material.</w:t>
      </w:r>
    </w:p>
    <w:p>
      <w:pPr>
        <w:spacing w:after="0" w:line="15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color w:val="auto"/>
        </w:rPr>
        <w:t xml:space="preserve">Company Assistance: </w:t>
      </w:r>
      <w:r>
        <w:rPr>
          <w:rFonts w:ascii="Arial" w:cs="Arial" w:eastAsia="Arial" w:hAnsi="Arial"/>
          <w:sz w:val="20"/>
          <w:szCs w:val="20"/>
          <w:color w:val="auto"/>
        </w:rPr>
        <w:t>Any person who has any questions about specific transactions may obtain additional information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our General Counsel or, in our General Counsel’s absence, our Chief Financial Officer. Remember, however, the ultimate responsibility for adhering to this Policy on Insider Trading and avoiding improper transactions rests with you. In this regard, it is imperative that you use your best judgment.</w:t>
      </w:r>
    </w:p>
    <w:p>
      <w:pPr>
        <w:spacing w:after="0" w:line="164"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b w:val="1"/>
          <w:bCs w:val="1"/>
          <w:color w:val="auto"/>
        </w:rPr>
        <w:t xml:space="preserve">Modifications: </w:t>
      </w:r>
      <w:r>
        <w:rPr>
          <w:rFonts w:ascii="Arial" w:cs="Arial" w:eastAsia="Arial" w:hAnsi="Arial"/>
          <w:sz w:val="20"/>
          <w:szCs w:val="20"/>
          <w:color w:val="auto"/>
        </w:rPr>
        <w:t>This Policy on Insider Trading has been approved by the Company's Board of Directors. Officers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may, from time to time, make non-substantive modifications to this Policy on Insider Trading (including, without limitation, substitution of the names of the appropriate contact persons within the Company) without prior approval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00"/>
          </w:cols>
          <w:pgMar w:left="320" w:top="1412" w:right="37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58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3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80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6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Pharmaceuticals, Inc.</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Pharmaceuticals Australia Pty Ltd</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Corporation</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Holdings Corporation</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Incyte Real Estate Holdings I LLC</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Real Estate Holdings II LLC</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Research Institute LLC</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Villaris Therapeutics Inc.</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International Holdings Corporation</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Canada Corporation</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International Holdings S.à r.l.</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International S.à r.l.</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Austria GmbH</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Denmark ApS</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Finland Oy</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France</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Germany GmbH</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Italy S.R.L.</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Distribution B.V.</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Benelux B.V.</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Norway AS</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Iberia S.L.</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Nordic AB</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UK Ltd</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UK</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Technical Operations S.à r.l.</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Australia Pty Ltd</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Japan G.K.</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Incyte Biosciences (Shanghai) Co., Ltd.</w:t>
            </w:r>
          </w:p>
        </w:tc>
        <w:tc>
          <w:tcPr>
            <w:tcW w:w="5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220"/>
          </w:cols>
          <w:pgMar w:left="340" w:top="123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ind w:right="3320" w:firstLine="3318"/>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333-262591) of Incyte Corporation,</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333-31409 and 333-273056) pertaining to the 1997 Employee Stock Purchase Plan of Incyte Corporation,</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333-167526, 333-174918, 333-182218, 333-189424, 333-197907, 333-212104, 333-225181, 333-231129, 333-257041 and 333-273057) pertaining to the Incyte Corporation Amended and Restated 2010 Stock Incentive Plan; and</w:t>
      </w:r>
    </w:p>
    <w:p>
      <w:pPr>
        <w:spacing w:after="0" w:line="14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333-277043) pertaining to the Incyte Corporation 2024 Inducement Stock Incentive Plan;</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10, 2025, with respect to the consolidated financial statements of Incyte Corporation and the effectiveness of internal control over financial reporting of Incyte Corporation included in this Annual Report (Form 10-K) of Incyte Corporation for the year ended December 31, 2024.</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ectPr>
          <w:pgSz w:w="11900" w:h="16838" w:orient="portrait"/>
          <w:cols w:equalWidth="0" w:num="1">
            <w:col w:w="11240"/>
          </w:cols>
          <w:pgMar w:left="320" w:top="123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225"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Incyte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10, 2025</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ERVÉ</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OPPENOT</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25"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Incyte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6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10, 2025</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HRISTIANA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TAMOULIS</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1240"/>
          </w:cols>
          <w:pgMar w:left="320" w:top="92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reference to the Annual Report of Incyte Corporation (the “Company”) on Form 10-K for the year ended December 31, 2024, as filed with the Securities and Exchange Commission on the date hereof (the “Report”), I, Hervé Hoppenot, President and Chief Executive Officer of the Company, certify, for the purposes of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ERVÉ</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OPPENOT</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10, 2025</w:t>
      </w:r>
    </w:p>
    <w:p>
      <w:pPr>
        <w:sectPr>
          <w:pgSz w:w="11900" w:h="16838" w:orient="portrait"/>
          <w:cols w:equalWidth="0" w:num="1">
            <w:col w:w="11240"/>
          </w:cols>
          <w:pgMar w:left="320" w:top="92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reference to the Annual Report of Incyte Corporation (the “Company”) on Form 10-K for the year ended December 31, 2024, as filed with the Securities and Exchange Commission on the date hereof (the “Report”), I, Christiana Stamoulis, Executive Vice President and Chief Financial Officer of the Company, certify, for the purposes of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HRISTIANA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TAMOULIS</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10, 2025</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2"/>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lowerLetter"/>
      <w:start w:val="2"/>
    </w:lvl>
  </w:abstractNum>
  <w:abstractNum w:abstractNumId="33">
    <w:nsid w:val="6DE91B18"/>
    <w:multiLevelType w:val="hybridMultilevel"/>
    <w:lvl w:ilvl="0">
      <w:lvlJc w:val="left"/>
      <w:lvlText w:val="(%1)"/>
      <w:numFmt w:val="lowerLetter"/>
      <w:start w:val="1"/>
    </w:lvl>
    <w:lvl w:ilvl="1">
      <w:lvlJc w:val="left"/>
      <w:lvlText w:val="(%2)"/>
      <w:numFmt w:val="decimal"/>
      <w:start w:val="1"/>
    </w:lvl>
  </w:abstractNum>
  <w:abstractNum w:abstractNumId="34">
    <w:nsid w:val="38437FDB"/>
    <w:multiLevelType w:val="hybridMultilevel"/>
    <w:lvl w:ilvl="0">
      <w:lvlJc w:val="left"/>
      <w:lvlText w:val="(%1)"/>
      <w:numFmt w:val="lowerLetter"/>
      <w:start w:val="2"/>
    </w:lvl>
  </w:abstractNum>
  <w:abstractNum w:abstractNumId="35">
    <w:nsid w:val="7644A45C"/>
    <w:multiLevelType w:val="hybridMultilevel"/>
    <w:lvl w:ilvl="0">
      <w:lvlJc w:val="left"/>
      <w:lvlText w:val="%1"/>
      <w:numFmt w:val="decimal"/>
      <w:start w:val="97"/>
    </w:lvl>
  </w:abstractNum>
  <w:abstractNum w:abstractNumId="36">
    <w:nsid w:val="32FFF902"/>
    <w:multiLevelType w:val="hybridMultilevel"/>
    <w:lvl w:ilvl="0">
      <w:lvlJc w:val="left"/>
      <w:lvlText w:val="%1"/>
      <w:numFmt w:val="decimal"/>
      <w:start w:val="101"/>
    </w:lvl>
  </w:abstractNum>
  <w:abstractNum w:abstractNumId="37">
    <w:nsid w:val="684A481A"/>
    <w:multiLevelType w:val="hybridMultilevel"/>
    <w:lvl w:ilvl="0">
      <w:lvlJc w:val="left"/>
      <w:lvlText w:val="*"/>
      <w:numFmt w:val="bullet"/>
      <w:start w:val="1"/>
    </w:lvl>
    <w:lvl w:ilvl="1">
      <w:lvlJc w:val="left"/>
      <w:lvlText w:val="%2"/>
      <w:numFmt w:val="decimal"/>
      <w:start w:val="104"/>
    </w:lvl>
  </w:abstractNum>
  <w:abstractNum w:abstractNumId="38">
    <w:nsid w:val="579478FE"/>
    <w:multiLevelType w:val="hybridMultilevel"/>
    <w:lvl w:ilvl="0">
      <w:lvlJc w:val="left"/>
      <w:lvlText w:val="**"/>
      <w:numFmt w:val="bullet"/>
      <w:start w:val="1"/>
    </w:lvl>
    <w:lvl w:ilvl="1">
      <w:lvlJc w:val="left"/>
      <w:lvlText w:val="%2"/>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lowerLetter"/>
      <w:start w:val="3"/>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o"/>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lvl w:ilvl="1">
      <w:lvlJc w:val="left"/>
      <w:lvlText w:val="o"/>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lvl w:ilvl="1">
      <w:lvlJc w:val="left"/>
      <w:lvlText w:val="o"/>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7"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159" Type="http://schemas.openxmlformats.org/officeDocument/2006/relationships/hyperlink" Target="https://www.sec.gov/Archives/edgar/data/879169/000104746910001834/a2196849zex-3_i.htm" TargetMode="External"/><Relationship Id="rId160" Type="http://schemas.openxmlformats.org/officeDocument/2006/relationships/hyperlink" Target="https://www.sec.gov/Archives/edgar/data/879169/000087916923000025/exhibit31-bylawsasamended0.htm" TargetMode="External"/><Relationship Id="rId161" Type="http://schemas.openxmlformats.org/officeDocument/2006/relationships/hyperlink" Target="https://www.sec.gov/Archives/edgar/data/879169/000102140803005282/dex41.htm" TargetMode="External"/><Relationship Id="rId162" Type="http://schemas.openxmlformats.org/officeDocument/2006/relationships/hyperlink" Target="https://www.sec.gov/Archives/edgar/data/879169/000155837020000774/ex-4d3.htm" TargetMode="External"/><Relationship Id="rId163" Type="http://schemas.openxmlformats.org/officeDocument/2006/relationships/hyperlink" Target="https://www.sec.gov/Archives/edgar/data/879169/000110465923071561/tm2318718d1_ex10-1.htm" TargetMode="External"/><Relationship Id="rId164" Type="http://schemas.openxmlformats.org/officeDocument/2006/relationships/hyperlink" Target="https://www.sec.gov/Archives/edgar/data/879169/000155837020012834/incy-20200930xex10d1.htm" TargetMode="External"/><Relationship Id="rId165" Type="http://schemas.openxmlformats.org/officeDocument/2006/relationships/hyperlink" Target="https://www.sec.gov/Archives/edgar/data/879169/000155837020012834/incy-20200930xex10d2.htm" TargetMode="External"/><Relationship Id="rId166" Type="http://schemas.openxmlformats.org/officeDocument/2006/relationships/hyperlink" Target="https://www.sec.gov/Archives/edgar/data/879169/000155837020012834/incy-20200930xex10d3.htm" TargetMode="External"/><Relationship Id="rId167" Type="http://schemas.openxmlformats.org/officeDocument/2006/relationships/hyperlink" Target="https://www.sec.gov/Archives/edgar/data/879169/000104746914001174/a2218324zex-10_24.htm" TargetMode="External"/><Relationship Id="rId168" Type="http://schemas.openxmlformats.org/officeDocument/2006/relationships/hyperlink" Target="https://www.sec.gov/Archives/edgar/data/879169/000155837019006550/incy-20190630ex101dc8f47.htm" TargetMode="External"/><Relationship Id="rId169" Type="http://schemas.openxmlformats.org/officeDocument/2006/relationships/hyperlink" Target="https://www.sec.gov/Archives/edgar/data/879169/000087916924000172/exh101_formofusexecutiveof.htm" TargetMode="External"/><Relationship Id="rId170" Type="http://schemas.openxmlformats.org/officeDocument/2006/relationships/hyperlink" Target="https://www.sec.gov/Archives/edgar/data/879169/000087916924000172/exh102_formofusrsuawardagr.htm" TargetMode="External"/><Relationship Id="rId171" Type="http://schemas.openxmlformats.org/officeDocument/2006/relationships/hyperlink" Target="https://www.sec.gov/Archives/edgar/data/879169/000110465924020600/tm245850d1_ex99-1.htm" TargetMode="External"/><Relationship Id="rId172" Type="http://schemas.openxmlformats.org/officeDocument/2006/relationships/hyperlink" Target="https://www.sec.gov/Archives/edgar/data/879169/000110465924020600/tm245850d1_ex99-2.htm" TargetMode="External"/><Relationship Id="rId173" Type="http://schemas.openxmlformats.org/officeDocument/2006/relationships/hyperlink" Target="https://www.sec.gov/Archives/edgar/data/879169/000110465924020600/tm245850d1_ex99-3.htm" TargetMode="External"/><Relationship Id="rId174" Type="http://schemas.openxmlformats.org/officeDocument/2006/relationships/hyperlink" Target="https://www.sec.gov/Archives/edgar/data/879169/000110465924020600/tm245850d1_ex99-4.htm" TargetMode="External"/><Relationship Id="rId175" Type="http://schemas.openxmlformats.org/officeDocument/2006/relationships/hyperlink" Target="https://www.sec.gov/Archives/edgar/data/879169/000087916924000172/exh103_usformofexecutiveof.htm" TargetMode="External"/><Relationship Id="rId176" Type="http://schemas.openxmlformats.org/officeDocument/2006/relationships/hyperlink" Target="https://www.sec.gov/Archives/edgar/data/879169/000087916924000172/exh104_usformofrsuawardagr.htm" TargetMode="External"/><Relationship Id="rId178" Type="http://schemas.openxmlformats.org/officeDocument/2006/relationships/hyperlink" Target="https://www.sec.gov/Archives/edgar/data/879169/000110465923071561/tm2318718d1_ex10-2.htm" TargetMode="External"/><Relationship Id="rId179" Type="http://schemas.openxmlformats.org/officeDocument/2006/relationships/hyperlink" Target="https://www.sec.gov/Archives/edgar/data/879169/000104746913001393/a2212845zex-10_14.htm" TargetMode="External"/><Relationship Id="rId180" Type="http://schemas.openxmlformats.org/officeDocument/2006/relationships/hyperlink" Target="https://www.sec.gov/Archives/edgar/data/879169/000110465912029092/a12-6693_1ex10d14.htm" TargetMode="External"/><Relationship Id="rId181" Type="http://schemas.openxmlformats.org/officeDocument/2006/relationships/hyperlink" Target="https://www.sec.gov/Archives/edgar/data/879169/000155837019003610/incy-20190331ex102573f77.htm" TargetMode="External"/><Relationship Id="rId182" Type="http://schemas.openxmlformats.org/officeDocument/2006/relationships/hyperlink" Target="https://www.sec.gov/Archives/edgar/data/879169/000155837019009326/incy-20190930ex10388737b.htm" TargetMode="External"/><Relationship Id="rId183" Type="http://schemas.openxmlformats.org/officeDocument/2006/relationships/hyperlink" Target="https://www.sec.gov/Archives/edgar/data/879169/000087916923000025/exhibit101-cagnoniofferlet.htm" TargetMode="External"/><Relationship Id="rId184" Type="http://schemas.openxmlformats.org/officeDocument/2006/relationships/hyperlink" Target="https://www.sec.gov/Archives/edgar/data/879169/000155837019009326/incy-20190930ex101e8f74d.htm" TargetMode="External"/><Relationship Id="rId185" Type="http://schemas.openxmlformats.org/officeDocument/2006/relationships/hyperlink" Target="https://www.sec.gov/Archives/edgar/data/879169/000155837019009326/incy-20190930ex10117002c.htm" TargetMode="External"/><Relationship Id="rId186" Type="http://schemas.openxmlformats.org/officeDocument/2006/relationships/hyperlink" Target="https://www.sec.gov/Archives/edgar/data/879169/000155837020005185/incy-20200331xex10d2.htm" TargetMode="External"/><Relationship Id="rId187" Type="http://schemas.openxmlformats.org/officeDocument/2006/relationships/hyperlink" Target="https://www.sec.gov/Archives/edgar/data/879169/000155837019009326/incy-20190930ex1020eebfd.htm" TargetMode="External"/><Relationship Id="rId188" Type="http://schemas.openxmlformats.org/officeDocument/2006/relationships/hyperlink" Target="https://www.sec.gov/Archives/edgar/data/879169/000155837019009326/incy-20190930ex1021f3558.htm" TargetMode="External"/><Relationship Id="rId189" Type="http://schemas.openxmlformats.org/officeDocument/2006/relationships/hyperlink" Target="https://www.sec.gov/Archives/edgar/data/879169/000155837019009326/incy-20190930ex10225e24a.htm" TargetMode="External"/><Relationship Id="rId190" Type="http://schemas.openxmlformats.org/officeDocument/2006/relationships/hyperlink" Target="https://www.sec.gov/Archives/edgar/data/879169/000110465917043033/a17-15971_1ex10d21d4.htm" TargetMode="External"/><Relationship Id="rId191" Type="http://schemas.openxmlformats.org/officeDocument/2006/relationships/hyperlink" Target="https://www.sec.gov/Archives/edgar/data/879169/000155837020009164/incy-20200630xex10d1.htm" TargetMode="External"/><Relationship Id="rId194" Type="http://schemas.openxmlformats.org/officeDocument/2006/relationships/hyperlink" Target="https://www.sec.gov/Archives/edgar/data/879169/000155837016003196/incy-20151231ex10283b05a.htm" TargetMode="External"/><Relationship Id="rId195" Type="http://schemas.openxmlformats.org/officeDocument/2006/relationships/hyperlink" Target="https://www.sec.gov/Archives/edgar/data/0000879169/000155837021014131/incy-20210930xex10d1.htm" TargetMode="External"/><Relationship Id="rId196" Type="http://schemas.openxmlformats.org/officeDocument/2006/relationships/hyperlink" Target="https://www.sec.gov/Archives/edgar/data/879169/000087916923000025/exhibit103-amendedcreditag.htm" TargetMode="External"/><Relationship Id="rId197" Type="http://schemas.openxmlformats.org/officeDocument/2006/relationships/hyperlink" Target="https://www.sec.gov/Archives/edgar/data/879169/000087916924000149/incytecorporationexhibit101.htm" TargetMode="External"/><Relationship Id="rId198" Type="http://schemas.openxmlformats.org/officeDocument/2006/relationships/hyperlink" Target="https://www.sec.gov/Archives/edgar/data/879169/000087916924000062/incytepolicyforrecoupmen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2025-02-10T15:15:10Z</dcterms:created>
  <dcterms:modified xsi:type="dcterms:W3CDTF">2025-02-10T15:15:10Z</dcterms:modified>
</cp:coreProperties>
</file>