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8199.xml.htm"/>
      <w:bookmarkStart w:id="1" w:name="kswkform4_17845781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Mayes Patrick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INCYTE CORP</w:t>
              </w:r>
            </w:hyperlink>
            <w:r>
              <w:rPr/>
              <w:t xml:space="preserve"> [ </w:t>
            </w:r>
            <w:r>
              <w:rPr>
                <w:rFonts w:ascii="Times;serif" w:hAnsi="Times;serif"/>
                <w:color w:val="0000FF"/>
                <w:sz w:val="24"/>
                <w:shd w:fill="FFFFFF" w:val="clear"/>
              </w:rPr>
              <w:t>INCY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5,916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63,628</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14,790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14,790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25,538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25,538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25,538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award of restricted stock units ("RSUs") that will vest 25% annually over four years. The RSUs may be settled only for shares of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Including the July 16, 2026 grant, this includes an aggregate of 74,327 shares of common stock issuable pursuant to previously reported restricted stock units that have not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share represents the right to receive up to 200% of one share of common stock. Such shares may be earned based upon the issuer's relative total shareholder return ("TSR") over a three-year performance period beginning on January 1, 2026 as compared to the TSR of companies in a fixed peer group, as set forth in the Performance Share Award Agreement. The earned shares will vest on the third anniversary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July 16, 2026 options become exercisable in 37 installments, with the first 25% vesting after one year and the remainder vesting monthly over three years. Remarks: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962" TargetMode="External"/><Relationship Id="rId5" Type="http://schemas.openxmlformats.org/officeDocument/2006/relationships/hyperlink" Target="http://www.sec.gov/cgi-bin/browse-edgar?action=getcompany&amp;CIK=0000879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4125</Characters>
  <CharactersWithSpaces>4800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