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1500" w:hanging="832"/>
        <w:spacing w:after="0"/>
        <w:tabs>
          <w:tab w:leader="none" w:pos="15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 or</w:t>
      </w:r>
    </w:p>
    <w:p>
      <w:pPr>
        <w:spacing w:after="0" w:line="69" w:lineRule="exact"/>
        <w:rPr>
          <w:sz w:val="24"/>
          <w:szCs w:val="24"/>
          <w:color w:val="auto"/>
        </w:rPr>
      </w:pPr>
    </w:p>
    <w:p>
      <w:pPr>
        <w:ind w:left="1500" w:hanging="820"/>
        <w:spacing w:after="0"/>
        <w:tabs>
          <w:tab w:leader="none" w:pos="15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58"/>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80" w:type="dxa"/>
            <w:vAlign w:val="bottom"/>
            <w:gridSpan w:val="4"/>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Commission File Number: 001-12400</w:t>
            </w:r>
          </w:p>
        </w:tc>
      </w:tr>
      <w:tr>
        <w:trPr>
          <w:trHeight w:val="28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center"/>
              <w:ind w:right="3688"/>
              <w:spacing w:after="0"/>
              <w:rPr>
                <w:sz w:val="20"/>
                <w:szCs w:val="20"/>
                <w:color w:val="auto"/>
              </w:rPr>
            </w:pPr>
            <w:r>
              <w:rPr>
                <w:rFonts w:ascii="Times New Roman" w:cs="Times New Roman" w:eastAsia="Times New Roman" w:hAnsi="Times New Roman"/>
                <w:sz w:val="23"/>
                <w:szCs w:val="23"/>
                <w:b w:val="1"/>
                <w:bCs w:val="1"/>
                <w:color w:val="auto"/>
              </w:rPr>
              <w:t>INCYTE CORPORATION</w:t>
            </w:r>
          </w:p>
        </w:tc>
      </w:tr>
      <w:tr>
        <w:trPr>
          <w:trHeight w:val="188"/>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80" w:type="dxa"/>
            <w:vAlign w:val="bottom"/>
            <w:gridSpan w:val="4"/>
          </w:tcPr>
          <w:p>
            <w:pPr>
              <w:jc w:val="center"/>
              <w:ind w:right="366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05"/>
        </w:trPr>
        <w:tc>
          <w:tcPr>
            <w:tcW w:w="3760" w:type="dxa"/>
            <w:vAlign w:val="bottom"/>
            <w:gridSpan w:val="2"/>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80" w:type="dxa"/>
            <w:vAlign w:val="bottom"/>
          </w:tcPr>
          <w:p>
            <w:pPr>
              <w:spacing w:after="0"/>
              <w:rPr>
                <w:sz w:val="24"/>
                <w:szCs w:val="24"/>
                <w:color w:val="auto"/>
              </w:rPr>
            </w:pPr>
          </w:p>
        </w:tc>
        <w:tc>
          <w:tcPr>
            <w:tcW w:w="4900" w:type="dxa"/>
            <w:vAlign w:val="bottom"/>
            <w:gridSpan w:val="3"/>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94-3136539</w:t>
            </w:r>
          </w:p>
        </w:tc>
      </w:tr>
      <w:tr>
        <w:trPr>
          <w:trHeight w:val="203"/>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color w:val="auto"/>
              </w:rPr>
              <w:t>(State of other jurisdiction</w:t>
            </w:r>
          </w:p>
        </w:tc>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8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1"/>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1801 Augustine Cut-Off</w:t>
            </w:r>
          </w:p>
        </w:tc>
        <w:tc>
          <w:tcPr>
            <w:tcW w:w="2580" w:type="dxa"/>
            <w:vAlign w:val="bottom"/>
          </w:tcPr>
          <w:p>
            <w:pPr>
              <w:spacing w:after="0"/>
              <w:rPr>
                <w:sz w:val="13"/>
                <w:szCs w:val="13"/>
                <w:color w:val="auto"/>
              </w:rPr>
            </w:pPr>
          </w:p>
        </w:tc>
        <w:tc>
          <w:tcPr>
            <w:tcW w:w="4900" w:type="dxa"/>
            <w:vAlign w:val="bottom"/>
            <w:gridSpan w:val="3"/>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19803</w:t>
            </w:r>
          </w:p>
        </w:tc>
      </w:tr>
      <w:tr>
        <w:trPr>
          <w:trHeight w:val="190"/>
        </w:trPr>
        <w:tc>
          <w:tcPr>
            <w:tcW w:w="3760" w:type="dxa"/>
            <w:vAlign w:val="bottom"/>
            <w:gridSpan w:val="2"/>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Wilmington, DE</w:t>
            </w:r>
          </w:p>
        </w:tc>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189"/>
        </w:trPr>
        <w:tc>
          <w:tcPr>
            <w:tcW w:w="6340" w:type="dxa"/>
            <w:vAlign w:val="bottom"/>
            <w:gridSpan w:val="3"/>
          </w:tcPr>
          <w:p>
            <w:pPr>
              <w:jc w:val="center"/>
              <w:ind w:right="642"/>
              <w:spacing w:after="0"/>
              <w:rPr>
                <w:sz w:val="20"/>
                <w:szCs w:val="20"/>
                <w:color w:val="auto"/>
              </w:rPr>
            </w:pPr>
            <w:r>
              <w:rPr>
                <w:rFonts w:ascii="Times New Roman" w:cs="Times New Roman" w:eastAsia="Times New Roman" w:hAnsi="Times New Roman"/>
                <w:sz w:val="14"/>
                <w:szCs w:val="14"/>
                <w:color w:val="auto"/>
              </w:rPr>
              <w:t>(Address of principal executives offices)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68"/>
              <w:spacing w:after="0"/>
              <w:rPr>
                <w:sz w:val="20"/>
                <w:szCs w:val="20"/>
                <w:color w:val="auto"/>
              </w:rPr>
            </w:pPr>
            <w:r>
              <w:rPr>
                <w:rFonts w:ascii="Times New Roman" w:cs="Times New Roman" w:eastAsia="Times New Roman" w:hAnsi="Times New Roman"/>
                <w:sz w:val="14"/>
                <w:szCs w:val="14"/>
                <w:color w:val="auto"/>
              </w:rPr>
              <w:t>(zip code)</w:t>
            </w: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900" w:type="dxa"/>
            <w:vAlign w:val="bottom"/>
            <w:gridSpan w:val="3"/>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(302) 498-6700</w:t>
            </w: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00" w:type="dxa"/>
            <w:vAlign w:val="bottom"/>
            <w:gridSpan w:val="3"/>
          </w:tcPr>
          <w:p>
            <w:pPr>
              <w:jc w:val="center"/>
              <w:ind w:right="64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8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center"/>
              <w:ind w:right="368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3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80" w:type="dxa"/>
            <w:vAlign w:val="bottom"/>
          </w:tcPr>
          <w:p>
            <w:pPr>
              <w:jc w:val="center"/>
              <w:ind w:left="104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580" w:type="dxa"/>
            <w:vAlign w:val="bottom"/>
          </w:tcPr>
          <w:p>
            <w:pPr>
              <w:jc w:val="center"/>
              <w:ind w:left="1042"/>
              <w:spacing w:after="0"/>
              <w:rPr>
                <w:sz w:val="20"/>
                <w:szCs w:val="20"/>
                <w:color w:val="auto"/>
              </w:rPr>
            </w:pPr>
            <w:r>
              <w:rPr>
                <w:rFonts w:ascii="Times New Roman" w:cs="Times New Roman" w:eastAsia="Times New Roman" w:hAnsi="Times New Roman"/>
                <w:sz w:val="14"/>
                <w:szCs w:val="14"/>
                <w:color w:val="auto"/>
                <w:w w:val="99"/>
              </w:rPr>
              <w:t>INCY</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84" w:lineRule="exact"/>
        <w:rPr>
          <w:sz w:val="24"/>
          <w:szCs w:val="24"/>
          <w:color w:val="auto"/>
        </w:rPr>
      </w:pPr>
    </w:p>
    <w:p>
      <w:pPr>
        <w:ind w:left="660" w:right="2860"/>
        <w:spacing w:after="0" w:line="372"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 (d)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ind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300"/>
        <w:spacing w:after="0"/>
        <w:tabs>
          <w:tab w:leader="none" w:pos="1820" w:val="left"/>
          <w:tab w:leader="none" w:pos="2380" w:val="left"/>
          <w:tab w:leader="none" w:pos="3580" w:val="left"/>
          <w:tab w:leader="none" w:pos="4200" w:val="left"/>
          <w:tab w:leader="none" w:pos="5720" w:val="left"/>
          <w:tab w:leader="none" w:pos="6400" w:val="left"/>
          <w:tab w:leader="none" w:pos="8320" w:val="left"/>
          <w:tab w:leader="none" w:pos="8920" w:val="left"/>
          <w:tab w:leader="none" w:pos="107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Wingdings" w:cs="Wingdings" w:eastAsia="Wingdings" w:hAnsi="Wingdings"/>
          <w:sz w:val="29"/>
          <w:szCs w:val="29"/>
          <w:b w:val="1"/>
          <w:bCs w:val="1"/>
          <w:color w:val="auto"/>
          <w:vertAlign w:val="subscript"/>
        </w:rPr>
        <w:t>o</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Wingdings" w:cs="Wingdings" w:eastAsia="Wingdings" w:hAnsi="Wingdings"/>
          <w:sz w:val="14"/>
          <w:szCs w:val="14"/>
          <w:b w:val="1"/>
          <w:bCs w:val="1"/>
          <w:color w:val="auto"/>
        </w:rPr>
        <w:t>o</w:t>
      </w:r>
    </w:p>
    <w:p>
      <w:pPr>
        <w:spacing w:after="0" w:line="168" w:lineRule="exact"/>
        <w:rPr>
          <w:sz w:val="24"/>
          <w:szCs w:val="24"/>
          <w:color w:val="auto"/>
        </w:rPr>
      </w:pPr>
    </w:p>
    <w:p>
      <w:pPr>
        <w:ind w:right="58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240" w:firstLine="648"/>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firstLine="648"/>
        <w:spacing w:after="0" w:line="31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r>
        <w:rPr>
          <w:rFonts w:ascii="Wingdings" w:cs="Wingdings" w:eastAsia="Wingdings" w:hAnsi="Wingdings"/>
          <w:sz w:val="14"/>
          <w:szCs w:val="14"/>
          <w:b w:val="1"/>
          <w:bCs w:val="1"/>
          <w:color w:val="auto"/>
        </w:rPr>
        <w:t>o</w:t>
      </w:r>
    </w:p>
    <w:p>
      <w:pPr>
        <w:spacing w:after="0" w:line="4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8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The aggregate market value of Common Stock held by non-affiliates (based on the closing sale price on The Nasdaq Global Select Market on June 30, 2023) was approximately $11.7</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billion.</w:t>
      </w:r>
    </w:p>
    <w:p>
      <w:pPr>
        <w:spacing w:after="0" w:line="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As of February 6, 2024 there were 224,526,128 shares of Common Stock, $.001 par value per share, outstanding.</w:t>
      </w:r>
    </w:p>
    <w:p>
      <w:pPr>
        <w:spacing w:after="0" w:line="1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jc w:val="both"/>
        <w:ind w:firstLine="648"/>
        <w:spacing w:after="0" w:line="271" w:lineRule="auto"/>
        <w:rPr>
          <w:sz w:val="20"/>
          <w:szCs w:val="20"/>
          <w:color w:val="auto"/>
        </w:rPr>
      </w:pPr>
      <w:r>
        <w:rPr>
          <w:rFonts w:ascii="Times New Roman" w:cs="Times New Roman" w:eastAsia="Times New Roman" w:hAnsi="Times New Roman"/>
          <w:sz w:val="14"/>
          <w:szCs w:val="14"/>
          <w:color w:val="auto"/>
        </w:rPr>
        <w:t>Items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2024 Annual Meeting of Stockholders to be held on June 12,</w:t>
      </w:r>
    </w:p>
    <w:p>
      <w:pPr>
        <w:sectPr>
          <w:pgSz w:w="11900" w:h="16838" w:orient="portrait"/>
          <w:cols w:equalWidth="0" w:num="1">
            <w:col w:w="11240"/>
          </w:cols>
          <w:pgMar w:left="320" w:top="513"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4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6720" w:type="dxa"/>
            <w:vAlign w:val="bottom"/>
            <w:gridSpan w:val="13"/>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20" w:type="dxa"/>
            <w:vAlign w:val="bottom"/>
          </w:tcPr>
          <w:p>
            <w:pPr>
              <w:spacing w:after="0"/>
              <w:rPr>
                <w:sz w:val="24"/>
                <w:szCs w:val="24"/>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00" w:type="dxa"/>
            <w:vAlign w:val="bottom"/>
            <w:gridSpan w:val="6"/>
          </w:tcPr>
          <w:p>
            <w:pPr>
              <w:spacing w:after="0"/>
              <w:rPr>
                <w:sz w:val="18"/>
                <w:szCs w:val="18"/>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7"/>
              </w:rPr>
              <w:t>Business</w:t>
            </w:r>
          </w:p>
        </w:tc>
        <w:tc>
          <w:tcPr>
            <w:tcW w:w="8180" w:type="dxa"/>
            <w:vAlign w:val="bottom"/>
            <w:gridSpan w:val="24"/>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820" w:type="dxa"/>
            <w:vAlign w:val="bottom"/>
            <w:gridSpan w:val="5"/>
          </w:tcPr>
          <w:p>
            <w:pPr>
              <w:spacing w:after="0"/>
              <w:rPr>
                <w:sz w:val="20"/>
                <w:szCs w:val="20"/>
                <w:color w:val="auto"/>
              </w:rPr>
            </w:pPr>
          </w:p>
        </w:tc>
        <w:tc>
          <w:tcPr>
            <w:tcW w:w="19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780" w:type="dxa"/>
            <w:vAlign w:val="bottom"/>
            <w:gridSpan w:val="14"/>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20" w:type="dxa"/>
            <w:vAlign w:val="bottom"/>
          </w:tcPr>
          <w:p>
            <w:pPr>
              <w:spacing w:after="0"/>
              <w:rPr>
                <w:sz w:val="20"/>
                <w:szCs w:val="20"/>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Borders>
              <w:top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0"/>
              </w:rPr>
              <w:t>Properties</w:t>
            </w:r>
          </w:p>
        </w:tc>
        <w:tc>
          <w:tcPr>
            <w:tcW w:w="260" w:type="dxa"/>
            <w:vAlign w:val="bottom"/>
            <w:tcBorders>
              <w:top w:val="single" w:sz="8" w:color="0000FF"/>
            </w:tcBorders>
            <w:gridSpan w:val="2"/>
          </w:tcPr>
          <w:p>
            <w:pPr>
              <w:spacing w:after="0"/>
              <w:rPr>
                <w:sz w:val="20"/>
                <w:szCs w:val="20"/>
                <w:color w:val="auto"/>
              </w:rPr>
            </w:pPr>
          </w:p>
        </w:tc>
        <w:tc>
          <w:tcPr>
            <w:tcW w:w="7820" w:type="dxa"/>
            <w:vAlign w:val="bottom"/>
            <w:gridSpan w:val="20"/>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00" w:type="dxa"/>
            <w:vAlign w:val="bottom"/>
            <w:gridSpan w:val="6"/>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00" w:type="dxa"/>
            <w:vAlign w:val="bottom"/>
            <w:gridSpan w:val="6"/>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6"/>
        </w:trPr>
        <w:tc>
          <w:tcPr>
            <w:tcW w:w="20" w:type="dxa"/>
            <w:vAlign w:val="bottom"/>
          </w:tcPr>
          <w:p>
            <w:pPr>
              <w:spacing w:after="0"/>
              <w:rPr>
                <w:sz w:val="20"/>
                <w:szCs w:val="20"/>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740" w:type="dxa"/>
            <w:vAlign w:val="bottom"/>
            <w:gridSpan w:val="4"/>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Borders>
              <w:top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80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Reserved</w:t>
            </w: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Borders>
              <w:bottom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6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360" w:type="dxa"/>
            <w:vAlign w:val="bottom"/>
            <w:gridSpan w:val="4"/>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6"/>
        </w:trPr>
        <w:tc>
          <w:tcPr>
            <w:tcW w:w="20" w:type="dxa"/>
            <w:vAlign w:val="bottom"/>
          </w:tcPr>
          <w:p>
            <w:pPr>
              <w:spacing w:after="0"/>
              <w:rPr>
                <w:sz w:val="20"/>
                <w:szCs w:val="20"/>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820" w:type="dxa"/>
            <w:vAlign w:val="bottom"/>
            <w:gridSpan w:val="5"/>
          </w:tcPr>
          <w:p>
            <w:pPr>
              <w:spacing w:after="0"/>
              <w:rPr>
                <w:sz w:val="20"/>
                <w:szCs w:val="20"/>
                <w:color w:val="auto"/>
              </w:rPr>
            </w:pPr>
          </w:p>
        </w:tc>
        <w:tc>
          <w:tcPr>
            <w:tcW w:w="43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60" w:type="dxa"/>
            <w:vAlign w:val="bottom"/>
            <w:gridSpan w:val="7"/>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20"/>
                <w:szCs w:val="20"/>
                <w:color w:val="auto"/>
              </w:rPr>
            </w:pP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820" w:type="dxa"/>
            <w:vAlign w:val="bottom"/>
            <w:gridSpan w:val="5"/>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7"/>
        </w:trPr>
        <w:tc>
          <w:tcPr>
            <w:tcW w:w="20" w:type="dxa"/>
            <w:vAlign w:val="bottom"/>
          </w:tcPr>
          <w:p>
            <w:pPr>
              <w:spacing w:after="0"/>
              <w:rPr>
                <w:sz w:val="20"/>
                <w:szCs w:val="20"/>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20" w:type="dxa"/>
            <w:vAlign w:val="bottom"/>
            <w:gridSpan w:val="5"/>
          </w:tcPr>
          <w:p>
            <w:pPr>
              <w:spacing w:after="0"/>
              <w:rPr>
                <w:sz w:val="20"/>
                <w:szCs w:val="20"/>
                <w:color w:val="auto"/>
              </w:rPr>
            </w:pPr>
          </w:p>
        </w:tc>
        <w:tc>
          <w:tcPr>
            <w:tcW w:w="1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60" w:type="dxa"/>
            <w:vAlign w:val="bottom"/>
            <w:gridSpan w:val="16"/>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820" w:type="dxa"/>
            <w:vAlign w:val="bottom"/>
            <w:gridSpan w:val="5"/>
          </w:tcPr>
          <w:p>
            <w:pPr>
              <w:spacing w:after="0"/>
              <w:rPr>
                <w:sz w:val="20"/>
                <w:szCs w:val="20"/>
                <w:color w:val="auto"/>
              </w:rPr>
            </w:pPr>
          </w:p>
        </w:tc>
        <w:tc>
          <w:tcPr>
            <w:tcW w:w="4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Disclosure Regarding Foreign Jurisdictions that Prevent Inspections</w:t>
            </w:r>
          </w:p>
        </w:tc>
        <w:tc>
          <w:tcPr>
            <w:tcW w:w="3920" w:type="dxa"/>
            <w:vAlign w:val="bottom"/>
            <w:gridSpan w:val="6"/>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6"/>
        </w:trPr>
        <w:tc>
          <w:tcPr>
            <w:tcW w:w="2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820" w:type="dxa"/>
            <w:vAlign w:val="bottom"/>
            <w:gridSpan w:val="5"/>
          </w:tcPr>
          <w:p>
            <w:pPr>
              <w:spacing w:after="0"/>
              <w:rPr>
                <w:sz w:val="20"/>
                <w:szCs w:val="20"/>
                <w:color w:val="auto"/>
              </w:rPr>
            </w:pPr>
          </w:p>
        </w:tc>
        <w:tc>
          <w:tcPr>
            <w:tcW w:w="17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5"/>
              </w:rPr>
              <w:t>Executive Compensation</w:t>
            </w:r>
          </w:p>
        </w:tc>
        <w:tc>
          <w:tcPr>
            <w:tcW w:w="2280" w:type="dxa"/>
            <w:vAlign w:val="bottom"/>
            <w:tcBorders>
              <w:top w:val="single" w:sz="8" w:color="0000FF"/>
            </w:tcBorders>
            <w:gridSpan w:val="7"/>
          </w:tcPr>
          <w:p>
            <w:pPr>
              <w:spacing w:after="0"/>
              <w:rPr>
                <w:sz w:val="20"/>
                <w:szCs w:val="20"/>
                <w:color w:val="auto"/>
              </w:rPr>
            </w:pPr>
          </w:p>
        </w:tc>
        <w:tc>
          <w:tcPr>
            <w:tcW w:w="4740" w:type="dxa"/>
            <w:vAlign w:val="bottom"/>
            <w:gridSpan w:val="8"/>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12.</w:t>
            </w: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00" w:type="dxa"/>
            <w:vAlign w:val="bottom"/>
            <w:gridSpan w:val="3"/>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20" w:type="dxa"/>
            <w:vAlign w:val="bottom"/>
          </w:tcPr>
          <w:p>
            <w:pPr>
              <w:spacing w:after="0"/>
              <w:rPr>
                <w:sz w:val="20"/>
                <w:szCs w:val="20"/>
                <w:color w:val="auto"/>
              </w:rPr>
            </w:pPr>
          </w:p>
        </w:tc>
        <w:tc>
          <w:tcPr>
            <w:tcW w:w="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700" w:type="dxa"/>
            <w:vAlign w:val="bottom"/>
            <w:gridSpan w:val="3"/>
          </w:tcPr>
          <w:p>
            <w:pPr>
              <w:spacing w:after="0"/>
              <w:rPr>
                <w:sz w:val="20"/>
                <w:szCs w:val="20"/>
                <w:color w:val="auto"/>
              </w:rPr>
            </w:pPr>
          </w:p>
        </w:tc>
        <w:tc>
          <w:tcPr>
            <w:tcW w:w="53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380" w:type="dxa"/>
            <w:vAlign w:val="bottom"/>
            <w:gridSpan w:val="5"/>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700" w:type="dxa"/>
            <w:vAlign w:val="bottom"/>
            <w:gridSpan w:val="3"/>
          </w:tcPr>
          <w:p>
            <w:pPr>
              <w:spacing w:after="0"/>
              <w:rPr>
                <w:sz w:val="20"/>
                <w:szCs w:val="20"/>
                <w:color w:val="auto"/>
              </w:rPr>
            </w:pP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87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9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gridSpan w:val="18"/>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72" w:lineRule="exact"/>
        <w:rPr>
          <w:sz w:val="20"/>
          <w:szCs w:val="20"/>
          <w:color w:val="auto"/>
        </w:rPr>
      </w:pPr>
    </w:p>
    <w:p>
      <w:pPr>
        <w:jc w:val="both"/>
        <w:ind w:left="980" w:hanging="324"/>
        <w:spacing w:after="0"/>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and ZYNYZ</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w:t>
      </w:r>
    </w:p>
    <w:p>
      <w:pPr>
        <w:spacing w:after="0" w:line="2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 and governmental proceedings;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58"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our drug products and drug candidates;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JAKAVI, OLUMIANT, TABRECTA and the drug candidates licensed from us;</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117" w:lineRule="exact"/>
        <w:rPr>
          <w:rFonts w:ascii="Times New Roman" w:cs="Times New Roman" w:eastAsia="Times New Roman" w:hAnsi="Times New Roman"/>
          <w:sz w:val="18"/>
          <w:szCs w:val="18"/>
          <w:color w:val="auto"/>
        </w:rPr>
      </w:pPr>
    </w:p>
    <w:p>
      <w:pPr>
        <w:ind w:left="980" w:hanging="324"/>
        <w:spacing w:after="0" w:line="28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7"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We also refer to trademarks of other corporations and organizations in this Annual Report on Form 10-K.</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76" w:lineRule="exact"/>
        <w:rPr>
          <w:sz w:val="20"/>
          <w:szCs w:val="20"/>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4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8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3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one of our drug candidates receives regulatory approval, we may determine that commercialization would not be worth the investment.</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3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3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hematology and oncology franchise comprises five approved products, which are JAKAFI (ruxolitinib), MONJUVI (tafasitamab-cxix)/MINJUVI (tafasitamab), PEMAZYRE (pemigatinib), ICLUSIG (ponatinib) and ZYNYZ (retifanlimab-dlwr), as well as numerous clinical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0"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2023, we were notified by the Centers for Medicare and Medicaid Services (CMS) that ruxolitinib phosphate qualified for the Small Biotech Exception.</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MF is a rare, life-threatening condition. MF, considered the most serious of the myeloproliferative neoplasms, can occur either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3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 volume percentage of red blood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3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2016, we announced data from the Phase 3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 genetically dissimilar stem cells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the FDA approved JAKAFI for the treatment of chronic GVHD after failure of one or two lines of systemic therapy in adult and pediatric patients 12 years and older. This approval was based on data from REACH3, a Phase 3,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Tafasitamab is an Fc-engineered antibody against CD19 currently in clinical development for the treatment of B cell malignancies. Under the terms of the collaboration and license agreement, we received rights to co-commercialize tafasitamab in the United States with MorphoSys, and exclusive development and commercialization rights outside of the United States. As more fully described in Note 18 of Notes to the Consolidated Financial Statements, in February 2024, we entered into a purchase agreement with MorphoSys, the result of which we now hold exclusive global rights for tafasitamab, and the collaboration and license agreement was terminated.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2020, we and MorphoSys announced that the FDA had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2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 and final five-year data were presented at the American Association for Cancer Research (AACR) 2023, which showed that the MONJUVI plus lenalidomide regimen followed by MONJUVI monotherapy provided prolonged, durable responses in adult patients with r/r DLBCL.</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and MorphoSys announced that the European Commission had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2020, we announced that the FDA had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for the treatment of adults with locally advanced or metastatic cholangiocarcinoma with an FGFR2 fusion or rearrangement that has progressed after at least one prior line of systemic therapy.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March 2022, PEMAZYRE was approved by the National Medical Products Administration (NMPA) of the People</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Republic of China for the treatment of adults with locally advanced or metastatic cholangiocarcinoma with a fibroblast growth receptor 2 (FGFR2) fusion or rearrangement as confirmed by a validated diagnostic test that has progressed after at least one prior line of systemic therapy.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3 trial of pemigatinib for the first-line treatment of patients with cholangiocarcinoma and FGFR2 fusions or rearrangements, is ongoing.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2023, PEMAZYRE was approved by the MHLW for the treatment of MLNs with FGFR1 fusion.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currently is being evaluated both as monotherapy and in combination therapy across various tumor types. Two Phase 3 trials evaluating retifanlimab in squamous cell anal cancer (SCAC) and non-small cell lung cancer (NSCLC) are ongoing.</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March 2023, we announced that the FDA had approved ZYNYZ (retifanlimab-dlwr), a humanized monoclonal antibody targeting programmed death receptor-1 (PD-1), under accelerated approval, for the treatment of adults with metastatic or recurrent locally advanced Merkel cell carcinoma (MCC). This represents the first regulatory approval for our PD-1 inhibitor.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Virtual Congress in June 2021. In March 2023, the FDA issued a complete response letter for ruxolitinib extended-release (XR) tablets for once-daily (QD) use in the treatment of certain types of MF, PV and GVHD. In December 2023, we received FDA feedback and agreed on the requirements to address the complete response letter.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Phase 2 trials combining ruxolitinib with investigational agents from our portfolio such as INCB57643 (BET) and INCB00928 (Zilurgisertib) in patients with MF are ongoing, and updated data demonstrating early signals of clinical activity of both agents in monotherapy and in combination with ruxolitinib were presented in June 2023 at the American Society of Clinical Oncology (ASCO) annual meeting and in December 2023 at the American Society of Hematology (ASH) meeting. Additional discovery and development initiatives are also ongoing, advancing two Phase 1 studies with INCA33989 (mCALR) and INCB160058 (JAK2V617Fi), both of which hold the potential to be disease modifying therapeutics and address significant unmet need in MF, PV and ET.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Axatilimab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where CSF-1R-dependent monocytes and macrophages are believed to contribute to organ fibrosis. In December 2021, updated positive data were presented at ASH from the Phase 1/2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In May 2022, Syndax announced that axatilimab had been granted fast-track designation by the FDA for the treatment of patients with chronic GVHD after failure of two or more lines of systemic therapy.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2023, we and Syndax announced that AGAVE-201 had met its primary endpoint across all cohorts with an overall response rate (ORR) of 74% at the dose of 0.3 mg/kg administered every two weeks. The data highlight the durable response seen at the 0.3 mg/kg dose with 60% of patients who responded to axatilimab still responding at one year. In December 2023, a Biologics License Application (BLA) was submitted to the FDA for axatilimab for the treatment of patients with chronic GVHD after failure of two or more lines of systemic therapy. Plans are underway to initiate two combination trials with axatilimab in cGVHD in mid-2024, including a randomized Phase 2 combination trial with ruxolitinib and a randomized Phase 3 combination trial with steroids, both directed at treating patients with cGVHD in earlier lines of therapy.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INCA033989 (mCALR)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 July 2023, a Phase 1 study evaluating INCA033989 was initiated.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new research detailing the development and mechanism of action of INCB160058, an Incyte-discovered, investigational novel potent and selective JAK2 pseudokinase domain binder with potential to be a disease modifying therapeutic was disclosed at the 65th American Society of Hematology (ASH) Annual Meeting. Pseudokinase binding offers a new mechanism of action for selective inhibition of JAK2V617F, with potential to eradicate mutant clones. In preclinical studies, INCB160058 inhibited cytokine independent activity of JAK2V617F while sparing WT JAK2. The JAK2V617F mutation is found in 55% of primary myelofibrosis, 95% of polycythemia vera and 60% of essential thrombocythemia patients. We currently plan to initiate a Phase 1 study of INCB160058 in the second quarter of 2024.</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2 combination trial (L-MIND) is investigating the safety and efficacy of tafasitamab in combination with lenalidomide in patients with relapsed or refractory diffuse large B-cell lymphoma (r/r DLBCL), and the ongoing Phase 3 B-MIND trial is assessing the combination of tafasitamab and bendamustine versus rituximab and bendamustine in r/r DLBCL. firstMIND is a Phase 1b safety trial of tafasitamab as a first-line therapy for patients with DLBCL, and frontMIND, a placebo-controlled Phase 3 trial evaluating tafasitamab in combination with lenalidomide added to rituximab plus chemotherapy (R-CHOP) as a first-line therapy for patients with DLBCL, is ongoing.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placebo-controlled Phase 3 trial (inMIND) of tafasitamab added to lenalidomide plus rituximab (R</w:t>
      </w:r>
      <w:r>
        <w:rPr>
          <w:rFonts w:ascii="Times New Roman" w:cs="Times New Roman" w:eastAsia="Times New Roman" w:hAnsi="Times New Roman"/>
          <w:sz w:val="8"/>
          <w:szCs w:val="8"/>
          <w:color w:val="auto"/>
        </w:rPr>
        <w:t>2</w:t>
      </w:r>
      <w:r>
        <w:rPr>
          <w:rFonts w:ascii="Times New Roman" w:cs="Times New Roman" w:eastAsia="Times New Roman" w:hAnsi="Times New Roman"/>
          <w:sz w:val="18"/>
          <w:szCs w:val="18"/>
          <w:color w:val="auto"/>
        </w:rPr>
        <w:t>) in patients with relapsed or refractory follicular or marginal zone lymphomas is ongoing.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2021, the FDA granted orphan drug designation to tafasitamab as a treatment for patients with follicular lymphoma.</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Pemigatinib</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initiated the FIGHT clinical program to evaluate pemigatinib across a spectrum of cancers that are driven by FGF/FGFR alterations. The program initially included three Phase 2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3 study in first-line cholangiocarcinoma. FIGHT-207, a solid tumor-agnostic trial evaluating pemigatinib in patients with driver-alterations of FGF/FGFR, is now closed to recruitment. Based on findings from this study, we have identified populations that potentially may benefit from treatment with pemigatinib, and a Phase 2 trial, FIGHT-209, in patients with glioblastoma is ongoing.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Phase 3 POD1UM-303 trial of retifanlimab in combination with platinum-based chemotherapy as a first-line treatment for patients with squamous cell carcinoma of the anal canal (SCAC) is ongoing. In July 2021, we announced that the FDA issued a complete response letter (CRL) for the BLA of retifanlimab for the treatment of SCAC. In October 2021, we announced that we withdrew the MAA seeking approval of retifanlimab in SCAC.</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Phase 3 POD1UM-304 trial is evaluating retifanlimab in combination with platinum-based chemotherapy as a first-line treatment for patients with non-small cell lung cancer (NSCLC).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Oral PD-L1</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2021, we highlighted Phase 1 clinical safety and efficacy data for our oral PD-L1 program which included two compounds, INCB99280 and INCB99318. Tumor shrinkage was observed for both oral PD-L1 inhibitors and both were generally well tolerated. We plan to evaluate INCB99280 in Phase 2 as monotherapy and in combination with other antitumor agents. Further dose escalation and dose expansion trials are ongoing with INCB99318.</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2022, (i) updated safety and preliminary efficacy data for INCB99280 and INCB99318 was presented at the Society for Immunotherapy of Cancer, and (ii) we and Mirati Therapeutics, Inc. announced a clinical trial collaboration and supply agreement to investigate the combination of INCB99280 and adagrasib, a KRASG12C selective inhibitor, in patients with KRASG12C-mutated solid tumors.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2023, we initiated two Phase 1 studies evaluating INCB99280 in combination with axitinib (VEGF) and in combination with ipilimumab (CTLA-4). A Phase 2 study evaluating INCB99280 in patients with select solid tumors who are checkpoint inhibitor naive also was initiated. Additionally, we initiated a Phase 2 study evaluating INCB99280 in metastatic cutaneous squamous cell carcinoma (cSCC) or locally advanced cSCC. We and Replimune Group, Inc. announced a clinical trial collaboration and supply agreement to investigate the combination of INCB99280 and RP1 in patients with cutaneous squamous cell carcinoma. RP1 is Replimune’s lead oncolytic immunotherapy product candidate and is based on a proprietary new strain of herpes simplex virus engineered for robust tumor selective replication and genetically armed with a fusogenic protein (GALV-GP R-) and GM-CSF, intended to maximize tumor killing potency, the immunogenicity of tumor cell death and the activation of a systemic anti-tumor immune response.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MPN, GVHD and Oncology Programs</w:t>
            </w: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9"/>
        </w:trPr>
        <w:tc>
          <w:tcPr>
            <w:tcW w:w="3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Ruxolitinib XR (QD)</w:t>
            </w:r>
          </w:p>
        </w:tc>
        <w:tc>
          <w:tcPr>
            <w:tcW w:w="7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Myelofibrosis, polycythemia vera and GVHD</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7300" w:type="dxa"/>
            <w:vAlign w:val="bottom"/>
            <w:shd w:val="clear" w:color="auto" w:fill="CCEEFF"/>
          </w:tcPr>
          <w:p>
            <w:pPr>
              <w:spacing w:after="0"/>
              <w:rPr>
                <w:sz w:val="19"/>
                <w:szCs w:val="19"/>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zilurgisertib</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ALK2)</w:t>
            </w:r>
          </w:p>
        </w:tc>
        <w:tc>
          <w:tcPr>
            <w:tcW w:w="73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 INCB57643</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Myelofibrosis: Phase 2</w:t>
            </w: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BET)</w:t>
            </w:r>
          </w:p>
        </w:tc>
        <w:tc>
          <w:tcPr>
            <w:tcW w:w="7300" w:type="dxa"/>
            <w:vAlign w:val="bottom"/>
            <w:tcBorders>
              <w:bottom w:val="single" w:sz="8" w:color="CCEEFF"/>
            </w:tcBorders>
            <w:shd w:val="clear" w:color="auto" w:fill="CCEEFF"/>
          </w:tcPr>
          <w:p>
            <w:pPr>
              <w:spacing w:after="0"/>
              <w:rPr>
                <w:sz w:val="21"/>
                <w:szCs w:val="21"/>
                <w:color w:val="auto"/>
              </w:rPr>
            </w:pPr>
          </w:p>
        </w:tc>
      </w:tr>
      <w:tr>
        <w:trPr>
          <w:trHeight w:val="221"/>
        </w:trPr>
        <w:tc>
          <w:tcPr>
            <w:tcW w:w="394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 CK0804</w:t>
            </w:r>
            <w:r>
              <w:rPr>
                <w:rFonts w:ascii="Times New Roman" w:cs="Times New Roman" w:eastAsia="Times New Roman" w:hAnsi="Times New Roman"/>
                <w:sz w:val="23"/>
                <w:szCs w:val="23"/>
                <w:b w:val="1"/>
                <w:bCs w:val="1"/>
                <w:color w:val="auto"/>
                <w:vertAlign w:val="superscript"/>
              </w:rPr>
              <w:t>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Myelofibrosis: Phase 1 (LIMBER-TREG108)</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CB-Tregs)</w:t>
            </w:r>
          </w:p>
        </w:tc>
        <w:tc>
          <w:tcPr>
            <w:tcW w:w="73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5"/>
        </w:trPr>
        <w:tc>
          <w:tcPr>
            <w:tcW w:w="39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Axatilimab (anti-CSF-1R)</w:t>
            </w:r>
            <w:r>
              <w:rPr>
                <w:rFonts w:ascii="Times New Roman" w:cs="Times New Roman" w:eastAsia="Times New Roman" w:hAnsi="Times New Roman"/>
                <w:sz w:val="23"/>
                <w:szCs w:val="23"/>
                <w:b w:val="1"/>
                <w:bCs w:val="1"/>
                <w:color w:val="auto"/>
                <w:vertAlign w:val="superscript"/>
              </w:rPr>
              <w:t>2</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GVHD: Pivotal Phase 2 (third-line plus therapy) (AGAVE-201); BLA under review in the</w:t>
            </w:r>
          </w:p>
        </w:tc>
      </w:tr>
      <w:tr>
        <w:trPr>
          <w:trHeight w:val="241"/>
        </w:trPr>
        <w:tc>
          <w:tcPr>
            <w:tcW w:w="394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r>
      <w:tr>
        <w:trPr>
          <w:trHeight w:val="221"/>
        </w:trPr>
        <w:tc>
          <w:tcPr>
            <w:tcW w:w="394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 axatilimab</w:t>
            </w:r>
            <w:r>
              <w:rPr>
                <w:rFonts w:ascii="Times New Roman" w:cs="Times New Roman" w:eastAsia="Times New Roman" w:hAnsi="Times New Roman"/>
                <w:sz w:val="23"/>
                <w:szCs w:val="23"/>
                <w:b w:val="1"/>
                <w:bCs w:val="1"/>
                <w:color w:val="auto"/>
                <w:vertAlign w:val="superscript"/>
              </w:rPr>
              <w:t>2</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Chronic GVHD: Phase 1/2 in preparation</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anti-CSF-1R)</w:t>
            </w:r>
          </w:p>
        </w:tc>
        <w:tc>
          <w:tcPr>
            <w:tcW w:w="73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0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INCA033989</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Myelofibrosis, essential thrombocythemia: Phase 1</w:t>
            </w: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(mCALR)</w:t>
            </w:r>
          </w:p>
        </w:tc>
        <w:tc>
          <w:tcPr>
            <w:tcW w:w="7300" w:type="dxa"/>
            <w:vAlign w:val="bottom"/>
            <w:tcBorders>
              <w:bottom w:val="single" w:sz="8" w:color="CCEEFF"/>
            </w:tcBorders>
            <w:shd w:val="clear" w:color="auto" w:fill="CCEEFF"/>
          </w:tcPr>
          <w:p>
            <w:pPr>
              <w:spacing w:after="0"/>
              <w:rPr>
                <w:sz w:val="21"/>
                <w:szCs w:val="21"/>
                <w:color w:val="auto"/>
              </w:rPr>
            </w:pPr>
          </w:p>
        </w:tc>
      </w:tr>
      <w:tr>
        <w:trPr>
          <w:trHeight w:val="20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INCB160058</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1</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(JAK2V617Fi)</w:t>
            </w:r>
          </w:p>
        </w:tc>
        <w:tc>
          <w:tcPr>
            <w:tcW w:w="73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0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Pemigatinib (PEMAZYRE)</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Myeloid/lymphoid neoplasms (MLN): approved in the U.S. and Japan</w:t>
            </w:r>
          </w:p>
        </w:tc>
      </w:tr>
      <w:tr>
        <w:trPr>
          <w:trHeight w:val="23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(FGFR1/2/3)</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Cholangiocarcinoma (CCA): Phase 3 (FIGHT-302)</w:t>
            </w:r>
          </w:p>
        </w:tc>
      </w:tr>
      <w:tr>
        <w:trPr>
          <w:trHeight w:val="241"/>
        </w:trPr>
        <w:tc>
          <w:tcPr>
            <w:tcW w:w="394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Glioblastoma: Phase 2 (FIGHT-209)</w:t>
            </w: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Tafasitamab (MONJUVI/MINJUVI)</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Relapsed or refractory diffuse large B-cell lymphoma (DLBCL): Phase 3 (B-MIND)</w:t>
            </w:r>
          </w:p>
        </w:tc>
      </w:tr>
      <w:tr>
        <w:trPr>
          <w:trHeight w:val="22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(CD19)</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First-line DLBCL: Phase 3 (</w:t>
            </w:r>
            <w:r>
              <w:rPr>
                <w:rFonts w:ascii="Times New Roman" w:cs="Times New Roman" w:eastAsia="Times New Roman" w:hAnsi="Times New Roman"/>
                <w:sz w:val="18"/>
                <w:szCs w:val="18"/>
                <w:i w:val="1"/>
                <w:iCs w:val="1"/>
                <w:color w:val="auto"/>
              </w:rPr>
              <w:t>front</w:t>
            </w:r>
            <w:r>
              <w:rPr>
                <w:rFonts w:ascii="Times New Roman" w:cs="Times New Roman" w:eastAsia="Times New Roman" w:hAnsi="Times New Roman"/>
                <w:sz w:val="18"/>
                <w:szCs w:val="18"/>
                <w:color w:val="auto"/>
              </w:rPr>
              <w:t>MIND)</w:t>
            </w:r>
          </w:p>
        </w:tc>
      </w:tr>
      <w:tr>
        <w:trPr>
          <w:trHeight w:val="214"/>
        </w:trPr>
        <w:tc>
          <w:tcPr>
            <w:tcW w:w="394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Relapsed or refractory follicular lymphoma (FL) and relapsed or refractory marginal zone</w:t>
            </w:r>
          </w:p>
        </w:tc>
      </w:tr>
      <w:tr>
        <w:trPr>
          <w:trHeight w:val="236"/>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lymphoma (MZL): Phase 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MIND)</w:t>
            </w: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1"/>
        </w:trPr>
        <w:tc>
          <w:tcPr>
            <w:tcW w:w="394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Retifanlimab (ZYNYZ)</w:t>
            </w:r>
            <w:r>
              <w:rPr>
                <w:rFonts w:ascii="Times New Roman" w:cs="Times New Roman" w:eastAsia="Times New Roman" w:hAnsi="Times New Roman"/>
                <w:sz w:val="23"/>
                <w:szCs w:val="23"/>
                <w:b w:val="1"/>
                <w:bCs w:val="1"/>
                <w:color w:val="auto"/>
                <w:vertAlign w:val="superscript"/>
              </w:rPr>
              <w:t>3</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Merkel cell carcinoma (MCC): approved in the U.S.</w:t>
            </w:r>
          </w:p>
        </w:tc>
      </w:tr>
      <w:tr>
        <w:trPr>
          <w:trHeight w:val="22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(PD-1)</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Squamous cell anal cancer (SCAC): Phase 3 (POD1UM-303)</w:t>
            </w:r>
          </w:p>
        </w:tc>
      </w:tr>
      <w:tr>
        <w:trPr>
          <w:trHeight w:val="216"/>
        </w:trPr>
        <w:tc>
          <w:tcPr>
            <w:tcW w:w="394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Non-small cell lung cancer (NSCLC): Phase 3 (POD1UM-304)</w:t>
            </w:r>
          </w:p>
        </w:tc>
      </w:tr>
      <w:tr>
        <w:trPr>
          <w:trHeight w:val="241"/>
        </w:trPr>
        <w:tc>
          <w:tcPr>
            <w:tcW w:w="394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MSI-high endometrial cancer: Phase 2 (POD1UM-101, POD1UM-204)</w:t>
            </w: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INCB99280</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Solid tumors (combination): Phase 1</w:t>
            </w:r>
          </w:p>
        </w:tc>
      </w:tr>
      <w:tr>
        <w:trPr>
          <w:trHeight w:val="22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(Oral PD-L1)</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Solid tumors (monotherapy): Phase 2</w:t>
            </w:r>
          </w:p>
        </w:tc>
      </w:t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Cutaneous squamous cell carcinoma (cSCC): Phase 2</w:t>
            </w: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INCB99318</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tumors: Phase 1</w:t>
            </w: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(Oral PD-L1)</w:t>
            </w:r>
          </w:p>
        </w:tc>
        <w:tc>
          <w:tcPr>
            <w:tcW w:w="7300" w:type="dxa"/>
            <w:vAlign w:val="bottom"/>
            <w:tcBorders>
              <w:bottom w:val="single" w:sz="8" w:color="CCEEFF"/>
            </w:tcBorders>
            <w:shd w:val="clear" w:color="auto" w:fill="CCEEFF"/>
          </w:tcPr>
          <w:p>
            <w:pPr>
              <w:spacing w:after="0"/>
              <w:rPr>
                <w:sz w:val="21"/>
                <w:szCs w:val="21"/>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INCB123667</w:t>
            </w: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Solid tumors with Amplification/ Overexpression of CCNE1: Phase 1</w:t>
            </w: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(CDK2i)</w:t>
            </w:r>
          </w:p>
        </w:tc>
        <w:tc>
          <w:tcPr>
            <w:tcW w:w="730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INCB161734</w:t>
            </w: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metastatic solid tumors with a KRAS G12D mutation: Phase 1</w:t>
            </w:r>
          </w:p>
        </w:tc>
      </w:tr>
      <w:tr>
        <w:trPr>
          <w:trHeight w:val="24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(KRASG12D)</w:t>
            </w:r>
          </w:p>
        </w:tc>
        <w:tc>
          <w:tcPr>
            <w:tcW w:w="7300" w:type="dxa"/>
            <w:vAlign w:val="bottom"/>
            <w:tcBorders>
              <w:bottom w:val="single" w:sz="8" w:color="CCEEFF"/>
            </w:tcBorders>
            <w:shd w:val="clear" w:color="auto" w:fill="CCEEFF"/>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bl>
    <w:p>
      <w:pPr>
        <w:spacing w:after="0" w:line="33"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Cellenkos, Inc.</w:t>
      </w:r>
    </w:p>
    <w:p>
      <w:pPr>
        <w:spacing w:after="0" w:line="1"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Clinical development of axatilimab in GVHD conducted in collaboration with Syndax Pharmaceuticals.</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Hematology and Oncology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2023, we presented data at the American Association for Cancer Research (AACR) Annual Meeting, demonstrating that INCB123667 exhibited significant single-agent activity in vivo, in CCNE1 high breast cancer xenograft and patient-derived xenograft models. INCB123667 currently is being evaluated in a Phase 1 clinical trial in patients with advanced malignancies including CCNE1 high TNBC and HR+HER2- tumors post-CDK4/6 inhibitors.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we disclosed that early clinical activity was observed in patients with amplification/over expression of CCNE1 in a Phase 1 clinical trial, with significant tumor shrinkage observed. Several patients achieved partial responses (PR) across multiple tumor types including ovarian cancer patients with CCNE1 amplification and/or over expression. The safety data seen during this disclosure aligns with CDK2 mechanism of action. Additional data from this trial is anticipated in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INCA32459 (LAG-3xPD-1)</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collaboration with Merus N.V. we have developed INCA32459, a novel LAG3xPD-1 bispecific antibody that is currently being evaluated in clinical studies.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April 2023, we presented preclinical data at AACR that showed that INCA33890 inhibits tumor growth in PD-1-resistant mouse models. In July 2023, we initiated a Phase 1 study evaluating INCA33890 in patients with select advanced solid tumors.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0637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Candidates</w:t>
            </w:r>
          </w:p>
        </w:tc>
      </w:tr>
      <w:tr>
        <w:trPr>
          <w:trHeight w:val="27"/>
        </w:trPr>
        <w:tc>
          <w:tcPr>
            <w:tcW w:w="364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r>
      <w:tr>
        <w:trPr>
          <w:trHeight w:val="264"/>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Monoclonal antibodies</w:t>
            </w:r>
          </w:p>
        </w:tc>
        <w:tc>
          <w:tcPr>
            <w:tcW w:w="750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INCAGN2385 (LAG-3)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INCAGN2390 (TIM-3)</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2"/>
                <w:szCs w:val="22"/>
                <w:color w:val="auto"/>
              </w:rPr>
            </w:pPr>
          </w:p>
        </w:tc>
      </w:tr>
      <w:tr>
        <w:trPr>
          <w:trHeight w:val="189"/>
        </w:trPr>
        <w:tc>
          <w:tcPr>
            <w:tcW w:w="3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Bi-specific antibodies</w:t>
            </w:r>
          </w:p>
        </w:tc>
        <w:tc>
          <w:tcPr>
            <w:tcW w:w="7580" w:type="dxa"/>
            <w:vAlign w:val="bottom"/>
            <w:gridSpan w:val="2"/>
          </w:tcPr>
          <w:p>
            <w:pPr>
              <w:ind w:left="1880"/>
              <w:spacing w:after="0" w:line="189" w:lineRule="exact"/>
              <w:rPr>
                <w:sz w:val="20"/>
                <w:szCs w:val="20"/>
                <w:color w:val="auto"/>
              </w:rPr>
            </w:pPr>
            <w:r>
              <w:rPr>
                <w:rFonts w:ascii="Times New Roman" w:cs="Times New Roman" w:eastAsia="Times New Roman" w:hAnsi="Times New Roman"/>
                <w:sz w:val="17"/>
                <w:szCs w:val="17"/>
                <w:color w:val="auto"/>
              </w:rPr>
              <w:t>INCA32459 (LAG-3xPD-1)</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INCA33890 (TGFβR2xPD-1)</w:t>
            </w:r>
            <w:r>
              <w:rPr>
                <w:rFonts w:ascii="Times New Roman" w:cs="Times New Roman" w:eastAsia="Times New Roman" w:hAnsi="Times New Roman"/>
                <w:sz w:val="21"/>
                <w:szCs w:val="21"/>
                <w:color w:val="auto"/>
                <w:vertAlign w:val="superscript"/>
              </w:rPr>
              <w:t>2</w:t>
            </w:r>
          </w:p>
        </w:tc>
      </w:tr>
      <w:tr>
        <w:trPr>
          <w:trHeight w:val="81"/>
        </w:trPr>
        <w:tc>
          <w:tcPr>
            <w:tcW w:w="3640" w:type="dxa"/>
            <w:vAlign w:val="bottom"/>
          </w:tcPr>
          <w:p>
            <w:pPr>
              <w:spacing w:after="0"/>
              <w:rPr>
                <w:sz w:val="7"/>
                <w:szCs w:val="7"/>
                <w:color w:val="auto"/>
              </w:rPr>
            </w:pPr>
          </w:p>
        </w:tc>
        <w:tc>
          <w:tcPr>
            <w:tcW w:w="7580" w:type="dxa"/>
            <w:vAlign w:val="bottom"/>
            <w:gridSpan w:val="2"/>
          </w:tcPr>
          <w:p>
            <w:pPr>
              <w:jc w:val="right"/>
              <w:spacing w:after="0" w:line="61" w:lineRule="exact"/>
              <w:rPr>
                <w:sz w:val="20"/>
                <w:szCs w:val="20"/>
                <w:color w:val="auto"/>
              </w:rPr>
            </w:pPr>
            <w:r>
              <w:rPr>
                <w:rFonts w:ascii="Times New Roman" w:cs="Times New Roman" w:eastAsia="Times New Roman" w:hAnsi="Times New Roman"/>
                <w:sz w:val="7"/>
                <w:szCs w:val="7"/>
                <w:color w:val="auto"/>
              </w:rPr>
              <w:t>1.</w:t>
            </w:r>
          </w:p>
        </w:tc>
      </w:tr>
      <w:tr>
        <w:trPr>
          <w:trHeight w:val="20"/>
        </w:trPr>
        <w:tc>
          <w:tcPr>
            <w:tcW w:w="3640" w:type="dxa"/>
            <w:vAlign w:val="bottom"/>
            <w:shd w:val="clear" w:color="auto" w:fill="000000"/>
          </w:tcPr>
          <w:p>
            <w:pPr>
              <w:spacing w:after="0" w:line="20" w:lineRule="exact"/>
              <w:rPr>
                <w:sz w:val="1"/>
                <w:szCs w:val="1"/>
                <w:color w:val="auto"/>
              </w:rPr>
            </w:pPr>
          </w:p>
        </w:tc>
        <w:tc>
          <w:tcPr>
            <w:tcW w:w="7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collaboration with Agenus Inc.</w:t>
      </w:r>
    </w:p>
    <w:p>
      <w:pPr>
        <w:ind w:left="140" w:hanging="132"/>
        <w:spacing w:after="0" w:line="220" w:lineRule="auto"/>
        <w:tabs>
          <w:tab w:leader="none" w:pos="1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Development collaboration with Merus.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 (IAI)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following FDA approval for atopic dermatitis in September 2021. OPZELURA subsequently was approved by the FDA and European Commission for vitiligo in July 2022 and April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Incyte’s IAI efforts also include numerous clinical development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we announced that the FDA approved OPZELURA (ruxolitinib) cream, a novel cream formulation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approval of OPZELURA was based on data from two randomized, double-blind, vehicle-controlled Phase 3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18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we announced that the FDA approved OPZELURA for the topical treatment of nonsegmental vitiligo in adult and pediatric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12 years of age and older. OPZELURA was approved for continuous use and no limits to duration as a treatment for nonsegmental vitiligo.</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approval of OPZELURA in vitiligo was based on two randomized, double-blind, vehicle-controlled Phase 3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 In March 2023, long-term 104-week safety and efficacy data for ruxolitinib cream in vitiligo were presented at the American Academy of Dermatology (AAD) conference, demonstrating that patients who achieved a high level of facial repigmentation (≥F-VASI90) at Week 52 maintained durable response one year following withdrawal of treatment and that those patients who continued treatment with OPZELURA for up to two years demonstrated sustained facial repigmentation and further improvements in facial and total body repigmentation.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2023, we announced that the European Commission had approved OPZELURA for the topical treatment of nonsegmental vitiligo with facial involvement in adults and adolescents 12 years and older following a positive opinion from the Committee for Medicinal Products for Human Use (CHMP).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new results of a pooled analysis of long-term extension (LTE) data from the pivotal Phase 3 TRuE-V program assessing OPZELURA cream 1.5% in patients 12 years of age and older with nonsegmental vitiligo who previously experienced limited or no response to treatment at Week 24 were presented at the European Academy of Dermatology and Venereology (EADV) Congress 2023 as a late-breaking oral presentation. These results showed that patients who initially experienced limited or no facial or total body repigmentation at six months achieved improved repigmentation after continued treatment with OPZELURA for up to two years.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2024, Incyte received approval in France to promote and distribute OPZELURA for vitiligo under a process called “Accès Direct.” This process is intended to allow for early access to a therapy while a final price is negotiated, which is expected to take up to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Ruxolitinib cream is a potent, selective inhibitor of JAK1 and JAK2 that provides the opportunity to directly target diverse pathogenic pathways that underlie certain dermatologic conditions, including atopic dermatitis, vitiligo, lichen planus, lichen sclerosus, hidradenitis suppurativa and prurigo nodularis.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2022, we initiated two Phase 2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Two Phase 3 trials evaluating ruxolitinib cream in prurigo nodularis were initiated in 2023. We continue to expand the development of ruxolitinib cream into new indications as part of our efforts to maximize the potential opportunity with ruxolitinib cream.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July 2023, we announced that the Phase 3 trial (TRuE-AD3) evaluating ruxolitinib cream in pediatric AD patients (age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&lt;12) had met its primary endpoint. The study showed that significantly more patients treated with ruxolitinib cream 0.75% and 1.5% achieved Investigator's Global Assessment Treatment Success (IGA-TS) than patients treated with vehicle control. In October 2023, the expanded results from the pivotal Phase 3 TRuE-AD3 were presented at EADV. Again, significantly more patients treated with ruxolitinib cream (0.75% and 1.5%) achieved Investigator’s Global Assessment Treatment Success (IGA-TS) than patients treated with vehicle control (non-medicated cream).</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we announced positive topline results from a randomized controlled Phase 2 study evaluating ruxolitinib cream in Hidradenitis Suppurativa (HS). Ruxolitinib 1.5% cream BID met the primary efficacy endpoint as measured by a change from baseline in abscess and nodule count at Week 16 versus placebo in patients with mild to moderate HS. Ruxolitinib cream was well tolerated and consistent with its known safety profile. A Phase 3 study is currently under evaluation.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are developing povorcitinib (formerly INCB54707), which is an oral small molecule selective JAK1 inhibitor. Povorcitinib is undergoing evaluation in patients with hidradenitis suppurativa (HS), nonsegmental vitiligo, prurigo nodularis (PN), asthma and chronic spontaneous urticaria (CSU).</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2020, initial results from the clinical program were presented and a randomized Phase 2b trial of povorcitinib was initiated in patients with HS. In August 2022, we presented positive results from the Phase 2 trial of povorcitinib in HS. In December 2022, we initiated two Phase 3 trials (STOP-HS1 and STOP-HS2) in moderate to severe HS.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52-week results from the Phase 2 study evaluating povorcitinib in HS were presented as an oral presentation at the European Hidradenitis Suppurativa Foundation (EHSF) Annual Meeting. The data demonstrated that longer-term treatment with povorcitinib 75 mg resulted in sustained and durable efficacy across all treatment arms and that importantly, 22-29% of patients achieved HiSCR100, which is defined as a 100% reduction from baseline in total AN count with no increase from baseline in abscess or draining tunnel count.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2023, 36-week results from the Phase 2b study evaluating povorcitinib in patients with extensive nonsegmental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vitiligo were presented as an oral late-breaking presentation at the American Academy of Dermatology (AAD) Annual Meeting. The data demonstrated that treatment with oral povorcitinib was associated with substantial total body repigmentation in patients with extensive nonsegmental vitiligo, as measured by total Vitiligo Area Scoring Index (T-VASI) scores. Specifically, the study met its primary endpoint, and patients receiving povorcitinib experienced statistically superior improvements in T-VASI at Week 24 compared to placebo.</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positive 52-week data from a Phase 2b clinical trial evaluating the safety and efficacy of povorcitinib in adult patients with extensive nonsegmental vitiligo were presented at EADV as a late-breaking oral presentation. Results showed that treatment with oral povorcitinib was associated with substantial total body and facial repigmentation across all treatment groups at Week 52 and further reinforces the efficacy profile and potential of povorcitinib as an oral treatment for patients with extensive nonsegmental vitiligo.</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A Phase 3 study in PN is being planned.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w:t>
      </w:r>
      <w:r>
        <w:rPr>
          <w:rFonts w:ascii="Times New Roman" w:cs="Times New Roman" w:eastAsia="Times New Roman" w:hAnsi="Times New Roman"/>
          <w:sz w:val="18"/>
          <w:szCs w:val="18"/>
          <w:color w:val="auto"/>
        </w:rPr>
        <w:t>In July 2023, we initiated two Phase 2 trials evaluating povorcitinib in patients with moderate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severe uncontrolled asthma and in chronic spontaneous urticaria.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IAI and Dermatology Programs</w:t>
            </w: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21"/>
        </w:trPr>
        <w:tc>
          <w:tcPr>
            <w:tcW w:w="27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cream (OPZELURA)</w:t>
            </w:r>
            <w:r>
              <w:rPr>
                <w:rFonts w:ascii="Times New Roman" w:cs="Times New Roman" w:eastAsia="Times New Roman" w:hAnsi="Times New Roman"/>
                <w:sz w:val="23"/>
                <w:szCs w:val="23"/>
                <w:b w:val="1"/>
                <w:bCs w:val="1"/>
                <w:color w:val="auto"/>
                <w:vertAlign w:val="superscript"/>
              </w:rPr>
              <w:t>1</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 Phase 3 pediatric study (TRuE-AD3)</w:t>
            </w:r>
          </w:p>
        </w:tc>
      </w:tr>
      <w:tr>
        <w:trPr>
          <w:trHeight w:val="22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Vitiligo: Approved in the U.S. and Europe</w:t>
            </w:r>
          </w:p>
        </w:tc>
      </w:tr>
      <w:tr>
        <w:trPr>
          <w:trHeight w:val="216"/>
        </w:trPr>
        <w:tc>
          <w:tcPr>
            <w:tcW w:w="276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Lichen planus: Phase 2</w:t>
            </w:r>
          </w:p>
        </w:tc>
      </w:tr>
      <w:tr>
        <w:trPr>
          <w:trHeight w:val="216"/>
        </w:trPr>
        <w:tc>
          <w:tcPr>
            <w:tcW w:w="276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Lichen sclerosus: Phase 2</w:t>
            </w:r>
          </w:p>
        </w:tc>
      </w:tr>
      <w:tr>
        <w:trPr>
          <w:trHeight w:val="216"/>
        </w:trPr>
        <w:tc>
          <w:tcPr>
            <w:tcW w:w="276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Hidradenitis suppurativa: Phase 2; Phase 3 being evaluated</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Prurigo nodularis: Phase 3 (TRuE-PN1, TRuE-PN2)</w:t>
            </w:r>
          </w:p>
        </w:tc>
      </w:tr>
      <w:tr>
        <w:trPr>
          <w:trHeight w:val="221"/>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Ruxolitinib cream + UVB</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Vitiligo: Phase 2</w:t>
            </w:r>
          </w:p>
        </w:tc>
      </w:t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 + phototherapy)</w:t>
            </w:r>
          </w:p>
        </w:tc>
        <w:tc>
          <w:tcPr>
            <w:tcW w:w="848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Povorcitinib</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Hidradenitis suppurativa: Phase 3 (STOP-HS1, STOP-HS2)</w:t>
            </w:r>
          </w:p>
        </w:tc>
      </w:tr>
      <w:tr>
        <w:trPr>
          <w:trHeight w:val="22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w:t>
            </w: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Vitiligo: Phase 3 (STOP-V1, STOP-V2)</w:t>
            </w:r>
          </w:p>
        </w:tc>
      </w:tr>
      <w:tr>
        <w:trPr>
          <w:trHeight w:val="216"/>
        </w:trPr>
        <w:tc>
          <w:tcPr>
            <w:tcW w:w="276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Prurigo nodularis: Phase 2; Phase 3 in planning</w:t>
            </w:r>
          </w:p>
        </w:tc>
      </w:tr>
      <w:tr>
        <w:trPr>
          <w:trHeight w:val="216"/>
        </w:trPr>
        <w:tc>
          <w:tcPr>
            <w:tcW w:w="276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Asthma: Phase 2</w:t>
            </w:r>
          </w:p>
        </w:tc>
      </w:tr>
      <w:tr>
        <w:trPr>
          <w:trHeight w:val="241"/>
        </w:trPr>
        <w:tc>
          <w:tcPr>
            <w:tcW w:w="276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Chronic spontaneous urticaria: Phase 2</w:t>
            </w:r>
          </w:p>
        </w:tc>
      </w:tr>
      <w:tr>
        <w:trPr>
          <w:trHeight w:val="221"/>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INCA034460</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Vitiligo: Phase 1 initiated</w:t>
            </w:r>
          </w:p>
        </w:tc>
      </w:t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(anti-IL-15Rβ)</w:t>
            </w:r>
          </w:p>
        </w:tc>
        <w:tc>
          <w:tcPr>
            <w:tcW w:w="8480" w:type="dxa"/>
            <w:vAlign w:val="bottom"/>
          </w:tcPr>
          <w:p>
            <w:pPr>
              <w:spacing w:after="0"/>
              <w:rPr>
                <w:sz w:val="20"/>
                <w:szCs w:val="20"/>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ind w:firstLine="8"/>
        <w:spacing w:after="0" w:line="229" w:lineRule="auto"/>
        <w:tabs>
          <w:tab w:leader="none" w:pos="14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Earlier-Stage Development Programs in Dermatology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INCA034460</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(TRM) that has demonstrated efficacy as a treatment for vitiligo in preclinical models. In July 2023, INCA034460 received Investigational New Drug application (IND) clearance and in October 2023, we announced the first patient had been dosed.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Other IAI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IAI Program</w:t>
            </w:r>
          </w:p>
        </w:tc>
        <w:tc>
          <w:tcPr>
            <w:tcW w:w="9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189"/>
        </w:trPr>
        <w:tc>
          <w:tcPr>
            <w:tcW w:w="2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Zilurgisertib</w:t>
            </w:r>
          </w:p>
        </w:tc>
        <w:tc>
          <w:tcPr>
            <w:tcW w:w="9040" w:type="dxa"/>
            <w:vAlign w:val="bottom"/>
            <w:shd w:val="clear" w:color="auto" w:fill="CCEEFF"/>
          </w:tcPr>
          <w:p>
            <w:pPr>
              <w:ind w:left="660"/>
              <w:spacing w:after="0" w:line="189" w:lineRule="exact"/>
              <w:rPr>
                <w:sz w:val="20"/>
                <w:szCs w:val="20"/>
                <w:color w:val="auto"/>
              </w:rPr>
            </w:pPr>
            <w:r>
              <w:rPr>
                <w:rFonts w:ascii="Times New Roman" w:cs="Times New Roman" w:eastAsia="Times New Roman" w:hAnsi="Times New Roman"/>
                <w:sz w:val="18"/>
                <w:szCs w:val="18"/>
                <w:color w:val="auto"/>
              </w:rPr>
              <w:t>Fibrodysplasia ossificans progressiva: Pivotal Phase 2</w:t>
            </w:r>
          </w:p>
        </w:tc>
      </w:tr>
      <w:tr>
        <w:trPr>
          <w:trHeight w:val="229"/>
        </w:trPr>
        <w:tc>
          <w:tcPr>
            <w:tcW w:w="2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(ALK2)</w:t>
            </w:r>
          </w:p>
        </w:tc>
        <w:tc>
          <w:tcPr>
            <w:tcW w:w="9040" w:type="dxa"/>
            <w:vAlign w:val="bottom"/>
            <w:tcBorders>
              <w:bottom w:val="single" w:sz="8" w:color="auto"/>
            </w:tcBorders>
            <w:shd w:val="clear" w:color="auto" w:fill="CCEEFF"/>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 immune mechanisms that lead to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and swelling and, in some patients, the progressive destruction of joints. Rheumatoid arthritis also can affect connective tissue in the skin and organs of the body.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safe and effective treatment options for these patients. Rheumatoid arthritis is estimated to affect about 1% of the world’s population.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Phase 3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3 trials met their respective primary endpoints.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2016, Lilly submitted a New Drug Application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2019, we and Lilly announced that baricitinib met the primary endpoint in BREEZE-AD1 and BREEZE-AD2, two Phase 3 studies evaluating the efficacy and safety of baricitinib monotherapy for the treatment of adult patients with moderate-to-severe AD and, in August 2019, we and Lilly announced that baricitinib met the primary endpoint in BREEZE-AD7, a Phase 3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 causing hair loss in patches.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2020, Lilly announced that baricitinib received Breakthrough Therapy designation for the treatment of alopecia areata, based on the positive Phase 2 results of Lilly’s adaptive Phase 2/3 study BRAVE-AA1. In March 2021, we and Lilly announced positive results from BRAVE-AA2, the Phase 3 trial evaluating the efficacy and safety of once-daily baricitinib in adults with severe alopecia areata. In April 2021, we and Lilly announced positive results from the Phase 3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 inflammation. In addition to affecting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skin and joints, it can affect other organs in the body such as the kidneys, the tissue lining the lungs and heart, and the brain. Lilly has conducted a Phase 2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2022, Lilly announced the discontinuation of the Phase 3 development program for baricitinib in SLE based on top-line efficacy results from two pivotal Phase 3 trials (SLE-BRAVE-I and –II). The primary endpoint of SRI-4 response was reached in SLE-BRAVE-I but was not reached in SLE-BRAVE-II and key secondary endpoints were not met in either study.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COVID-19. </w:t>
      </w:r>
      <w:r>
        <w:rPr>
          <w:rFonts w:ascii="Times New Roman" w:cs="Times New Roman" w:eastAsia="Times New Roman" w:hAnsi="Times New Roman"/>
          <w:sz w:val="18"/>
          <w:szCs w:val="18"/>
          <w:color w:val="auto"/>
        </w:rPr>
        <w:t>In May 2020, we amended our agreement with Lilly to enable Lilly to commercialize baricitinib for the treatment of COVID-19.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2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GVHD is a life-threatening complication of stem cell transplants, with no established standard of care in Europe for patients who do not adequately respond to first-line steroid treatment. In May 2022, we and Novartis announced the European Commission approval of ruxolitinib as JAKAVI for the treatment of acute or chronic GVHD in patients aged 12 years and older who have inadequate response to corticosteroids or other systemic therapies. In August 2023, Novartis announced that JAKAVI had been approved in Japan for use in graft-versus-host disease after hematopoietic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Partnered Programs</w:t>
            </w:r>
          </w:p>
        </w:tc>
        <w:tc>
          <w:tcPr>
            <w:tcW w:w="8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Indication and Phase</w:t>
            </w:r>
          </w:p>
        </w:tc>
      </w:tr>
      <w:tr>
        <w:trPr>
          <w:trHeight w:val="221"/>
        </w:trPr>
        <w:tc>
          <w:tcPr>
            <w:tcW w:w="23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Ruxolitinib (JAKAVI)</w:t>
            </w:r>
            <w:r>
              <w:rPr>
                <w:rFonts w:ascii="Times New Roman" w:cs="Times New Roman" w:eastAsia="Times New Roman" w:hAnsi="Times New Roman"/>
                <w:sz w:val="23"/>
                <w:szCs w:val="23"/>
                <w:b w:val="1"/>
                <w:bCs w:val="1"/>
                <w:color w:val="auto"/>
                <w:vertAlign w:val="superscript"/>
              </w:rPr>
              <w:t>1</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Acute and chronic GVHD: Approved in Europe and Japan</w:t>
            </w:r>
          </w:p>
        </w:tc>
      </w:tr>
      <w:tr>
        <w:trPr>
          <w:trHeight w:val="245"/>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60" w:type="dxa"/>
            <w:vAlign w:val="bottom"/>
            <w:tcBorders>
              <w:bottom w:val="single" w:sz="8" w:color="CCEEFF"/>
            </w:tcBorders>
            <w:shd w:val="clear" w:color="auto" w:fill="CCEEFF"/>
          </w:tcPr>
          <w:p>
            <w:pPr>
              <w:spacing w:after="0"/>
              <w:rPr>
                <w:sz w:val="21"/>
                <w:szCs w:val="21"/>
                <w:color w:val="auto"/>
              </w:rPr>
            </w:pPr>
          </w:p>
        </w:tc>
      </w:tr>
      <w:tr>
        <w:trPr>
          <w:trHeight w:val="221"/>
        </w:trPr>
        <w:tc>
          <w:tcPr>
            <w:tcW w:w="238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Baricitinib (OLUMIANT)</w:t>
            </w:r>
            <w:r>
              <w:rPr>
                <w:rFonts w:ascii="Times New Roman" w:cs="Times New Roman" w:eastAsia="Times New Roman" w:hAnsi="Times New Roman"/>
                <w:sz w:val="23"/>
                <w:szCs w:val="23"/>
                <w:b w:val="1"/>
                <w:bCs w:val="1"/>
                <w:color w:val="auto"/>
                <w:vertAlign w:val="superscript"/>
              </w:rPr>
              <w:t>2</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 Approved in Europe and Japan</w:t>
            </w: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8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Severe alopecia areata (AA): Approved in the U.S., Europe and Japan</w:t>
            </w:r>
          </w:p>
        </w:tc>
      </w:tr>
      <w:tr>
        <w:trPr>
          <w:trHeight w:val="27"/>
        </w:trPr>
        <w:tc>
          <w:tcPr>
            <w:tcW w:w="238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1"/>
        </w:trPr>
        <w:tc>
          <w:tcPr>
            <w:tcW w:w="23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Capmatinib (TABRECTA)</w:t>
            </w:r>
            <w:r>
              <w:rPr>
                <w:rFonts w:ascii="Times New Roman" w:cs="Times New Roman" w:eastAsia="Times New Roman" w:hAnsi="Times New Roman"/>
                <w:sz w:val="23"/>
                <w:szCs w:val="23"/>
                <w:b w:val="1"/>
                <w:bCs w:val="1"/>
                <w:color w:val="auto"/>
                <w:vertAlign w:val="superscript"/>
              </w:rPr>
              <w:t>3</w:t>
            </w:r>
          </w:p>
        </w:tc>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NSCLC (with MET exon 14 skipping mutations): Approved in the U.S., Europe and Japan</w:t>
            </w:r>
          </w:p>
        </w:tc>
      </w:tr>
      <w:tr>
        <w:trPr>
          <w:trHeight w:val="245"/>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w:t>
            </w:r>
          </w:p>
        </w:tc>
        <w:tc>
          <w:tcPr>
            <w:tcW w:w="8860" w:type="dxa"/>
            <w:vAlign w:val="bottom"/>
            <w:tcBorders>
              <w:bottom w:val="single" w:sz="8" w:color="CCEEFF"/>
            </w:tcBorders>
            <w:shd w:val="clear" w:color="auto" w:fill="CCEEFF"/>
          </w:tcPr>
          <w:p>
            <w:pPr>
              <w:spacing w:after="0"/>
              <w:rPr>
                <w:sz w:val="21"/>
                <w:szCs w:val="2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8860" w:type="dxa"/>
            <w:vAlign w:val="bottom"/>
            <w:shd w:val="clear" w:color="auto" w:fill="000000"/>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ruxolitinib licensed to Novartis outside of the United States for use in hematology and oncology excluding topical administration.</w:t>
      </w:r>
    </w:p>
    <w:p>
      <w:pPr>
        <w:ind w:left="140" w:hanging="132"/>
        <w:spacing w:after="0" w:line="194" w:lineRule="auto"/>
        <w:tabs>
          <w:tab w:leader="none" w:pos="1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baricitinib licensed to Lilly.</w:t>
      </w:r>
    </w:p>
    <w:p>
      <w:pPr>
        <w:spacing w:after="0" w:line="2" w:lineRule="exact"/>
        <w:rPr>
          <w:rFonts w:ascii="Times New Roman" w:cs="Times New Roman" w:eastAsia="Times New Roman" w:hAnsi="Times New Roman"/>
          <w:sz w:val="23"/>
          <w:szCs w:val="23"/>
          <w:color w:val="auto"/>
          <w:vertAlign w:val="superscript"/>
        </w:rPr>
      </w:pPr>
    </w:p>
    <w:p>
      <w:pPr>
        <w:ind w:left="140" w:hanging="132"/>
        <w:spacing w:after="0" w:line="194" w:lineRule="auto"/>
        <w:tabs>
          <w:tab w:leader="none" w:pos="1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capmatinib licensed to Novartis.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at Note 7 of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SNDX-6352 (axatilimab), Syndax’s anti-CSF-1R monoclonal antibody. Axatilimab was granted Orphan Drug Designation by the FDA in March 2021 for the treatment of chronic GVHD and again in April 2021 for the treatment of idiopathic pulmonary fibrosis. Under the terms of this agreement, we received exclusive commercialization rights to axatilimab outside of the United States, and co-commercialization rights in the United States.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Incyte’s Approach to Drug Discovery and Development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In addition to our small molecules expertise, we have added a biologics discovery capability in-house and have expanded our discovery scope to include bispecific antibodies through a collaboration with Merus.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succeed in our objective to discover and advance novel therapeutics that address serious unmet medical needs, we have established a broad range of discovery capabilities in-house, including target validation, high-throughput screening, medicinal chemistry, computational chemistry, structural biology, pharmacological and translational sciences, ADME (absorption, distribution, metabolism and excretion) and toxicology assessment. We augment these capabilities through collaborations with academic and contract laboratory resources with relevant expertise.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Driven by a target- and pathway-centric discovery process, our pipeline has grown and is currently focused primarily in targeted oncology and dermatology. We conduct a limited number of discovery programs in parallel at any one time. This focus allows us to allocate resources to our selected programs at a level that we believe is competitive with larger pharmaceutical companies. We resource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our compounds reach clinical development, our objective is to rapidly progress the lead candidate into a proof-of-concept clinical trial to assess quickly the therapeutic potential of the clinical candidate itself as well as its underlying mechanism of action. This information is then used to evaluate the compound’s development opportunities, identify the most appropriate indication(s) to pursue, and develop a clinical and regulatory plan to advance the molecule.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 pharmacovigilance and project management. We have also built internal chemistry, manufacturing and controls, and formulation teams that work closely with external GMP contract manufacturers to support our drug development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Incyte’s Commercial Strategy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strategy is to develop and commercialize compounds that we have internally discovered or have acquired rights to in the markets where we believe that a company of our size can successfully compete. We currently commercialize five compounds in the United States, three in Europe and one in Japan. These commercialized products are sold to specialty and retail pharmacies, specialty distributors and wholesalers in the United States in addition to retail pharmacies, hospital pharmacies, distributors and an exclusive wholesaler outside of the United States. We continue to expand our marketing, medical and operational infrastructure within the United States and outside of the United States to support the commercial launch of recently approved products and to prepare for potential approval of other products.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certain compounds, we have established and may in the future establish collaborations or strategic relationships to support development and commercialization in certain territories or therapeutic areas where we do not have or do not want to build expertise. We believe the key benefits to entering into such strategic relationships include the potential to expedite the development and commercialization of certain of our compounds, as well as the opportunity to receive upfront payments and future milestones and royalties in exchange for certain rights to those compounds. Refer to the “License Agreements and Business Relationships” section above for information regarding our collaborations and strategic relationships.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Other 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all our drug products and drug candidates. The patents and patent applications relating to our drug products and drug candidates generally include claims directed to the compounds, methods of using the compounds, formulations of the compounds, pharmaceutical salt forms of the compounds, and methods of manufacturing the compounds. Our policy is to pursue patent applications on inventions and discoveries that we believe are commercially important to the development and growth of our business. The following table sets forth the status of the patents and patent applications in the United States, the European Union, and Japan for our approved medicines and for those compounds in our portfolio that have been submitted to regulatory authorities seeking approval or are in registration-directed clinical trials: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32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Status of U.S. Composition of Matter Patent</w:t>
            </w:r>
          </w:p>
        </w:tc>
        <w:tc>
          <w:tcPr>
            <w:tcW w:w="28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 of Japan Composition of Matter</w:t>
            </w:r>
          </w:p>
        </w:tc>
      </w:tr>
      <w:tr>
        <w:trPr>
          <w:trHeight w:val="162"/>
        </w:trPr>
        <w:tc>
          <w:tcPr>
            <w:tcW w:w="2320" w:type="dxa"/>
            <w:vAlign w:val="bottom"/>
          </w:tcPr>
          <w:p>
            <w:pPr>
              <w:spacing w:after="0"/>
              <w:rPr>
                <w:sz w:val="14"/>
                <w:szCs w:val="14"/>
                <w:color w:val="auto"/>
              </w:rPr>
            </w:pPr>
          </w:p>
        </w:tc>
        <w:tc>
          <w:tcPr>
            <w:tcW w:w="32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 of EU Composition of Matter Patent</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Patent Estate (Earliest Anticipated</w:t>
            </w:r>
          </w:p>
        </w:tc>
      </w:tr>
      <w:tr>
        <w:trPr>
          <w:trHeight w:val="172"/>
        </w:trPr>
        <w:tc>
          <w:tcPr>
            <w:tcW w:w="2320" w:type="dxa"/>
            <w:vAlign w:val="bottom"/>
          </w:tcPr>
          <w:p>
            <w:pPr>
              <w:spacing w:after="0"/>
              <w:rPr>
                <w:sz w:val="14"/>
                <w:szCs w:val="14"/>
                <w:color w:val="auto"/>
              </w:rPr>
            </w:pPr>
          </w:p>
        </w:tc>
        <w:tc>
          <w:tcPr>
            <w:tcW w:w="32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(Earliest Anticipated Expiration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Estate (Earliest Anticipated Expiration</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Including SPC Extensions where</w:t>
            </w:r>
          </w:p>
        </w:tc>
      </w:tr>
      <w:tr>
        <w:trPr>
          <w:trHeight w:val="23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Drug/Drug Candidate (Target)</w:t>
            </w:r>
          </w:p>
        </w:tc>
        <w:tc>
          <w:tcPr>
            <w:tcW w:w="322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Including PTE Extensions where granted)</w:t>
            </w:r>
            <w:r>
              <w:rPr>
                <w:rFonts w:ascii="Times New Roman" w:cs="Times New Roman" w:eastAsia="Times New Roman" w:hAnsi="Times New Roman"/>
                <w:sz w:val="18"/>
                <w:szCs w:val="18"/>
                <w:b w:val="1"/>
                <w:bCs w:val="1"/>
                <w:color w:val="auto"/>
                <w:vertAlign w:val="superscript"/>
              </w:rPr>
              <w:t>3</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Including SPC Extensions where granted)</w:t>
            </w:r>
            <w:r>
              <w:rPr>
                <w:rFonts w:ascii="Times New Roman" w:cs="Times New Roman" w:eastAsia="Times New Roman" w:hAnsi="Times New Roman"/>
                <w:sz w:val="9"/>
                <w:szCs w:val="9"/>
                <w:b w:val="1"/>
                <w:bCs w:val="1"/>
                <w:color w:val="auto"/>
              </w:rPr>
              <w:t>3</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granted)</w:t>
            </w:r>
            <w:r>
              <w:rPr>
                <w:rFonts w:ascii="Times New Roman" w:cs="Times New Roman" w:eastAsia="Times New Roman" w:hAnsi="Times New Roman"/>
                <w:sz w:val="18"/>
                <w:szCs w:val="18"/>
                <w:b w:val="1"/>
                <w:bCs w:val="1"/>
                <w:color w:val="auto"/>
                <w:w w:val="97"/>
                <w:vertAlign w:val="superscript"/>
              </w:rPr>
              <w:t>3</w:t>
            </w:r>
          </w:p>
        </w:tc>
      </w:tr>
      <w:tr>
        <w:trPr>
          <w:trHeight w:val="237"/>
        </w:trPr>
        <w:tc>
          <w:tcPr>
            <w:tcW w:w="23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ruxolitinib (JAK)</w:t>
            </w:r>
            <w:r>
              <w:rPr>
                <w:rFonts w:ascii="Times New Roman" w:cs="Times New Roman" w:eastAsia="Times New Roman" w:hAnsi="Times New Roman"/>
                <w:sz w:val="21"/>
                <w:szCs w:val="21"/>
                <w:color w:val="auto"/>
                <w:vertAlign w:val="superscript"/>
              </w:rPr>
              <w:t>1,2</w:t>
            </w:r>
          </w:p>
        </w:tc>
        <w:tc>
          <w:tcPr>
            <w:tcW w:w="3220" w:type="dxa"/>
            <w:vAlign w:val="bottom"/>
            <w:shd w:val="clear" w:color="auto" w:fill="CCEEFF"/>
          </w:tcPr>
          <w:p>
            <w:pPr>
              <w:ind w:left="420"/>
              <w:spacing w:after="0" w:line="237" w:lineRule="exact"/>
              <w:rPr>
                <w:sz w:val="20"/>
                <w:szCs w:val="20"/>
                <w:color w:val="auto"/>
              </w:rPr>
            </w:pPr>
            <w:r>
              <w:rPr>
                <w:rFonts w:ascii="Times New Roman" w:cs="Times New Roman" w:eastAsia="Times New Roman" w:hAnsi="Times New Roman"/>
                <w:sz w:val="16"/>
                <w:szCs w:val="16"/>
                <w:color w:val="auto"/>
              </w:rPr>
              <w:t>Granted and pending (2028)</w:t>
            </w:r>
            <w:r>
              <w:rPr>
                <w:rFonts w:ascii="Times New Roman" w:cs="Times New Roman" w:eastAsia="Times New Roman" w:hAnsi="Times New Roman"/>
                <w:sz w:val="21"/>
                <w:szCs w:val="21"/>
                <w:color w:val="auto"/>
                <w:vertAlign w:val="superscript"/>
              </w:rPr>
              <w:t>9</w:t>
            </w:r>
          </w:p>
        </w:tc>
        <w:tc>
          <w:tcPr>
            <w:tcW w:w="2820" w:type="dxa"/>
            <w:vAlign w:val="bottom"/>
            <w:shd w:val="clear" w:color="auto" w:fill="CCEEFF"/>
          </w:tcPr>
          <w:p>
            <w:pPr>
              <w:ind w:left="40"/>
              <w:spacing w:after="0" w:line="237" w:lineRule="exact"/>
              <w:rPr>
                <w:sz w:val="20"/>
                <w:szCs w:val="20"/>
                <w:color w:val="auto"/>
              </w:rPr>
            </w:pPr>
            <w:r>
              <w:rPr>
                <w:rFonts w:ascii="Times New Roman" w:cs="Times New Roman" w:eastAsia="Times New Roman" w:hAnsi="Times New Roman"/>
                <w:sz w:val="16"/>
                <w:szCs w:val="16"/>
                <w:color w:val="auto"/>
              </w:rPr>
              <w:t>Granted and pending (2027)</w:t>
            </w:r>
            <w:r>
              <w:rPr>
                <w:rFonts w:ascii="Times New Roman" w:cs="Times New Roman" w:eastAsia="Times New Roman" w:hAnsi="Times New Roman"/>
                <w:sz w:val="21"/>
                <w:szCs w:val="21"/>
                <w:color w:val="auto"/>
                <w:vertAlign w:val="superscript"/>
              </w:rPr>
              <w:t>9</w:t>
            </w:r>
          </w:p>
        </w:tc>
        <w:tc>
          <w:tcPr>
            <w:tcW w:w="2880" w:type="dxa"/>
            <w:vAlign w:val="bottom"/>
            <w:shd w:val="clear" w:color="auto" w:fill="CCEEFF"/>
          </w:tcPr>
          <w:p>
            <w:pPr>
              <w:ind w:left="60"/>
              <w:spacing w:after="0" w:line="237" w:lineRule="exact"/>
              <w:rPr>
                <w:sz w:val="20"/>
                <w:szCs w:val="20"/>
                <w:color w:val="auto"/>
              </w:rPr>
            </w:pPr>
            <w:r>
              <w:rPr>
                <w:rFonts w:ascii="Times New Roman" w:cs="Times New Roman" w:eastAsia="Times New Roman" w:hAnsi="Times New Roman"/>
                <w:sz w:val="16"/>
                <w:szCs w:val="16"/>
                <w:color w:val="auto"/>
              </w:rPr>
              <w:t>Granted and pending (2028)</w:t>
            </w:r>
            <w:r>
              <w:rPr>
                <w:rFonts w:ascii="Times New Roman" w:cs="Times New Roman" w:eastAsia="Times New Roman" w:hAnsi="Times New Roman"/>
                <w:sz w:val="21"/>
                <w:szCs w:val="21"/>
                <w:color w:val="auto"/>
                <w:vertAlign w:val="superscript"/>
              </w:rPr>
              <w:t>9</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baricitinib (JAK)</w:t>
            </w:r>
          </w:p>
        </w:tc>
        <w:tc>
          <w:tcPr>
            <w:tcW w:w="32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Granted and pending (2030)</w:t>
            </w:r>
            <w:r>
              <w:rPr>
                <w:rFonts w:ascii="Times New Roman" w:cs="Times New Roman" w:eastAsia="Times New Roman" w:hAnsi="Times New Roman"/>
                <w:sz w:val="21"/>
                <w:szCs w:val="21"/>
                <w:color w:val="auto"/>
                <w:vertAlign w:val="superscript"/>
              </w:rPr>
              <w:t>5</w:t>
            </w:r>
          </w:p>
        </w:tc>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 and pending (2032)</w:t>
            </w:r>
          </w:p>
        </w:tc>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 and pending (2033)</w:t>
            </w: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itacitinib (JAK)</w:t>
            </w: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Granted and pending (2032)</w:t>
            </w:r>
            <w:r>
              <w:rPr>
                <w:rFonts w:ascii="Times New Roman" w:cs="Times New Roman" w:eastAsia="Times New Roman" w:hAnsi="Times New Roman"/>
                <w:sz w:val="21"/>
                <w:szCs w:val="21"/>
                <w:color w:val="auto"/>
                <w:vertAlign w:val="superscript"/>
              </w:rPr>
              <w:t>4</w:t>
            </w: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Granted and pending (2031)</w:t>
            </w:r>
            <w:r>
              <w:rPr>
                <w:rFonts w:ascii="Times New Roman" w:cs="Times New Roman" w:eastAsia="Times New Roman" w:hAnsi="Times New Roman"/>
                <w:sz w:val="21"/>
                <w:szCs w:val="21"/>
                <w:color w:val="auto"/>
                <w:vertAlign w:val="superscript"/>
              </w:rPr>
              <w:t>4</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Granted and pending (2031)</w:t>
            </w:r>
            <w:r>
              <w:rPr>
                <w:rFonts w:ascii="Times New Roman" w:cs="Times New Roman" w:eastAsia="Times New Roman" w:hAnsi="Times New Roman"/>
                <w:sz w:val="21"/>
                <w:szCs w:val="21"/>
                <w:color w:val="auto"/>
                <w:vertAlign w:val="superscript"/>
              </w:rPr>
              <w:t>4</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capmatinib (MET)</w:t>
            </w:r>
          </w:p>
        </w:tc>
        <w:tc>
          <w:tcPr>
            <w:tcW w:w="32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Granted and pending (2027)</w:t>
            </w:r>
            <w:r>
              <w:rPr>
                <w:rFonts w:ascii="Times New Roman" w:cs="Times New Roman" w:eastAsia="Times New Roman" w:hAnsi="Times New Roman"/>
                <w:sz w:val="21"/>
                <w:szCs w:val="21"/>
                <w:color w:val="auto"/>
                <w:vertAlign w:val="superscript"/>
              </w:rPr>
              <w:t>5</w:t>
            </w:r>
          </w:p>
        </w:tc>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 and pending (2027)</w:t>
            </w:r>
            <w:r>
              <w:rPr>
                <w:rFonts w:ascii="Times New Roman" w:cs="Times New Roman" w:eastAsia="Times New Roman" w:hAnsi="Times New Roman"/>
                <w:sz w:val="21"/>
                <w:szCs w:val="21"/>
                <w:color w:val="auto"/>
                <w:vertAlign w:val="superscript"/>
              </w:rPr>
              <w:t>5</w:t>
            </w:r>
          </w:p>
        </w:tc>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 and pending (2032)</w:t>
            </w: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pemigatinib (FGFR)</w:t>
            </w: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Granted and pending (2035)</w:t>
            </w:r>
            <w:r>
              <w:rPr>
                <w:rFonts w:ascii="Times New Roman" w:cs="Times New Roman" w:eastAsia="Times New Roman" w:hAnsi="Times New Roman"/>
                <w:sz w:val="21"/>
                <w:szCs w:val="21"/>
                <w:color w:val="auto"/>
                <w:vertAlign w:val="superscript"/>
              </w:rPr>
              <w:t>5</w:t>
            </w: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Granted and pending (2033)</w:t>
            </w:r>
            <w:r>
              <w:rPr>
                <w:rFonts w:ascii="Times New Roman" w:cs="Times New Roman" w:eastAsia="Times New Roman" w:hAnsi="Times New Roman"/>
                <w:sz w:val="21"/>
                <w:szCs w:val="21"/>
                <w:color w:val="auto"/>
                <w:vertAlign w:val="superscript"/>
              </w:rPr>
              <w:t>5</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Granted and pending (2036)</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ponatinib (BCRABL)</w:t>
            </w:r>
          </w:p>
        </w:tc>
        <w:tc>
          <w:tcPr>
            <w:tcW w:w="3220" w:type="dxa"/>
            <w:vAlign w:val="bottom"/>
          </w:tcPr>
          <w:p>
            <w:pPr>
              <w:spacing w:after="0"/>
              <w:rPr>
                <w:sz w:val="18"/>
                <w:szCs w:val="18"/>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 and pending (2028)</w:t>
            </w:r>
          </w:p>
        </w:tc>
        <w:tc>
          <w:tcPr>
            <w:tcW w:w="2880" w:type="dxa"/>
            <w:vAlign w:val="bottom"/>
          </w:tcPr>
          <w:p>
            <w:pPr>
              <w:spacing w:after="0"/>
              <w:rPr>
                <w:sz w:val="18"/>
                <w:szCs w:val="18"/>
                <w:color w:val="auto"/>
              </w:rPr>
            </w:pPr>
          </w:p>
        </w:tc>
      </w:tr>
      <w:tr>
        <w:trPr>
          <w:trHeight w:val="33"/>
        </w:trPr>
        <w:tc>
          <w:tcPr>
            <w:tcW w:w="2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retifanlimab (PD-1)</w:t>
            </w:r>
            <w:r>
              <w:rPr>
                <w:rFonts w:ascii="Times New Roman" w:cs="Times New Roman" w:eastAsia="Times New Roman" w:hAnsi="Times New Roman"/>
                <w:sz w:val="21"/>
                <w:szCs w:val="21"/>
                <w:color w:val="auto"/>
                <w:vertAlign w:val="superscript"/>
              </w:rPr>
              <w:t>6</w:t>
            </w: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Granted and pending (2036)</w:t>
            </w:r>
            <w:r>
              <w:rPr>
                <w:rFonts w:ascii="Times New Roman" w:cs="Times New Roman" w:eastAsia="Times New Roman" w:hAnsi="Times New Roman"/>
                <w:sz w:val="21"/>
                <w:szCs w:val="21"/>
                <w:color w:val="auto"/>
                <w:vertAlign w:val="superscript"/>
              </w:rPr>
              <w:t>10</w:t>
            </w: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Granted and pending (2036)</w:t>
            </w:r>
            <w:r>
              <w:rPr>
                <w:rFonts w:ascii="Times New Roman" w:cs="Times New Roman" w:eastAsia="Times New Roman" w:hAnsi="Times New Roman"/>
                <w:sz w:val="21"/>
                <w:szCs w:val="21"/>
                <w:color w:val="auto"/>
                <w:vertAlign w:val="superscript"/>
              </w:rPr>
              <w:t>10</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Granted and pending (2036)</w:t>
            </w:r>
            <w:r>
              <w:rPr>
                <w:rFonts w:ascii="Times New Roman" w:cs="Times New Roman" w:eastAsia="Times New Roman" w:hAnsi="Times New Roman"/>
                <w:sz w:val="21"/>
                <w:szCs w:val="21"/>
                <w:color w:val="auto"/>
                <w:vertAlign w:val="superscript"/>
              </w:rPr>
              <w:t>10</w:t>
            </w:r>
          </w:p>
        </w:tc>
      </w:tr>
      <w:tr>
        <w:trPr>
          <w:trHeight w:val="243"/>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tafasitamab (CD19)</w:t>
            </w:r>
            <w:r>
              <w:rPr>
                <w:rFonts w:ascii="Times New Roman" w:cs="Times New Roman" w:eastAsia="Times New Roman" w:hAnsi="Times New Roman"/>
                <w:sz w:val="21"/>
                <w:szCs w:val="21"/>
                <w:color w:val="auto"/>
                <w:vertAlign w:val="superscript"/>
              </w:rPr>
              <w:t>7</w:t>
            </w:r>
          </w:p>
        </w:tc>
        <w:tc>
          <w:tcPr>
            <w:tcW w:w="32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Granted and pending (2029)</w:t>
            </w:r>
            <w:r>
              <w:rPr>
                <w:rFonts w:ascii="Times New Roman" w:cs="Times New Roman" w:eastAsia="Times New Roman" w:hAnsi="Times New Roman"/>
                <w:sz w:val="21"/>
                <w:szCs w:val="21"/>
                <w:color w:val="auto"/>
                <w:vertAlign w:val="superscript"/>
              </w:rPr>
              <w:t>5</w:t>
            </w:r>
          </w:p>
        </w:tc>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 (2027)</w:t>
            </w:r>
            <w:r>
              <w:rPr>
                <w:rFonts w:ascii="Times New Roman" w:cs="Times New Roman" w:eastAsia="Times New Roman" w:hAnsi="Times New Roman"/>
                <w:sz w:val="21"/>
                <w:szCs w:val="21"/>
                <w:color w:val="auto"/>
                <w:vertAlign w:val="superscript"/>
              </w:rPr>
              <w:t>5</w:t>
            </w:r>
          </w:p>
        </w:tc>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 (2027)</w:t>
            </w:r>
            <w:r>
              <w:rPr>
                <w:rFonts w:ascii="Times New Roman" w:cs="Times New Roman" w:eastAsia="Times New Roman" w:hAnsi="Times New Roman"/>
                <w:sz w:val="21"/>
                <w:szCs w:val="21"/>
                <w:color w:val="auto"/>
                <w:vertAlign w:val="superscript"/>
              </w:rPr>
              <w:t>4</w:t>
            </w: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axatilimab (CSF-1R)</w:t>
            </w:r>
            <w:r>
              <w:rPr>
                <w:rFonts w:ascii="Times New Roman" w:cs="Times New Roman" w:eastAsia="Times New Roman" w:hAnsi="Times New Roman"/>
                <w:sz w:val="21"/>
                <w:szCs w:val="21"/>
                <w:color w:val="auto"/>
                <w:vertAlign w:val="superscript"/>
              </w:rPr>
              <w:t>8</w:t>
            </w: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Granted (2034)</w:t>
            </w:r>
            <w:r>
              <w:rPr>
                <w:rFonts w:ascii="Times New Roman" w:cs="Times New Roman" w:eastAsia="Times New Roman" w:hAnsi="Times New Roman"/>
                <w:sz w:val="21"/>
                <w:szCs w:val="21"/>
                <w:color w:val="auto"/>
                <w:vertAlign w:val="superscript"/>
              </w:rPr>
              <w:t>4</w:t>
            </w: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Granted and pending (2034)</w:t>
            </w:r>
            <w:r>
              <w:rPr>
                <w:rFonts w:ascii="Times New Roman" w:cs="Times New Roman" w:eastAsia="Times New Roman" w:hAnsi="Times New Roman"/>
                <w:sz w:val="21"/>
                <w:szCs w:val="21"/>
                <w:color w:val="auto"/>
                <w:vertAlign w:val="superscript"/>
              </w:rPr>
              <w:t>4</w:t>
            </w:r>
          </w:p>
        </w:tc>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Granted and pending (2034)</w:t>
            </w:r>
            <w:r>
              <w:rPr>
                <w:rFonts w:ascii="Times New Roman" w:cs="Times New Roman" w:eastAsia="Times New Roman" w:hAnsi="Times New Roman"/>
                <w:sz w:val="21"/>
                <w:szCs w:val="21"/>
                <w:color w:val="auto"/>
                <w:vertAlign w:val="superscript"/>
              </w:rPr>
              <w:t>4</w:t>
            </w:r>
          </w:p>
        </w:tc>
      </w:tr>
      <w:tr>
        <w:trPr>
          <w:trHeight w:val="281"/>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povorcitinib (JAK)</w:t>
            </w:r>
          </w:p>
        </w:tc>
        <w:tc>
          <w:tcPr>
            <w:tcW w:w="32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Granted and pending (2034)</w:t>
            </w:r>
            <w:r>
              <w:rPr>
                <w:rFonts w:ascii="Times New Roman" w:cs="Times New Roman" w:eastAsia="Times New Roman" w:hAnsi="Times New Roman"/>
                <w:sz w:val="21"/>
                <w:szCs w:val="21"/>
                <w:color w:val="auto"/>
                <w:vertAlign w:val="superscript"/>
              </w:rPr>
              <w:t>4</w:t>
            </w:r>
          </w:p>
        </w:tc>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Granted and pending (2034)</w:t>
            </w:r>
            <w:r>
              <w:rPr>
                <w:rFonts w:ascii="Times New Roman" w:cs="Times New Roman" w:eastAsia="Times New Roman" w:hAnsi="Times New Roman"/>
                <w:sz w:val="21"/>
                <w:szCs w:val="21"/>
                <w:color w:val="auto"/>
                <w:vertAlign w:val="superscript"/>
              </w:rPr>
              <w:t>4</w:t>
            </w:r>
          </w:p>
        </w:tc>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 and pending (2034)</w:t>
            </w:r>
            <w:r>
              <w:rPr>
                <w:rFonts w:ascii="Times New Roman" w:cs="Times New Roman" w:eastAsia="Times New Roman" w:hAnsi="Times New Roman"/>
                <w:sz w:val="21"/>
                <w:szCs w:val="21"/>
                <w:color w:val="auto"/>
                <w:vertAlign w:val="superscript"/>
              </w:rPr>
              <w:t>4</w:t>
            </w:r>
          </w:p>
        </w:tc>
      </w:tr>
    </w:tbl>
    <w:p>
      <w:pPr>
        <w:spacing w:after="0" w:line="52" w:lineRule="exact"/>
        <w:rPr>
          <w:sz w:val="20"/>
          <w:szCs w:val="20"/>
          <w:color w:val="auto"/>
        </w:rPr>
      </w:pPr>
    </w:p>
    <w:p>
      <w:pPr>
        <w:jc w:val="both"/>
        <w:ind w:left="180" w:hanging="172"/>
        <w:spacing w:after="0" w:line="218" w:lineRule="auto"/>
        <w:tabs>
          <w:tab w:leader="none" w:pos="169" w:val="left"/>
        </w:tabs>
        <w:numPr>
          <w:ilvl w:val="0"/>
          <w:numId w:val="12"/>
        </w:numPr>
        <w:rPr>
          <w:rFonts w:ascii="Calibri" w:cs="Calibri" w:eastAsia="Calibri" w:hAnsi="Calibri"/>
          <w:sz w:val="26"/>
          <w:szCs w:val="26"/>
          <w:color w:val="auto"/>
          <w:vertAlign w:val="superscript"/>
        </w:rPr>
      </w:pPr>
      <w:r>
        <w:rPr>
          <w:rFonts w:ascii="Times New Roman" w:cs="Times New Roman" w:eastAsia="Times New Roman" w:hAnsi="Times New Roman"/>
          <w:sz w:val="18"/>
          <w:szCs w:val="18"/>
          <w:color w:val="auto"/>
        </w:rPr>
        <w:t>Ruxolitinib cream formulation patents are issued in the United States, European Union and Japan with anticipated expiration dates of 2031 in each jurisdiction. This does not include patent term extensions which we plan to seek upon further regulatory approval. Patents are issued in the United States to the treatments of atopic dermatitis and vitiligo with expiration dates of 2040.</w:t>
      </w:r>
    </w:p>
    <w:p>
      <w:pPr>
        <w:spacing w:after="0" w:line="2" w:lineRule="exact"/>
        <w:rPr>
          <w:rFonts w:ascii="Calibri" w:cs="Calibri" w:eastAsia="Calibri" w:hAnsi="Calibri"/>
          <w:sz w:val="26"/>
          <w:szCs w:val="26"/>
          <w:color w:val="auto"/>
          <w:vertAlign w:val="superscript"/>
        </w:rPr>
      </w:pPr>
    </w:p>
    <w:p>
      <w:pPr>
        <w:ind w:left="180" w:hanging="172"/>
        <w:spacing w:after="0" w:line="219" w:lineRule="auto"/>
        <w:tabs>
          <w:tab w:leader="none" w:pos="17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Once-a-day (QD) ruxolitinib formulation patents are issued in the United States, the European Union and Japan, with anticipated expiration dates of 2033 in each of these jurisdictions, not including patent term extensions that we plan to seek upon regulatory approval.</w:t>
      </w:r>
    </w:p>
    <w:p>
      <w:pPr>
        <w:spacing w:after="0" w:line="1" w:lineRule="exact"/>
        <w:rPr>
          <w:rFonts w:ascii="Times New Roman" w:cs="Times New Roman" w:eastAsia="Times New Roman" w:hAnsi="Times New Roman"/>
          <w:sz w:val="23"/>
          <w:szCs w:val="23"/>
          <w:color w:val="auto"/>
          <w:vertAlign w:val="superscript"/>
        </w:rPr>
      </w:pPr>
    </w:p>
    <w:p>
      <w:pPr>
        <w:ind w:left="160" w:hanging="152"/>
        <w:spacing w:after="0" w:line="196"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Subject to the payment of maintenance fees.</w:t>
      </w:r>
    </w:p>
    <w:p>
      <w:pPr>
        <w:spacing w:after="0" w:line="1"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plan to seek respective patent term extension/supplementary protection certificate (SPC) upon approval by the respective regulatory agency.</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Patent term extension/SPC has been applied for and being sought.</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Retifanlimab licensed from MacroGenics.</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Tafasitamab and its composition of matter patents licensed from Xencor, Inc..</w:t>
      </w:r>
    </w:p>
    <w:p>
      <w:pPr>
        <w:spacing w:after="0" w:line="2" w:lineRule="exact"/>
        <w:rPr>
          <w:rFonts w:ascii="Times New Roman" w:cs="Times New Roman" w:eastAsia="Times New Roman" w:hAnsi="Times New Roman"/>
          <w:sz w:val="23"/>
          <w:szCs w:val="23"/>
          <w:color w:val="auto"/>
          <w:vertAlign w:val="superscript"/>
        </w:rPr>
      </w:pPr>
    </w:p>
    <w:p>
      <w:pPr>
        <w:ind w:left="160" w:hanging="152"/>
        <w:spacing w:after="0" w:line="194" w:lineRule="auto"/>
        <w:tabs>
          <w:tab w:leader="none" w:pos="1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Axatilimab licensed from Syndax.</w:t>
      </w:r>
    </w:p>
    <w:p>
      <w:pPr>
        <w:spacing w:after="0" w:line="2" w:lineRule="exact"/>
        <w:rPr>
          <w:rFonts w:ascii="Times New Roman" w:cs="Times New Roman" w:eastAsia="Times New Roman" w:hAnsi="Times New Roman"/>
          <w:sz w:val="23"/>
          <w:szCs w:val="23"/>
          <w:color w:val="auto"/>
          <w:vertAlign w:val="superscript"/>
        </w:rPr>
      </w:pPr>
    </w:p>
    <w:p>
      <w:pPr>
        <w:ind w:left="180" w:hanging="172"/>
        <w:spacing w:after="0" w:line="219" w:lineRule="auto"/>
        <w:tabs>
          <w:tab w:leader="none" w:pos="17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Ruxolitinib phosphate salt patents are issued in the United States, European Union and Japan with anticipated expiration dates of late-2028 in the United States and mid-2028 in the European Union and Japan, not including patent term extensions.</w:t>
      </w:r>
    </w:p>
    <w:p>
      <w:pPr>
        <w:ind w:left="180" w:hanging="172"/>
        <w:spacing w:after="0" w:line="263" w:lineRule="auto"/>
        <w:tabs>
          <w:tab w:leader="none" w:pos="177"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have applied for patent term extension in the United States. We likewise plan to seek supplementary protection certificates (SPC) in the European Union and patent term extension in Japan following approval by the respective regulatory authorities.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seek to license rights relating to technologies, drug candidates or drug products in connection with our drug discovery and development programs and commercialization activities. Under these licenses, such as our licenses from Agenus, ARIAD/Takeda, MacroGenics, Merus, and Syndax, we may be required to pay up-front fees, license fees, milestone payments and royalties on sales of future products.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proprietary information that is not patentable, and for inventions for which patents are difficult to enforce, we rely on trade secret protection and confidentiality agreements to protect our interests. While we require all employees, consultants and potential business partners to enter into confidentiality agreements, we may not be able to adequately protect our trade secrets or other proprietary information. Others may independently develop substantially equivalent proprietary information and techniques or otherwise gain access to our trade secrets.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PEMAZYRE, MONJUVI/MINJUVI, OPZELURA, ZYNYZ and our drug candidates.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distributing and selling products.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Accordingly, our competitors may succeed in obtaining patent protection, receiving FDA and other regulatory approval or commercializing products that compete with JAKAFI, ICLUSIG, PEMAZYRE, MONJUVI/MINJUVI, OPZELURA, ZYNYZ or our drug candidates.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any drug candidate that we successfully develop may compete with existing therapies that have long histories of safe and effective use. Competition may also arise from:</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 and methods of preventing or reducing the incidence of disease;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compounds;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classes of therapeutic agents.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compete successfully will depend, in part, on our ability to:</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proprietary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products that reach the market first, are technologically superior to and/or are of lower cost than other products in the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scientific, product development and sales and marketing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market, distribute and sell any products that we develop.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FDA Review and Approval Process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regulatory review and approval process is lengthy, expensive and uncertain. The steps generally required before a drug may be marketed in the United States include:</w:t>
      </w:r>
    </w:p>
    <w:p>
      <w:pPr>
        <w:spacing w:after="0" w:line="162"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in compliance with the FDA’s Good Laboratory Practice and Good Manufacturing Practice regulations;</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before human clinical trials may commence;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three phases, as described below, to establish the safety and efficacy of the drug for each indication;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NDA or Biologics License Application (BLA) to the FDA for review;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random inspections of clinical sites to ensure validity of clinical safety and efficacy data;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the NDA or BLA;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and program fees, if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and in accordance with Good Clinical Practice (GCP)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Phase 1 usually involves the initial introduction of the investigational drug into healthy volunteers to evaluate its safety, dosage tolerance, absorption, metabolism, distribution and excretion. Phase 2 usually involves clinical trials in a limited patient population to evaluate dosage tolerance and optimal dosage, identify possible adverse effects and safety risks, and evaluate and gain preliminary evidence of the efficacy of the drug for specific indications. Phase 3 clinical trials usually further evaluate clinical efficacy and safety by testing the drug in its final form in an expanded patient population, providing statistical evidence of efficacy and safety, and providing an adequate basis for labeling. We cannot guarantee that Phase 1, Phase 2 or Phase 3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3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after initial FDA approval has been obtained, post-approval trials, or Phase 4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76" w:lineRule="exact"/>
        <w:rPr>
          <w:sz w:val="20"/>
          <w:szCs w:val="20"/>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inadequately trained or insufficient personnel at the study site to assist in overseeing and monitoring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approvals from a study site’s IRB;</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than anticipated treatment time required to demonstrate effectiveness or determine the appropriate product dose;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supplies of the drug candidate for use in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or side effects in treated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of the drug candidate being tested.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FDA’s fast track, breakthrough therapy, accelerated approval, and priority review designation programs are intended to facilitate the development and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 The FDA, however, can mandate, and has mandated, post-approval requirements that could include lengthy and extensive confirmatory clinical trials. The FDA has recently increased its focus on accelerated approvals for oncology drugs and the confirmatory trials required for those drugs.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submission of a major amendment by the Sponsor, the FDA’s decision to have an advisory committee review, and difficulties in scheduling an advisory committee meeting. The recommendations of an advisory committee are not binding on the FDA.</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Orphan Drug Act provides incentives to manufacturers to develop and market drugs for rare diseases and conditions affecting fewer than 200,000 persons in the United States at the time of application for orphan drug designation or conditions affecting 200,000 or more people in the United States where the disease or condition occurs so infrequently that there is no reasonable expectation that the costs of drug development and marketing will be recovered in future sales of the drug in the United States.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Regulation of Manufacturing Process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recalls or withdrawal of the product from the market. Manufacturing facilities are always subject to inspection by the applicable regulatory authorities.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third-party manufacturers are subject to current Good Manufacturing Practices, or cGMP's, which are extensive regulations governing manufacturing processes and controls, including but not limited to release and stability testing, record keeping and quality standards as defined by FDA 21CFR, parts 210 and 211, the International Council for Harmonisation of Technical Requirements for Pharmaceuticals for Human Use, or ICH,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may be inspected before we can use them in commercial manufacturing of our related products. We or our contract manufacturers must be able to comply with all applicable cGMP's and FDA or other regulatory requirements. If we or our contract manufacturers fail to comply, we or our contract manufacturers may be subject to legal or regulatory action, such as suspension of manufacturing license(s), seizure of product, or voluntary recall of product. Furthermore, continued compliance with applicable GMP will require continual expenditure of time, money and effort on the part of the Company or our contract manufacturers in the areas of production and quality control and record keeping and reporting, in order to ensure full compliance.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products manufactured or distributed by the Company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do not promote our products for unapproved uses. We must also submit appropriate new and supplemental applications and obtain FDA approval for certain changes to the approved product, product labeling or manufacturing process or controls.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those related to compliance with the requirements of the PDMA concerning the handling of drug samples. When the FDA conducts an inspection, the inspectors may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are a variety of state laws and regulations that apply in the states or localities where JAKAFI and our new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Marketing Exclusivity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Outside the United States, our ability to market a product is contingent upon receiving a marketing authorization from the appropriate regulatory authorities in specific regions or countries. The requirements governing the conduct of clinical trials, marketing authorization, pricing and reimbursement vary widely from country to country. At present, foreign marketing authorizations are applied for at a national level, although within the European Union (EU) regional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 CTA, much like an IND prior to the commencement of human clinical trials. In the European Union, a CTA must be submitted for each trial to the competent health authority and to independent ethics committees by national procedure for a single country trial or by EMA submission portal CTIS for a multinational study. Once the CTA is approved in accordance with the requirements in the concerned countries, clinical trial development may proceed in those countries and are conducted in accordance with GCP and other applicable regulatory requirements.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 regulatory systems, we must submit a marketing authorization application (MAA). This application is similar to the NDA or BLA in the United States, with the exception of, among other things, regional and/or country-specific document requirements. Drugs can be authorized in the EU by using the centralized, mutual recognition, decentralized or national authorization procedures described below.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European Medicines Agency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A positive opinion on the MAA by the CHMP then needs to be endorsed by the European Commission within approximately 67 days. Accelerated assessment might be granted by the CHMP in exceptional cases, in which case the EMA ensures that the evaluation for the opinion of the CHMP is completed within 150 days (excluding clock stops) and the opinion issued thereafter.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PEMAZYRE, OPZELURA, MONJUVI/MINJUVI and ZYNYZ or our drug candidates. As such, we expect to continue to rely on third parties for the manufacture of commercial supplies of the raw materials, API and finished drug product for drugs that we successfully develop and are approved for commercial sale. In this manner, we continue to build and maintain our supply chain and quality assurance resources.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2018, we purchased land located in Yverdon, Switzerland, for construction of a large molecule production facility to manufacture biologic drug substances for our drug candidates. Construction activity commenced in July 2018, and in June 2022 Swissmedic authorities granted the GMP drug manufacturing license for this facility. The Yverdon facility started to manufacture MONJUVI/MINJUVI drug substance during the fourth quarter of 2022. The drug substance will be usable in patients after regulatory approval, which is currently expected in the first quarter of 2024 for the European market and in the first quarter of 2025 in the United States.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Manufacturing of our Products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contract with third parties to manufacture JAKAFI, ICLUSIG, MONJUVI/MINJUVI, PEMAZYRE, OPZELURA, ZYNYZ and our drug candidates for clinical and commercial purposes.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and OPZELURA, we have two qualified third-party contract manufacturers from which we can source drug substance. The manufacturing of ponatinib, the API for ICLUSIG, is the sole responsibility of Takeda, the intellectual property holder. We procure API from Takeda, which outsources the API manufacturing to a third party. For pemigatinib, the API for PEMAZYRE, we have one qualified third-party contract manufacturer from which we can source drug substance.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rely on third-party contract manufacturers to tablet or capsulate all of our active pharmaceutical ingredients for clinical and commercial uses. For JAKAFI and ICLUSIG, we have two qualified third-party manufacturers from which we can source commercial drug product. Secondary packaging of ICLUSIG is performed by a qualified third-party manufacturer. Primary packaged product for ICLUSIG can be used for clinical and commercial purposes. For PEMAZYRE, we have one qualified third-party manufacturer from which we can source commercial drug product. For OPZELURA, we have one qualified third-party manufacturer from which we can source commercial drug product.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Third-party Manufacturers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18 to 24 months of safety stock of API to be able to respond to changes in demand to provide on-time supply of drug product as well as at least 6 months of semi-finished goods inventory.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Access to Supplies and Materials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third-party manufacturers need access to certain supplies and products to manufacture our products and drug candidates. If delivery of material from their suppliers were interrupted for any reason or if they are unable to purchase sufficient quantities of raw materials used to manufacture our products and drug candidates, they may be unable to ship our products for commercial supply or to supply our drug candidates in development for clinical trials. For example, currently raw materials used to manufacture ruxolitinib phosphate, the API in JAKAFI and OPZELURA,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 We are currently in the process of qualifying additional European suppliers to reduce the dependency of our key raw materials on Chinese-based suppliers.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human capital management philosophy is committed to promoting an environment where our colleagues are fulfilled and valued. We promote a company culture based on scientific excellence as we seek to create new treatments; we are creative in our development strategies; and we seek positive collaboration with each other. Working collaboratively is of the utmost importance as we aim to change the treatment landscape for patients with cancer and inflammatory and autoimmune diseases. It is our goal to conduct business in a manner that does not compromise the health of people or the state of the environment. It is our policy to comply with all applicable environmental, health and safety (EHS) regulatory requirements and seek to continually improve our EHS management systems. A strong safety culture is a fundamental part of how we work, and our philosophy is that everyone at Incyte has a responsibility to create and maintain a safe and healthy workplace to reduce risk and prevent injuries.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 Further, we have policies in place that prohibit harassment of all kinds. At Incyte, we prohibit retaliation in all forms and are committed to encouraging a culture where employees can freely ask questions and raise concerns. Our management team makes themselves available to all employees and quarterly global Town Hall events allow for an open question-and-answer dialogue.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creative solutions are best achieved by diverse teams working together, and inclusion is therefore essential to Incyte. Diversity of thoughts, backgrounds, perceptions, and ideas help us create the medical solutions that patients require, and represent the lifeblood of organizations such as ours. We have an Inclusion Committee, which is co-chaired by our Chief Executive Officer and Chief Human Resources Officer, to bring forth actionable plans across multiple focus areas. We have continued to expand our recruitment searches to include organizations and websites dedicated to Black candidates. We post all of our open positions on the Historically Black Colleges and Universities career pages and participate in diversity career fairs with national organizations such as the National Black MBA Association, National Organization for the Professional Advancement of Black Chemists &amp; Chemical Engineers (NOBBChE) and National Sales Network to expand our recruitment reach. As part of our ESG goals in our 2023 incentive compensation plan, we aspire to ensuring that a minimum rate of 75% of all open positions being recruited in the United States have at least one Black or Hispanic candidate represented in the candidate pool.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offer what we believe is a competitive compensation package, which allows 100% of global Incyte employees to participate in our annual incentive compensation plan as well as annual equity-based grants. We seek to ensure our compensation package remains competitive by benchmarking against our peers several times annually as well as conducting annual compensation reviews to confirm that our employees are being compensated fairly, equitably and in accordance with our pay structures and job levels. In addition, we offer what we believe is a competitive benefits package, which includes an option to participate in our Employee Stock Purchase Plan for both full-time and part-time employees working at least 20 hours per week. We believe that our health insurance coverage is industry-leading, as it provides 100% coverage for full-time employees and is 95% subsidized for part-time employees working at least 20 hours per week in the United States. Beyond compensation and benefits, we are committed to supporting our colleagues in their professional development. Opportunities for growth are provided through challenging job assignments, performance management and training opportunities. Globally, all full-time employees are eligible for tuition reimbursement. We believe these professional opportunities enhance our colleagues’ skills, career aspirations and job satisfaction as well as provide personal enrichment.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2,524 employees, representing an increase of approximately 9% over our 2,324 employees as of the end of the prior year. This growth is largely a result of continued expansion of our global commercial reach for the launch of OPZELURA (ruxolitinib) cream. Among our employees, 1,152 are in research and development, 215 in medical affairs, 783 in sales and marketing and 374 in operations support and administrative positions. Geographically, 72% of our employees were based in the United States and Canada, 25% in Europe and 3% in Asia. In terms of gender diversity, 1,301 are female, 1,216 are male and seven are non-binary/prefer not to say. Our employees in Belgium and Spain are covered by collective agreements, and management considers relations with our employees to be good.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Delaware in 1991 and our website is located at </w:t>
      </w:r>
      <w:r>
        <w:rPr>
          <w:rFonts w:ascii="Times New Roman" w:cs="Times New Roman" w:eastAsia="Times New Roman" w:hAnsi="Times New Roman"/>
          <w:sz w:val="18"/>
          <w:szCs w:val="18"/>
          <w:i w:val="1"/>
          <w:iCs w:val="1"/>
          <w:color w:val="auto"/>
        </w:rPr>
        <w:t>www.incyte.com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and ZYNYZ and our exclusive licensees sell OLUMIANT and TABRECTA, we anticipate that JAKAFI product sales will continue to contribute a significant percentage of our total revenues over the next several years.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2" w:lineRule="exact"/>
        <w:rPr>
          <w:sz w:val="20"/>
          <w:szCs w:val="20"/>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and ZYNYZ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2" w:lineRule="exact"/>
        <w:rPr>
          <w:sz w:val="20"/>
          <w:szCs w:val="20"/>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and ZYNYZ, the manufacturing, marketing and sale of JAKAFI, PEMAZYRE and OPZELURA and the marketing and sale of ICLUSIG, MONJUVI/MINJUVI and ZYNYZ expose us to product liability and other risks. Side effects and other problems experienced by patients from the use of our products could:</w:t>
      </w:r>
    </w:p>
    <w:p>
      <w:pPr>
        <w:spacing w:after="0" w:line="176"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and ZYNYZ.</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and ZYNYZ include major pharmaceutical and biotechnology companies, as well as specialty pharmaceutical firms.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 In September 2023, we received a notice letter regarding an ANDA that requested approval to market a generic version of OPZELURA and purported to challenge patents covering ruxolitinib phosphate cream and its uses that expire in 2031 and 2040. The notice letter does not challenge ruxolitinib nor the ruxolitinib phosphate composition of matter patents, providing patent coverage (with pediatric extension) until December 2028. To date, to our knowledge, the FDA has taken no action with respect to this ANDA.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 With respect to OLUMIANT, in August 2022 we and Lilly received notice letters with respect to ANDAs that requested approval to market generic versions of OLUMIANT prior to the expiration of the three U.S. Patents that expire in 2030.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3"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September 2022, we decided to terminate our collaboration with Calithera Biosciences.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2" w:lineRule="exact"/>
        <w:rPr>
          <w:sz w:val="20"/>
          <w:szCs w:val="20"/>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and OPZELURA,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drug candidates or drug products, whether through conditions affecting the cost and availability of raw materials, such as inflation, decreases in available manufacturing capacity, or otherwise, would adversely affect our results of operations.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9" w:lineRule="exact"/>
        <w:rPr>
          <w:sz w:val="20"/>
          <w:szCs w:val="20"/>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acquired products, product candidates or technologies or to achieve other strategic objectives;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markets in which we have no or limited direct prior experience or where competitors in such markets have stronger market positions;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83" w:lineRule="exact"/>
        <w:rPr>
          <w:sz w:val="20"/>
          <w:szCs w:val="20"/>
          <w:color w:val="auto"/>
        </w:rPr>
      </w:pPr>
    </w:p>
    <w:p>
      <w:pPr>
        <w:jc w:val="both"/>
        <w:ind w:left="98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operations, future revenues and financial condition and increase our costs and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and ZYNYZ, for several years, if ever.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and ZYNYZ, we may incur losses if our drug products do not generate significant revenues.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long term investments are subject to risks that could adversely affect our overall financial position.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short-term instruments, money market funds,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backed-funds and Treasury securities, which are investment grade and historically have been highly liquid and carried relatively low risk.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loss in value of our long term investments could adversely affect our financial position on the consolidated balance sheets and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Times New Roman" w:cs="Times New Roman" w:eastAsia="Times New Roman" w:hAnsi="Times New Roman"/>
          <w:sz w:val="18"/>
          <w:szCs w:val="18"/>
          <w:color w:val="222222"/>
        </w:rPr>
        <w:t>the European Union member states agreed to implement in their domestic tax laws a 15% global minimum tax on the profits of large multinational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enterprises with a target effective date for fiscal years beginning on or after December 31, 2023. Although </w:t>
      </w:r>
      <w:r>
        <w:rPr>
          <w:rFonts w:ascii="Times New Roman" w:cs="Times New Roman" w:eastAsia="Times New Roman" w:hAnsi="Times New Roman"/>
          <w:sz w:val="18"/>
          <w:szCs w:val="18"/>
          <w:color w:val="000000"/>
        </w:rPr>
        <w:t>we continue to evaluate and assess the potential</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impact of the recent U.S. legislation and BEPS 2.0 on us, the minimum tax rules could 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8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derived a substantial portion of our revenues for the years ended December 31, 2023 and December 31, 2022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attacks by third parties are of ever-increasing sophistication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3"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Incyte is committed to maintaining robust oversight and governance of potential cybersecurity risks and to implementing processes and controls that help us identify, assess and manage such risks. To date, we have not experienced a cybersecurity threat or incident that has resulted in a material adverse impact to our business or operations. However, we cannot guarantee that we will not experience such a threat or incident in the future, given the increasing sophistication of those responsible for cybersecurity incidents. While we seek to detect and investigate unauthorized attempts and attacks against our network and to prevent their occurrence where practicable through our internal processes and tools, we remain potentially vulnerable to known or unknown threats. In some instances, we can be unaware of a threat or incident or its magnitude and effects. Further, there is increasing regulation regarding responses to cybersecurity incidents, including reporting to regulators, which could subject us to additional liability and reputational harm. See "Item 1A. Risk Factors" for more information on our cybersecurity risks.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aim to incorporate and align with industry best practices throughout our cybersecurity program. Our cybersecurity strategy focuses on implementing effective and efficient controls, technologies and other processes to assess, identify, manage and mitigate material cybersecurity risks. These include, among other things, having mechanisms in place to detect and monitor unusual network activity, utilizing vulnerability assessment scans and tools, and conducting external and internal penetration tests and security assessments using the National Institute of Standards and Technology (NIST) Cybersecurity Framework. We engage third party experts to assist with numerous aspects of our cybersecurity program, including vulnerability assessment scans, penetration tests and security assessments. These outside experts are utilized on a rotating basis to enable us to receive multiple viewpoints on the security of our technological resources. Additionally, from time to time, our internal audit function, reviews and assesses various aspects of our cybersecurity program. We also engage in threat intelligence monitoring, including monitoring the dark web and zero-day vulnerability and attack information, and have processes in place to assess the potential cybersecurity impact or risk of any identified threats on our company, including potential impacts on our business partners and other parties with whom we share information. We actively engage with industry groups for peer benchmarking purposes and to stay current on best practices. We rely heavily on our vendors and other third party service providers in our clinical development activities as well as to manufacture and deliver our products, and a cybersecurity incident at a vendor or other third party service provider could have a material and adverse impact on our business, results of operations and financial condition. We have further processes in place to assess the cybersecurity risks associated with our vendors and other third-party service providers, and we require such providers to take appropriate precautions to protect our data and to notify us promptly in the event of any known or suspected data breach or cyber incident.</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cybersecurity program is integrated into our broader approach to risk management, and ultimate oversight for the program sits with our Board of Directors. The Board of Directors is aided by its Audit and Finance Committee, which regularly reviews our cybersecurity program with management and reports to the Board of Directors. Cybersecurity reviews by the Audit and Finance Committee or the Board of Directors generally occur at least twice annually, or more frequently as determined to be necessary or advisable.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Incyte’s Chief Information Security Officer (CISO) runs our cybersecurity program. Our CISO, who holds numerous cybersecurity and related certifications, including Certified Information Systems Security Professional, reports in to our Chief Information Officer (CIO). Our CISO and CIO have extensive experience assessing and managing cybersecurity programs and cybersecurity risk. They regularly report directly to the Audit and Finance Committee or the Board of Directors on our cybersecurity program and our efforts to prevent, detect, mitigate and remediate cybersecurity incidents. In addition, we have an escalation process in place to inform senior management and the Board of Directors of any material issues as they arise.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global headquarters is located in Wilmington, Delaware, where we conduct global clinical development and commercial operations. We own three buildings comprising approximately 544,000 square feet of laboratory and office space at this site.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approximately 112,000 square feet of office space in Chadds Ford, Pennsylvania.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conduct clinical development and commercial operations from our European headquarters in Morges, Switzerland and our Japanese office in Tokyo. Our large molecule production facility is located in Yverdon, Switzerland. Our Canadian office is in Montreal.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w:t>
      </w:r>
    </w:p>
    <w:p>
      <w:pPr>
        <w:spacing w:after="0" w:line="176"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are as follows:</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Hervé Hoppenot, </w:t>
      </w:r>
      <w:r>
        <w:rPr>
          <w:rFonts w:ascii="Times New Roman" w:cs="Times New Roman" w:eastAsia="Times New Roman" w:hAnsi="Times New Roman"/>
          <w:sz w:val="18"/>
          <w:szCs w:val="18"/>
          <w:color w:val="auto"/>
        </w:rPr>
        <w:t>age 64, joined Incyte as President and Chief Executive Officer and a Director in January 2014 and was appointed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Rhône-Poulenc S.A.), a pharmaceutical company, including as Vice President Oncology US of Aventis Pharmaceuticals, Inc. from 2000 to 2003 and Vice President US Oncology Operations of Rhone-Poulenc Rorer Pharmaceuticals, Inc. from 1998 to 2000. Mr. Hoppenot holds a Diploma from ESSEC International Business School.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Pablo J. Cagnoni, </w:t>
      </w:r>
      <w:r>
        <w:rPr>
          <w:rFonts w:ascii="Times New Roman" w:cs="Times New Roman" w:eastAsia="Times New Roman" w:hAnsi="Times New Roman"/>
          <w:sz w:val="18"/>
          <w:szCs w:val="18"/>
          <w:color w:val="auto"/>
        </w:rPr>
        <w:t>age 60, joined Incyte in June 2023 as President and Head of Research and Development. From November 2022 to May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Cagnoni served as Chief Executive of Laronde (now Sail Biomedicines), a Flagship Pioneering Company, and Executive Partner at Flagship Pioneering. Prior to joining Laronde and Flagship, he served as President and Chief Executive Officer of Rubius Therapeutics, Inc., a biotechnology company, from June 2018 until November 2022. From May 2015 until June 2018, Dr. Cagnoni served as President and Chief Executive Officer of Tizona Therapeutics, Inc., a privately held biotechnology company. Dr. Cagnoni previously served as President of Onyx Pharmaceuticals, Inc., a biopharmaceutical company, from October 2013 to April 2015 and Executive Vice President, Global Research and Development and Technical Operations from March 2013 to October 2013. Prior to Onyx, Dr. Cagnoni was Senior Vice President and Global Head of Clinical Development at Novartis Oncology from October 2009 to March 2013. From 2007 to 2009, Dr. Cagnoni was Senior Vice President and Chief Medical Officer at Allos Therapeutics (acquired by Spectrum Pharmaceuticals) and, prior to that, Chief Medical Officer of OSI Pharmaceuticals (acquired by Astellas Pharma Inc.). Dr. Cagnoni received an M.D. from the University Buenos Aires School of Medicine, and completed post-doctoral work in Hematology and Oncology at the Mount Sinai Medical Center, New York, and in Stem Cell Transplantation at the University of Colorado Health Sciences Center.</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Sheila Denton</w:t>
      </w:r>
      <w:r>
        <w:rPr>
          <w:rFonts w:ascii="Times New Roman" w:cs="Times New Roman" w:eastAsia="Times New Roman" w:hAnsi="Times New Roman"/>
          <w:sz w:val="18"/>
          <w:szCs w:val="18"/>
          <w:color w:val="auto"/>
        </w:rPr>
        <w:t>, age 58, joined Incyte in October 2023 as Executive Vice President, General Counsel and Corporate Secretary. Ms. Denton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served as Senior Vice President, General Counsel and Corporate Secretary of Boehringer Ingelheim USA, Inc., where she was responsible for the legal, compliance and policy teams for the human health, animal health and biopharmaceutical businesses. During her 19-year tenure with Boehringer Ingelheim, Ms. Denton held a number of other key leadership positions both in the United States and abroad, in multiple areas such as acquisitions, the generic businesses, and litigation. Prior to joining Boehringer Ingelheim, Ms. Denton was a partner in a New England-based law firm. Ms. Denton received her J.D. from Western New England College School of Law, and her B.S. in Business and Political Science from Sacred Heart University.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Jonathan E. Dickinson</w:t>
      </w:r>
      <w:r>
        <w:rPr>
          <w:rFonts w:ascii="Times New Roman" w:cs="Times New Roman" w:eastAsia="Times New Roman" w:hAnsi="Times New Roman"/>
          <w:sz w:val="18"/>
          <w:szCs w:val="18"/>
          <w:color w:val="auto"/>
        </w:rPr>
        <w:t>, age 56, has served as Executive Vice President and General Manager, Europe, since June 2019 and joined Incyte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General Manager, Europe in June 2016. Mr. Dickinson joined Incyte from ARIAD Pharmaceuticals (Luxembourg) S.à.r.l, the parent company of ARIAD Pharmaceuticals, Inc.’s European subsidiaries responsible for the development and commercialization of ICLUSIG in the European Union and other countries, where he most recently held the position of Senior Vice President and General Manager, Europe. Prior to joining ARIAD in February 2013, Mr. Dickinson served as European oncology brand lead at Bristol-Myers Squibb, a pharmaceutical company, and before that, he held several key leadership positions, including lifecycle leader, during his 13-year tenure at Hoffmann-La Roche, a pharmaceutical company. At Roche, he had assignments both in the United States and Switzerland that included leadership roles for Roche’s three leading oncology medicines. Mr. Dickinson began his career at Novartis, where he held commercial roles in its oncology and endocrinology businesses, including medical sales, product manager and business director in the United Kingdom. Mr. Dickinson received a B.S. in Genetics and an M.B.A. from the University of Nottingham.</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Barry P. Flannelly</w:t>
      </w:r>
      <w:r>
        <w:rPr>
          <w:rFonts w:ascii="Times New Roman" w:cs="Times New Roman" w:eastAsia="Times New Roman" w:hAnsi="Times New Roman"/>
          <w:sz w:val="18"/>
          <w:szCs w:val="18"/>
          <w:color w:val="auto"/>
        </w:rPr>
        <w:t>, age 66, has served as Executive Vice President and General Manager, North America since June 2015 and joined Incyte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Business Development and Strategic Planning in August 2014. Prior to joining Incyte, he served as Chief Executive Officer of OSS Healthcare Inc., a biotechnology start-up company, from August 2013 to July 2014. He served as Vice President, Global Product Strategy and Commercial Planning of Nektar Therapeutics, a biopharmaceutical company, from April 2011 until April 2013, and as Senior Vice President, Commercial, of Onyx Pharmaceuticals, Inc., a biopharmaceutical company, from August 2008 until January 2011. Prior thereto, Dr. Flannelly held key positions at biopharmaceutical and pharmaceutical companies such as Abraxis BioScience, Inc. and Novartis. Dr. Flannelly earned his doctorate in pharmacy from the University of Maryland, School of Pharmacy, his master’s degree in business administration from the University of Baltimore, and his B.S. in Pharmacy from Massachusetts College of Pharmacy.</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Vijay Iyengar</w:t>
      </w:r>
      <w:r>
        <w:rPr>
          <w:rFonts w:ascii="Times New Roman" w:cs="Times New Roman" w:eastAsia="Times New Roman" w:hAnsi="Times New Roman"/>
          <w:sz w:val="18"/>
          <w:szCs w:val="18"/>
          <w:color w:val="auto"/>
        </w:rPr>
        <w:t>, age 51, joined Incyte in May 2016 as Executive Vice President, Global Strategy and Corporate Development.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in Biology from Stanford University and earned his M.D. from Harvard Medical School.</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Michael Morrissey</w:t>
      </w:r>
      <w:r>
        <w:rPr>
          <w:rFonts w:ascii="Times New Roman" w:cs="Times New Roman" w:eastAsia="Times New Roman" w:hAnsi="Times New Roman"/>
          <w:sz w:val="18"/>
          <w:szCs w:val="18"/>
          <w:color w:val="auto"/>
        </w:rPr>
        <w:t>, age 60, has served as Executive Vice President and Head of Global Technical Operations since June 2019 and joined Incyte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Christiana Stamoulis, </w:t>
      </w:r>
      <w:r>
        <w:rPr>
          <w:rFonts w:ascii="Times New Roman" w:cs="Times New Roman" w:eastAsia="Times New Roman" w:hAnsi="Times New Roman"/>
          <w:sz w:val="18"/>
          <w:szCs w:val="18"/>
          <w:color w:val="auto"/>
        </w:rPr>
        <w:t>age 53, joined Incyte in February 2019 as Executive Vice President and Chief Financial Officer. Prior to joining Incyte,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from February 2018 until January 2019 and Chief Financial Officer from January 2015 to January 2019 of Unum Therapeutics Inc., a biopharmaceutical company. From January 2014 until she joined Unum, Ms. Stamoulis was an independent advisor to biopharmaceutical companies. From 2009 until December 2013,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B.S. degrees from the Massachusetts Institute of Technology (MIT) and an M.B.A. from the MIT Sloan School of Management.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Steven Stein, </w:t>
      </w:r>
      <w:r>
        <w:rPr>
          <w:rFonts w:ascii="Times New Roman" w:cs="Times New Roman" w:eastAsia="Times New Roman" w:hAnsi="Times New Roman"/>
          <w:sz w:val="18"/>
          <w:szCs w:val="18"/>
          <w:color w:val="auto"/>
        </w:rPr>
        <w:t>age 57, has served as Executive Vice President and Chief Medical Officer since May 2016 and joined Incyte as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Paula J. Swain</w:t>
      </w:r>
      <w:r>
        <w:rPr>
          <w:rFonts w:ascii="Times New Roman" w:cs="Times New Roman" w:eastAsia="Times New Roman" w:hAnsi="Times New Roman"/>
          <w:sz w:val="18"/>
          <w:szCs w:val="18"/>
          <w:color w:val="auto"/>
        </w:rPr>
        <w:t>, age 66, has served as Executive Vice President, Human Resources since August 2002 and joined Incyte as Senior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Human Resources in January 2002. Ms. Swain served as Senior Vice President of Human Resources at Bristol-Myers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$.001 par value per share, is traded on The Nasdaq Global Select Market under the symbol “INCY.” As of December 31, 2023, our common stock was held by 112 stockholders of record. We have never declared or paid dividends on our capital stock and do not anticipate paying any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discussion of our financial performance for the year ended December 31, 2023 as compared to the year ended December 31, 2022 appears below under the captions “Results of Operations” and “Liquidity and Capital Resources.” A discussion of our financial performance for the year ended December 31, 2022 compared to the year ended December 31, 2021 can be found under the same captions in Item 7 of our Annual Report on Form 10-K for the year ended December 31, 2022, filed with the SEC on February 7, 2023, which is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our Investor Relations website at </w:t>
      </w:r>
      <w:r>
        <w:rPr>
          <w:rFonts w:ascii="Times New Roman" w:cs="Times New Roman" w:eastAsia="Times New Roman" w:hAnsi="Times New Roman"/>
          <w:sz w:val="18"/>
          <w:szCs w:val="18"/>
          <w:i w:val="1"/>
          <w:iCs w:val="1"/>
          <w:color w:val="auto"/>
        </w:rPr>
        <w:t>investor.incyte.com/financial-information/annual-reports</w:t>
      </w:r>
      <w:r>
        <w:rPr>
          <w:rFonts w:ascii="Times New Roman" w:cs="Times New Roman" w:eastAsia="Times New Roman" w:hAnsi="Times New Roman"/>
          <w:sz w:val="18"/>
          <w:szCs w:val="18"/>
          <w:color w:val="auto"/>
        </w:rPr>
        <w:t>. These website addresses are intended to be inactive, textual references only. None of the materials on, or accessible through, these websites are part of this report or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commercial franchise. We are also eligible to receive milestones and royalties on molecules discovered by us and licensed to third parties.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portfolio focuses on areas of high unmet medical need and includes compounds in various stages, ranging from preclinical to late stage development, and commercialized products JAKAFI (ruxolitinib), ICLUSIG (ponatinib), PEMAZYRE (pemigatinib) and OPZELURA (ruxolitinib) cream, as well as MINJUVI (tafasitamab) and MONJUVI (tafasitamab-cxix), which prior to our February 2024 acquisition of global rights to tafasitamab, were co-commercialized, and ZYNYZ (retifanlimab-dlwr).</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revenues depend on continued sales of our products, and we depend substantially on product revenues from JAKAFI. We must develop and commercialize new products to achieve revenue growth and to offset revenue losses from when products lose their exclusivity or when competing products are launched. For additional information, including information on the expirations of patents for various products, see Part I, Item 1 of this report, “Business—Patents and Other Intellectual Property” and “Business—Competition.” We devote substantial resources to research and development activities and to acquire rights to new product candidates and technologies, but successful product development in the biopharmaceutical industry is highly uncertain.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 revenues also face challenges from economic conditions and drug pricing initiatives driven by governments and private payors. See Part I, Item 1A of this report, “Risk Factors” for a further discussion of certain factors that could impact our future product revenues.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Achievements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2023, under our collaboration agreement with MacroGenics, we received FDA approval of ZYNYZ for the treatment of adults with Merkel cell carcinoma.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2023, the European Commission granted a marketing authorization for OPZELURA(ruxolitinib) cream 15mg/g for the treatment of non-segmental vitiligo with facial involvement in adults and adolescents from 12 years of age.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2023, under our collaboration agreement with Novartis, we received the regulatory approval of JAKAVI (ruxolitinib) in GVHD by the Japanese Ministry of Health, Labour and Welfare.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2023, the BLA was submitted for axatilimab in chronic graft-versus-host disease for the treatment of patients with chronic GVHD after failure of two or more lines of systemic therapy.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Business Relationships and Acquisitions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establish business relationships with other companies and medical research institutions to acquire products or rights to products and technologies that are complementary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the consolidated financial statements. See Note 1 of Notes to the Consolidated Financial Statements for a complete list of our significant accounting policies.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only when we have satisfied a performance obligation through transferring control of the promised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or service to a customer in an amount that reflects the consideration we expect to receive in exchange for those goods or services.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at a point in time. We also assess collectability based primarily on the customer’s payment history and on the creditworthiness of the customer.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 revenues consist of sales of JAKAFI, OPZELURA, ICLUSIG, PEMAZYRE, MINJUVI, and ZYNYZ.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the Medicaid Drug Rebate Program and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 As of December 31, 2023, a 5% change in our sales allowance and accruals would have had an approximate $64.3 million impact on our income before taxes.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 prompt payment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We accrue rebates for mandated discounts under the Medicaid Drug Rebate Program in the United States and mandated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 Europe in markets where government-sponsored healthcare systems are the primary payers for healthcare. These accruals are based on statutory discount rates and expected utilization as well as historical data we have accumulated since product launch.</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of 2021 and fiscal year 2022 for non-covered patients of OPZELURA, we offered a full buy-down program as we were in the process of obtaining commercial insurance coverage for OPZELURA. During 2022, we contracted with the three largest group purchasing organizations to obtain coverage for OPZELURA. All full buy-down programs for OPZELURA ended effective January 31,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estimates for expected utilization of commercial insurance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indirect contracted customers purchase directly from our wholesalers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 the Medicare Part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accrue a liability for co-payment assistance based on actual program participation and estimates of program redemption using data provided by third-party administrators. During the fourth quarter of 2021 and fiscal year 2022, we also offered a full buy-down program to non-covered patients of OPZELURA as we were obtaining commercial insurance coverage for OPZELURA. All full buy-down programs for OPZELURA ended effective January 31,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Royalty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Royalty revenues on commercial sales for JAKAVI and TABRECTA by Novartis are estimated based on information provided by Novartis. Royalty revenues on commercial sales for OLUMIANT by Lilly are estimated based on information provided by Lilly. Royalty revenues on commercial sales for PEMAZYRE by Innovent are estimated based on information provided by Innovent. We recognize royalty revenues in the period the sales occur.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 Historically, adjustments to these estimates to reflect actual royalty revenues have not been material to our financial results and have been less than 1% of royalty revenues.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Milestone and Contract Revenues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 stock units (RSUs)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For the years ending December 31, 2023 and 2022, our Black-Scholes assumptions included a weighted-average stock price volatility of 32% in 2023 and 36% in 2022, average expected option life of approximately five years and an estimated annualized forfeiture rate of 5%. The average risk-free interest rate assumption used in the Black-Scholes valuations increased from 2.14% in 2022 to 4.01% in 2023.</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account for income taxes using an asset and liability approach to financial accounting for income taxes. Under this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 As a result of releasing the valuation allowance on the majority of our U.S. deferred tax assets in 2021, we expect that our reported income tax expense (current plus deferred) for future periods will be higher than that recorded for prior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and 2022</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net income for the years ended December 31, 2023 and 2022 of $597.6 million and $340.7 million, respectively. On a per share basis, basic net income was $2.67 and diluted net income was $2.65 for the year ended December 31, 2023. On a per share basis, basic net income was $1.53 and diluted net income was $1.52 for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2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increase in JAKAFI product revenues from 2022 to 2023 was comprised of a volume increase of $135.3 million and a price increase of $49.2 million. The increase in OPZELURA net product revenues from 2022 to 2023 was driven by growth in patient demand, refills and expansion in payer coverage as the launch in atopic dermatitis and vitiligo continues. 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sales allowances. Our revenue recognition policies require estimates of the aforementioned sales allowances each period.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Co-Pay</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2"/>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0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6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205,727</w:t>
            </w:r>
          </w:p>
        </w:tc>
      </w:tr>
      <w:tr>
        <w:trPr>
          <w:trHeight w:val="25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1,275,390</w:t>
            </w:r>
          </w:p>
        </w:tc>
      </w:tr>
      <w:tr>
        <w:trPr>
          <w:trHeight w:val="25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r>
      <w:tr>
        <w:trPr>
          <w:trHeight w:val="257"/>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(1,060,962)</w:t>
            </w:r>
          </w:p>
        </w:tc>
      </w:tr>
      <w:tr>
        <w:trPr>
          <w:trHeight w:val="25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(144,660)</w:t>
            </w: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286,451</w:t>
            </w:r>
          </w:p>
        </w:tc>
      </w:tr>
      <w:tr>
        <w:trPr>
          <w:trHeight w:val="21"/>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December 31, 2023, we have accrued approximately $59.5 million within accrued and other current liabilities on the consolidated balance sheet, relating to the incremental rebates that would be owed were OPZELURA considered a line extension of JAKAFI. The impact on OPZELURA gross to net deductions for the quarter ending December 31, 2023, is approximately 6.5%. If OPZELURA is not treated as a line extension of JAKAFI, this would result in a reversal of our accrual and a lower future gross to net deduction for OPZELURA.</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The increase in OLUMIANT product royalty revenues for the year ended December 31, 2023 as compared to the corresponding period in 2022 includes unfavorable changes in foreign currency exchange rates. Product royalty revenues on commercial sales of PEMAZYRE by Innovent are based on net sales of licensed products in licensed territories as provided by Innovent.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milestone and contract revenues were $7.0 million and $165.0 million for the years ended December 31, 2023 and 2022, respectively. During the year ended December 31, 2023, our milestone and contract revenues were primarily derived from a regulatory milestone under the Novartis collaboration and license agreement. During the year ended December 31, 2022, our milestone and contract revenues were derived from total regulatory milestones achieved of $135.0 million, in addition to a $30.0 million upfront payment received upon our transfer of functional intellectual property to one of our collaboration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8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r>
      <w:tr>
        <w:trPr>
          <w:trHeight w:val="196"/>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116.2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207.0</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owed under our collaborative agreements and amortization of our licensed intellectual property rights for ICLUSIG and the amortization of capitalized milestone payments. Cost of product revenues increased from 2022 to 2023 due primarily to growth in net product revenues and inventory reserves for obsolescence.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w:t>
            </w: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Salary and benefits related expense increased from 2022 to 2023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decrease in clinical research and outside services expense from 2022 to 2023 was primarily due to a decrease in one-time collaboration related expenses. The increase in total research and development expense from 2022 to 2023 was primarily due to continued investment in our late stage development assets. Research and development expenses include upfront and milestone expenses related to our collaborative agreements and the asset acquisition of Villaris in 2022, which were $36.7 million and $126.0 million for the years ended December 31, 2023 and 2022, respectively. Research and development expenses for the years ended December 31, 2023 and 2022 were net of $49.1 million and $52.2 million, respectively, of costs reimbursed by our collaborative partners.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Salary and benefits related expense increased from 2022 to 2023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was primarily due to expenses related to promotional activities to support the launch of OPZELURA for the treatment of vitiligo.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on change in fair value of acquisition-related contingent consideration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2023 and 2022 was expense of $29.2 million and $12.1 million, respectively, which is recorded in loss on change in fair value of acquisition-related contingent consideration on the consolidated statements of operations. The loss on change in fair value of the contingent consideration during the years ended December 31, 2023 and 2022 was due primarily to fluctuations in foreign currency exchange rates impacting future revenue projections of ICLUSIG and the passage of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(Profit) and loss sharing under collaboration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now terminated collaboration and license agreement with MorphoSys, which was executed in March 2020, we and MorphoSys were both responsible for the commercialization efforts of tafasitamab in the United States and will share equally the profits and losses from the co-commercialization efforts. For the year ended December 31, 2023 and 2022, our 50% share of the costs for tafasitamab was $2.0 million and $8.0 million, respectively, as recorded in (profit) and loss sharing under collaboration agreements on the consolidated statement of operations. In February 2024, we entered into a purchase agreement with MorphoSys, as a result of which we now hold exclusive global rights for tafasitamab. See Note 18 of Notes to the Consolidated Financial Statements for further information relating to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and other, net. </w:t>
      </w:r>
      <w:r>
        <w:rPr>
          <w:rFonts w:ascii="Times New Roman" w:cs="Times New Roman" w:eastAsia="Times New Roman" w:hAnsi="Times New Roman"/>
          <w:sz w:val="18"/>
          <w:szCs w:val="18"/>
          <w:color w:val="auto"/>
        </w:rPr>
        <w:t>Interest income and other, net, for the years ended December 31, 2023 and 2022 was $172.3 million and $39.9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interest income and other, net primarily relates to an increase in interest earned on our cash equivalents and marketable securities generally due to higher interest rates.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long term investments. </w:t>
      </w:r>
      <w:r>
        <w:rPr>
          <w:rFonts w:ascii="Times New Roman" w:cs="Times New Roman" w:eastAsia="Times New Roman" w:hAnsi="Times New Roman"/>
          <w:sz w:val="18"/>
          <w:szCs w:val="18"/>
          <w:color w:val="auto"/>
        </w:rPr>
        <w:t>Unrealized gains and losses on long term investments will fluctuate from period to period,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change in fair value of the securities we hold in our publicly held collaboration partners. The following table provides a summary of those unrealized gains and (losses):</w:t>
      </w:r>
    </w:p>
    <w:p>
      <w:pPr>
        <w:spacing w:after="0" w:line="20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Calithera</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Syros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 (loss) on long term investments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years ended December 31, 2023 and 2022 was $236.6 million and $188.5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of 28.4% for the year ended December 31, 2023 decreased as compared to 35.6% for the prior year period primarily due to the dilution of the rate impact of foreign losses with no associated tax benefit, an increase in the tax rate benefits associated with research and development and orphan drug tax credits and a decrease in certain non-deductible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rates for 2023 and 2022 were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3,656.0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3,405.0</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496.5</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(included in investing activities above)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we had available cash, cash equivalents and marketable securities of $3.7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The decrease in cash provided by operating activities from 2022 to 2023 was due primarily to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Our investing activities, other than purchases, sales and maturities of marketable securities, have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predominantly of capital expenditures and purchases of long term investments. During 2023, net cash used in investing activities was $207.7 million, which represents purchases of marketable securities of $456.0 million, payments for intangible assets of $15.0 million, capital expenditures of $32.5 million, and purchases of long term investments of $10.0 million, offset in part by the sale and maturity of marketable securities of $305.8 million. During 2022, net cash used in investing activities was $78.5 million, which represents purchases of marketable securities of $79.9 million, capital expenditures of $77.8 million, offset in part by the sale and maturity of marketable securities of $79.2 million.</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used in financing activities. </w:t>
      </w:r>
      <w:r>
        <w:rPr>
          <w:rFonts w:ascii="Times New Roman" w:cs="Times New Roman" w:eastAsia="Times New Roman" w:hAnsi="Times New Roman"/>
          <w:sz w:val="18"/>
          <w:szCs w:val="18"/>
          <w:color w:val="auto"/>
        </w:rPr>
        <w:t>During 2023, net cash used in financing activities was $20.0 million, and in 2022, net cash used in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was $0.8 million, respectively, consisting primarily of cash paid to ARIAD/Takeda for contingent consideration, offset in part by proceeds from the issuance of common stock under our stock plans net of tax withholdings.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capital expenditures for construction activities and our non-operating contractual operating and finance lease obligations are discussed in Note 8 of Notes to the Consolidated Financial Statements.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2021, we entered into a $500.0 million, three-year senior unsecured revolving credit facility, which was subsequently amended in May 2023.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December 31, 2023, we had no outstanding borrowings and were in compliance with all covenants under this facility. The amendment to the credit facility is discussed further in Note 16 of Notes to the Consolidated Financial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full utilization of our research and development and orphan drug tax credit carryforwards generated in prior years, our U.S. tax liabilities continue to reflect the adverse impacts of the mandatory capitalization and amortization of research and development expenses as required under the Tax Cuts and Jobs Act of 2017, which eliminated the immediate expensing of such expenses.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Consolidated Financial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securities, are subject to default, changes in credit rating and changes in market value. These investments are also subject to interest rate risk and will decrease in value if market interest rates increase. As of December 31, 2023, marketable securities were $442.7 million. Due to the nature of these investments, if market interest rates were to increase immediately and uniformly by 10% from levels as of December 31, 2023, the decline in fair value would not be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5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Incyte Corporation</w:t>
            </w: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8"/>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Report of Ernst &amp; Young LLP, Independent Registered Public Accounting Firm (PCAOB ID: 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1080" w:type="dxa"/>
            <w:vAlign w:val="bottom"/>
            <w:tcBorders>
              <w:top w:val="single" w:sz="8" w:color="auto"/>
            </w:tcBorders>
          </w:tcPr>
          <w:p>
            <w:pPr>
              <w:spacing w:after="0"/>
              <w:rPr>
                <w:sz w:val="20"/>
                <w:szCs w:val="20"/>
                <w:color w:val="auto"/>
              </w:rPr>
            </w:pPr>
          </w:p>
        </w:tc>
        <w:tc>
          <w:tcPr>
            <w:tcW w:w="4800" w:type="dxa"/>
            <w:vAlign w:val="bottom"/>
            <w:gridSpan w:val="5"/>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3680" w:type="dxa"/>
            <w:vAlign w:val="bottom"/>
            <w:gridSpan w:val="4"/>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2023, 2022 and 2021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2022 and 2021</w:t>
            </w:r>
          </w:p>
        </w:tc>
        <w:tc>
          <w:tcPr>
            <w:tcW w:w="680" w:type="dxa"/>
            <w:vAlign w:val="bottom"/>
            <w:tcBorders>
              <w:top w:val="single" w:sz="8" w:color="0000FF"/>
            </w:tcBorders>
          </w:tcPr>
          <w:p>
            <w:pPr>
              <w:spacing w:after="0"/>
              <w:rPr>
                <w:sz w:val="20"/>
                <w:szCs w:val="20"/>
                <w:color w:val="auto"/>
              </w:rPr>
            </w:pPr>
          </w:p>
        </w:tc>
        <w:tc>
          <w:tcPr>
            <w:tcW w:w="2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3620" w:type="dxa"/>
            <w:vAlign w:val="bottom"/>
            <w:gridSpan w:val="3"/>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120" w:type="dxa"/>
            <w:vAlign w:val="bottom"/>
            <w:gridSpan w:val="7"/>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938"/>
        </w:trPr>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Incyte Corporation (the Company) as of December 31, 2023 and 2022, the related consolidated statements of operations, comprehensive income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13,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rPr>
        <w:t>Allowances for rebates owed pursuant to the Medicaid Drug Rebate Program in the U.S.</w:t>
      </w:r>
    </w:p>
    <w:p>
      <w:pPr>
        <w:spacing w:after="0" w:line="281" w:lineRule="exact"/>
        <w:rPr>
          <w:sz w:val="20"/>
          <w:szCs w:val="20"/>
          <w:color w:val="auto"/>
        </w:rPr>
      </w:pPr>
    </w:p>
    <w:p>
      <w:pPr>
        <w:ind w:left="2160" w:right="120" w:hanging="2132"/>
        <w:spacing w:after="0" w:line="258"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1 to the consolidated financial statements, the Company recognizes revenues for product received by its customers net of allowances for customer credits, including estimated rebates, chargebacks, discounts, returns, distribution service fees, patient assistance programs, and government rebates. Liabilities related to sales allowances are presented within accrued and other current liabilities on the consolidated balance sheet and totaled $279.9 million as of December 31, 2023.</w:t>
      </w:r>
    </w:p>
    <w:p>
      <w:pPr>
        <w:spacing w:after="0" w:line="185" w:lineRule="exact"/>
        <w:rPr>
          <w:sz w:val="20"/>
          <w:szCs w:val="20"/>
          <w:color w:val="auto"/>
        </w:rPr>
      </w:pPr>
    </w:p>
    <w:p>
      <w:pPr>
        <w:ind w:left="2160" w:right="40"/>
        <w:spacing w:after="0" w:line="258" w:lineRule="auto"/>
        <w:rPr>
          <w:sz w:val="20"/>
          <w:szCs w:val="20"/>
          <w:color w:val="auto"/>
        </w:rPr>
      </w:pPr>
      <w:r>
        <w:rPr>
          <w:rFonts w:ascii="Times New Roman" w:cs="Times New Roman" w:eastAsia="Times New Roman" w:hAnsi="Times New Roman"/>
          <w:sz w:val="18"/>
          <w:szCs w:val="18"/>
          <w:color w:val="auto"/>
        </w:rPr>
        <w:t>Auditing the allowances for rebates owed pursuant to the Medicaid Drug Rebate Program in the U.S. was complex and highly judgmental due to the significant estimation uncertainty involved in management’s assumptions, including the levels of expected utilization of these rebates based on the amount of drugs sold to eligible patients, as well as the complexity of the government mandated calculations. The allowances for rebates owed pursuant to the Medicaid Drug Rebate Program in the U.S. are sensitive to these significant assumptions and calculations.</w:t>
      </w:r>
    </w:p>
    <w:p>
      <w:pPr>
        <w:spacing w:after="0" w:line="235"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controls over management’s</w:t>
      </w:r>
    </w:p>
    <w:p>
      <w:pPr>
        <w:spacing w:after="0" w:line="29" w:lineRule="exact"/>
        <w:rPr>
          <w:sz w:val="20"/>
          <w:szCs w:val="20"/>
          <w:color w:val="auto"/>
        </w:rPr>
      </w:pPr>
    </w:p>
    <w:p>
      <w:pPr>
        <w:ind w:left="2160" w:right="160" w:hanging="2132"/>
        <w:spacing w:after="0" w:line="255"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review of the allowances for rebates owed pursuant to the Medicaid Drug Rebate Program in the U.S. For example, we tested controls over management’s review of the significant assumptions, such as the utilization of these rebates as well as controls over management’s review of the application of the government mandated calculations.</w:t>
      </w:r>
    </w:p>
    <w:p>
      <w:pPr>
        <w:spacing w:after="0" w:line="213" w:lineRule="exact"/>
        <w:rPr>
          <w:sz w:val="20"/>
          <w:szCs w:val="20"/>
          <w:color w:val="auto"/>
        </w:rPr>
      </w:pPr>
    </w:p>
    <w:p>
      <w:pPr>
        <w:ind w:left="2160"/>
        <w:spacing w:after="0" w:line="273" w:lineRule="auto"/>
        <w:rPr>
          <w:sz w:val="20"/>
          <w:szCs w:val="20"/>
          <w:color w:val="auto"/>
        </w:rPr>
      </w:pPr>
      <w:r>
        <w:rPr>
          <w:rFonts w:ascii="Times New Roman" w:cs="Times New Roman" w:eastAsia="Times New Roman" w:hAnsi="Times New Roman"/>
          <w:sz w:val="17"/>
          <w:szCs w:val="17"/>
          <w:color w:val="auto"/>
        </w:rPr>
        <w:t>To test the allowances for rebates owed pursuant to the Medicaid Drug Rebate Program in the U.S.,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the estimated rebates.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3"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number of shares and par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2,951,422</w:t>
            </w:r>
          </w:p>
        </w:tc>
      </w:tr>
      <w:tr>
        <w:trPr>
          <w:trHeight w:val="184"/>
        </w:trPr>
        <w:tc>
          <w:tcPr>
            <w:tcW w:w="81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Marketable securities—available-for-sale (amortized cost $442,816 and $292,580 as of December 31,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2022 respectively; allowance for credit losses $0 as of December 31, 2023 and 2022)</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287,543</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644,879</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41,995</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4,645,402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4,092,850</w:t>
            </w:r>
          </w:p>
        </w:tc>
      </w:tr>
      <w:tr>
        <w:trPr>
          <w:trHeight w:val="16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739,310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457,941</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25,435</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6,782,107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5,840,984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277,546</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138,761</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701,053</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36,538</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1,157,077</w:t>
            </w:r>
          </w:p>
        </w:tc>
      </w:tr>
      <w:tr>
        <w:trPr>
          <w:trHeight w:val="16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99,243</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1,470,865</w:t>
            </w:r>
          </w:p>
        </w:tc>
      </w:tr>
      <w:tr>
        <w:trPr>
          <w:trHeight w:val="142"/>
        </w:trPr>
        <w:tc>
          <w:tcPr>
            <w:tcW w:w="8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4"/>
        </w:trPr>
        <w:tc>
          <w:tcPr>
            <w:tcW w:w="81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none issued or outstanding as of</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18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Common stock, $0.001 par value; 400,000,000 shares authorized; 224,286,862 and 222,746,719 shares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5,016,122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4,792,041</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(437,214)</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4,370,119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6,782,107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5,840,984</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3,165,168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2,746,897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2,322,012</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569,255</w:t>
            </w:r>
          </w:p>
        </w:tc>
      </w:tr>
      <w:tr>
        <w:trPr>
          <w:trHeight w:val="229"/>
        </w:trPr>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3,394,635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2,986,267</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product revenues (including definite-lived intangible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150,991</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1,458,179</w:t>
            </w: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739,560</w:t>
            </w:r>
          </w:p>
        </w:tc>
      </w:tr>
      <w:tr>
        <w:trPr>
          <w:trHeight w:val="22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w:t>
            </w:r>
          </w:p>
        </w:tc>
      </w:tr>
      <w:tr>
        <w:trPr>
          <w:trHeight w:val="230"/>
        </w:trPr>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37,019</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2,400,490</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585,777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(24,072)</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570,444</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(378,137)</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948,581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222,074</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56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948,581</w:t>
            </w:r>
          </w:p>
        </w:tc>
      </w:tr>
      <w:tr>
        <w:trPr>
          <w:trHeight w:val="270"/>
        </w:trPr>
        <w:tc>
          <w:tcPr>
            <w:tcW w:w="4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29"/>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4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(loss) gain, net of tax</w:t>
            </w:r>
          </w:p>
        </w:tc>
        <w:tc>
          <w:tcPr>
            <w:tcW w:w="2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70"/>
        </w:trPr>
        <w:tc>
          <w:tcPr>
            <w:tcW w:w="4560" w:type="dxa"/>
            <w:vAlign w:val="bottom"/>
            <w:tcBorders>
              <w:bottom w:val="single" w:sz="8" w:color="CCEEFF"/>
            </w:tcBorders>
          </w:tcPr>
          <w:p>
            <w:pPr>
              <w:spacing w:after="0"/>
              <w:rPr>
                <w:sz w:val="23"/>
                <w:szCs w:val="23"/>
                <w:color w:val="auto"/>
              </w:rPr>
            </w:pPr>
          </w:p>
        </w:tc>
        <w:tc>
          <w:tcPr>
            <w:tcW w:w="20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944,487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560" w:type="dxa"/>
            <w:vAlign w:val="bottom"/>
          </w:tcPr>
          <w:p>
            <w:pPr>
              <w:spacing w:after="0"/>
              <w:rPr>
                <w:sz w:val="24"/>
                <w:szCs w:val="24"/>
                <w:color w:val="auto"/>
              </w:rPr>
            </w:pPr>
          </w:p>
        </w:tc>
        <w:tc>
          <w:tcPr>
            <w:tcW w:w="2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23"/>
        </w:trPr>
        <w:tc>
          <w:tcPr>
            <w:tcW w:w="4560" w:type="dxa"/>
            <w:vAlign w:val="bottom"/>
          </w:tcPr>
          <w:p>
            <w:pPr>
              <w:spacing w:after="0"/>
              <w:rPr>
                <w:sz w:val="24"/>
                <w:szCs w:val="24"/>
                <w:color w:val="auto"/>
              </w:rPr>
            </w:pPr>
          </w:p>
        </w:tc>
        <w:tc>
          <w:tcPr>
            <w:tcW w:w="20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INCYTE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number of shares)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080" w:type="dxa"/>
            <w:vAlign w:val="bottom"/>
            <w:vMerge w:val="restart"/>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108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2020</w:t>
            </w:r>
          </w:p>
        </w:tc>
        <w:tc>
          <w:tcPr>
            <w:tcW w:w="1080" w:type="dxa"/>
            <w:vAlign w:val="bottom"/>
            <w:tcBorders>
              <w:top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4,352,864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(1,726,455)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2,611,268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13" w:right="339" w:bottom="1440" w:gutter="0" w:footer="0" w:header="0"/>
        </w:sectPr>
      </w:pPr>
    </w:p>
    <w:p>
      <w:pPr>
        <w:ind w:left="20" w:right="2160"/>
        <w:spacing w:after="0" w:line="233" w:lineRule="auto"/>
        <w:rPr>
          <w:sz w:val="20"/>
          <w:szCs w:val="20"/>
          <w:color w:val="auto"/>
        </w:rPr>
      </w:pPr>
      <w:r>
        <w:rPr>
          <w:rFonts w:ascii="Times New Roman" w:cs="Times New Roman" w:eastAsia="Times New Roman" w:hAnsi="Times New Roman"/>
          <w:sz w:val="17"/>
          <w:szCs w:val="17"/>
          <w:color w:val="auto"/>
        </w:rPr>
        <w:t>Issuance of 1,324,926 shares of Common Stock upon exercise of stock options and</w:t>
      </w:r>
    </w:p>
    <w:p>
      <w:pPr>
        <w:ind w:left="20" w:right="1760"/>
        <w:spacing w:after="0" w:line="220" w:lineRule="auto"/>
        <w:rPr>
          <w:sz w:val="20"/>
          <w:szCs w:val="20"/>
          <w:color w:val="auto"/>
        </w:rPr>
      </w:pPr>
      <w:r>
        <w:rPr>
          <w:rFonts w:ascii="Times New Roman" w:cs="Times New Roman" w:eastAsia="Times New Roman" w:hAnsi="Times New Roman"/>
          <w:sz w:val="17"/>
          <w:szCs w:val="17"/>
          <w:color w:val="auto"/>
        </w:rPr>
        <w:t>settlement of employee restricted stock units and performance shares, net of shares withheld for taxes, and 264,503 shares of Common</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under the ESPP</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5,675 shares of Common Stock for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1,348,122 shares of Common</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 upon exercise of stock options and</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settlement of employee restricted stock units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6"/>
        </w:trPr>
        <w:tc>
          <w:tcPr>
            <w:tcW w:w="3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performance shares, net of shares withheld</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 taxes, and 308,413 shares of Common</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under the ESPP</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5,751 shares of Common Stock for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1,154,974 shares of Common</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 upon exercise of stock options and</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settlement of employee restricted stock units</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5"/>
        </w:trPr>
        <w:tc>
          <w:tcPr>
            <w:tcW w:w="3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performance shares, net of shares withheld</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3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 taxes, and 380,145 shares of Common</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under the ESPP</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5,024 shares of Common Stock for</w:t>
            </w: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services rendered</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28,684</w:t>
            </w:r>
          </w:p>
        </w:tc>
        <w:tc>
          <w:tcPr>
            <w:tcW w:w="48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28,686</w:t>
            </w:r>
          </w:p>
        </w:tc>
      </w:tr>
      <w:tr>
        <w:trPr>
          <w:trHeight w:val="414"/>
        </w:trPr>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434</w:t>
            </w:r>
          </w:p>
        </w:tc>
        <w:tc>
          <w:tcPr>
            <w:tcW w:w="480" w:type="dxa"/>
            <w:vAlign w:val="bottom"/>
          </w:tcPr>
          <w:p>
            <w:pPr>
              <w:spacing w:after="0"/>
              <w:rPr>
                <w:sz w:val="24"/>
                <w:szCs w:val="24"/>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185,129</w:t>
            </w:r>
          </w:p>
        </w:tc>
        <w:tc>
          <w:tcPr>
            <w:tcW w:w="4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185,129</w:t>
            </w:r>
          </w:p>
        </w:tc>
      </w:tr>
      <w:tr>
        <w:trPr>
          <w:trHeight w:val="229"/>
        </w:trPr>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34"/>
        </w:trPr>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948,581</w:t>
            </w:r>
          </w:p>
        </w:tc>
      </w:tr>
      <w:tr>
        <w:trPr>
          <w:trHeight w:val="228"/>
        </w:trPr>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4"/>
              </w:rPr>
              <w:t>4,567,111</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(777,874)</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-859790</wp:posOffset>
            </wp:positionV>
            <wp:extent cx="7132320" cy="266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-448310</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-156845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34,812</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34,814</w:t>
            </w:r>
          </w:p>
        </w:tc>
      </w:tr>
      <w:tr>
        <w:trPr>
          <w:trHeight w:val="41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189,691</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189,691</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34,523</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340,660</w:t>
            </w:r>
          </w:p>
        </w:tc>
      </w:tr>
      <w:tr>
        <w:trPr>
          <w:trHeight w:val="228"/>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4,792,041</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(437,214)</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-859790</wp:posOffset>
            </wp:positionV>
            <wp:extent cx="7132320"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-448310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-156845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7,285</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r>
      <w:tr>
        <w:trPr>
          <w:trHeight w:val="41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216,475</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216,475</w:t>
            </w:r>
          </w:p>
        </w:tc>
      </w:tr>
      <w:tr>
        <w:trPr>
          <w:trHeight w:val="229"/>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34"/>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597,599</w:t>
            </w:r>
          </w:p>
        </w:tc>
      </w:tr>
      <w:tr>
        <w:trPr>
          <w:trHeight w:val="223"/>
        </w:trPr>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5,016,122</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160,385</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5,189,837</w:t>
            </w:r>
          </w:p>
        </w:tc>
      </w:tr>
      <w:tr>
        <w:trPr>
          <w:trHeight w:val="20"/>
        </w:trPr>
        <w:tc>
          <w:tcPr>
            <w:tcW w:w="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-890905</wp:posOffset>
            </wp:positionV>
            <wp:extent cx="713232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-479425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-187960</wp:posOffset>
            </wp:positionV>
            <wp:extent cx="713232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160" w:space="560"/>
            <w:col w:w="5520"/>
          </w:cols>
          <w:pgMar w:left="320" w:top="51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INCYTE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597,599</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340,660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948,581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57,844</w:t>
            </w:r>
          </w:p>
        </w:tc>
      </w:tr>
      <w:tr>
        <w:trPr>
          <w:trHeight w:val="21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183,006</w:t>
            </w: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(465,604)</w:t>
            </w:r>
          </w:p>
        </w:tc>
      </w:tr>
      <w:tr>
        <w:trPr>
          <w:trHeight w:val="21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(gain) loss on long 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24,072</w:t>
            </w:r>
          </w:p>
        </w:tc>
      </w:tr>
      <w:tr>
        <w:trPr>
          <w:trHeight w:val="219"/>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14,741</w:t>
            </w: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(134,306)</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(64,080)</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(20,965)</w:t>
            </w:r>
          </w:p>
        </w:tc>
      </w:tr>
      <w:tr>
        <w:trPr>
          <w:trHeight w:val="213"/>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73,343</w:t>
            </w:r>
          </w:p>
        </w:tc>
      </w:tr>
      <w:tr>
        <w:trPr>
          <w:trHeight w:val="21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131,439</w:t>
            </w:r>
          </w:p>
        </w:tc>
      </w:tr>
      <w:tr>
        <w:trPr>
          <w:trHeight w:val="207"/>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496,487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969,941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749,488</w:t>
            </w:r>
          </w:p>
        </w:tc>
      </w:tr>
      <w:tr>
        <w:trPr>
          <w:trHeight w:val="19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long 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(33,510)</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long 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(181,006)</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(235,167)</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and maturities of 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231,511</w:t>
            </w:r>
          </w:p>
        </w:tc>
      </w:tr>
      <w:tr>
        <w:trPr>
          <w:trHeight w:val="207"/>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(207,699)</w:t>
            </w:r>
          </w:p>
        </w:tc>
      </w:tr>
      <w:tr>
        <w:trPr>
          <w:trHeight w:val="19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58,626</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and performance share vesting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r>
      <w:tr>
        <w:trPr>
          <w:trHeight w:val="207"/>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6,176</w:t>
            </w: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544,395</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2,953,120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2,059,160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1,514,765</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3,215,221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2,953,120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2,059,160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378,206</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14,416</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Organization and Business. </w:t>
      </w:r>
      <w:r>
        <w:rPr>
          <w:rFonts w:ascii="Times New Roman" w:cs="Times New Roman" w:eastAsia="Times New Roman" w:hAnsi="Times New Roman"/>
          <w:sz w:val="18"/>
          <w:szCs w:val="18"/>
          <w:color w:val="auto"/>
        </w:rPr>
        <w:t>Incyte Corporation (including its subsidiaries, “Incyte,” “we,” “us,” or “our”) is a biopharmaceutical company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Our operations are treated as one operating segment.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Incyte Corporation and our wholly 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transactions, and profits have been eliminated in consolidation.</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Operations in non-U.S. entities are recorded in the functional currency of each entity. For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Cash, cash equivalents, marketable securities, and trade receivables are financial instruments which potentially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concentrations of credit risk. The estimated fair value of financial instruments 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Current Expected Credit Losses. </w:t>
      </w:r>
      <w:r>
        <w:rPr>
          <w:rFonts w:ascii="Times New Roman" w:cs="Times New Roman" w:eastAsia="Times New Roman" w:hAnsi="Times New Roman"/>
          <w:sz w:val="18"/>
          <w:szCs w:val="18"/>
          <w:color w:val="auto"/>
        </w:rPr>
        <w:t>Financial assets measured at amortized cost are assessed for future expected credit losses under guidance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 determine if application of an expected credit losses reserve is necessary. On a quarterly basis, receivables that resulted from revenue transactions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held in banks or in custodial accounts with banks. Cash equivalents are defined as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 investments and money market funds with maturity from date of purchase of 90 days or less that are readily convertible into cash.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Securities—Available-for-Sale. </w:t>
      </w:r>
      <w:r>
        <w:rPr>
          <w:rFonts w:ascii="Times New Roman" w:cs="Times New Roman" w:eastAsia="Times New Roman" w:hAnsi="Times New Roman"/>
          <w:sz w:val="18"/>
          <w:szCs w:val="18"/>
          <w:color w:val="auto"/>
        </w:rPr>
        <w:t>Our marketable securities consist of investments in U.S. government debt securities that are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December 31, 2023 and December 31, 2022, we had a de minimis amount of allowance for doubtful accounts.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valued at the lower of cost and net realizable value. We use the specific identification method to account for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manufactured by third-party contractors, which is our predominant source of inventory. We apply the first-in, first-out (FIFO) method to inventories produced at our internal manufacturing facility located in Yverdon, Switzerland. Inventories consist of costs of materials, including shipping and handling fees, third-party contract manufacturing, and allocable overhead associated with the production of our commercialized products. We capitalize inventory after regulatory approval from U.S. Food and Drug Administration (FDA), European Medicines Agency (EMA) or Japanese Ministry of Health, Labour and Welfare (MHLW) as the related costs are expected to be recoverable through the commercialization of the product. Costs incurred prior to approval are recorded as research and development expense in our statements of operations.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Raw materials, active pharmaceutical ingredients ("API") and work-in-process inventory are monitored for obsolescence, as applicable, and generally the shelf life of the finished goods inventory is approximately 36 months from the start of manufacturing of the finished goods, with the exception of OPZELURA and ZYNYZ, which currently has an approximate shelf life of 24 months.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We perform an initial and ongoing evaluation of the entities with which we have variable interests, such as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2023, there were no entities in which we held a variable interest which we determined to be VIEs.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 Term Investments. </w:t>
      </w:r>
      <w:r>
        <w:rPr>
          <w:rFonts w:ascii="Times New Roman" w:cs="Times New Roman" w:eastAsia="Times New Roman" w:hAnsi="Times New Roman"/>
          <w:sz w:val="18"/>
          <w:szCs w:val="18"/>
          <w:color w:val="auto"/>
        </w:rPr>
        <w:t>Our long term investments consist of equity investments in common stock of publicly-held companies with whom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entered into collaboration and license agreements. We classify all of our equity investments in common stock of publicly-held companies as long term investments on the consolidated balance sheets. Our equity investments are accounted for at fair value using readily determinable pricing available on a securities exchange on the consolidated balance sheets. All changes in fair value are reported in the consolidated statements of operations as an unrealized gain (loss) on long term investments.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Property and equipment, net is stated at cost, less accumulated depreciation and amortization. Depreciation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using the straight-line method over the estimated useful lives of the respective assets. Leasehold improvements are amortized over the shorter of the estimated useful life of the assets or lease term.</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 Accounting. </w:t>
      </w:r>
      <w:r>
        <w:rPr>
          <w:rFonts w:ascii="Times New Roman" w:cs="Times New Roman" w:eastAsia="Times New Roman" w:hAnsi="Times New Roman"/>
          <w:sz w:val="18"/>
          <w:szCs w:val="18"/>
          <w:color w:val="auto"/>
        </w:rPr>
        <w:t>All leases with a lease term greater than 12 months, regardless of lease type classification, are recorded as an obligation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net. </w:t>
      </w:r>
      <w:r>
        <w:rPr>
          <w:rFonts w:ascii="Times New Roman" w:cs="Times New Roman" w:eastAsia="Times New Roman" w:hAnsi="Times New Roman"/>
          <w:sz w:val="18"/>
          <w:szCs w:val="18"/>
          <w:color w:val="auto"/>
        </w:rPr>
        <w:t>Other intangible assets, net consist of licensed intellectual property rights acquired in business combinations,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reported at acquisition date fair value, less accumulated amortization, as well as milestone payments made to collaboration partners incurred at or after the product has obtained regulatory approval. Intangible assets with finite lives are amortized over their estimated useful lives using the straight-line method. Intangible assets with finite lives are tested for recoverability whenever events or changes in circumstances indicate that the carrying amounts may not be recoverable.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with finite lives are tested for impairment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calculated as the difference between the acquisition date fair value of the consideration transferred and the values assigned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2023 and determined that the carrying value of our goodwill was not impaired.</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which requires the recognition of deferred tax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Per Share. </w:t>
      </w:r>
      <w:r>
        <w:rPr>
          <w:rFonts w:ascii="Times New Roman" w:cs="Times New Roman" w:eastAsia="Times New Roman" w:hAnsi="Times New Roman"/>
          <w:sz w:val="18"/>
          <w:szCs w:val="18"/>
          <w:color w:val="auto"/>
        </w:rPr>
        <w:t>Our basic and diluted net income per share is calculated by dividing the net income by the weighted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outstanding during all periods presented. Options to purchase stock, restricted stock units and performance stock units are included in diluted earnings per share calculations, unless the effects are anti-dilutive.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Income. </w:t>
      </w:r>
      <w:r>
        <w:rPr>
          <w:rFonts w:ascii="Times New Roman" w:cs="Times New Roman" w:eastAsia="Times New Roman" w:hAnsi="Times New Roman"/>
          <w:sz w:val="18"/>
          <w:szCs w:val="18"/>
          <w:color w:val="auto"/>
        </w:rPr>
        <w:t>Accumulated other comprehensive income consists of unrealized gains or losses on our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that are classified as available-for-sale, foreign currency translation gains or losses and unrecognized actuarial gains or loss related to our defined benefit pension plan.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Revenue-generating contracts are assessed under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to identify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 revenues consist of sales of JAKAFI, OPZELURA, PEMAZYRE and ZYNYZ in the U.S., sales of MINJUVI, PEMAZYRE, ICLUSIG and OPZELURA in Europe, and sales of PEMAZYRE in Japan. Product revenues are recognized at a point in time once we satisfy the performance obligation and control is transferred under the revenue recognition criteria as described above. We sell JAKAFI, OPZELURA, PEMAZYRE and ZYNYZ to our customers in the U.S., which include specialty and retail pharmacies, specialty distributors and wholesalers. We sell MINJUVI, PEMAZYRE, ICLUSIG and OPZELURA to our customers in the European Union and certain other jurisdictions, which include retail pharmacies, hospital pharmacies and distributors. We sell PEMAZYRE in Japan to an exclusive wholesaler.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the Medicaid Drug Rebate Program and Medicare Part D coverage gap reimbursements in the U.S. Product shipping and handling costs are included in cost of product revenues.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 and prompt payment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Allowances for rebates include mandated discounts under the Medicaid Drug Rebate Program in the U.S. and mandated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2021 and fiscal year 2022 for non-covered patients of OPZELURA, we offered a full buy-down program as we were in the process of obtaining commercial insurance coverage for OPZELURA. During 2022, we contracted with the three largest group purchasing organizations to obtain coverage for OPZELURA. All full buy-down programs for OPZELURA ended effective January 31, 2023. Our estimates for expected utilization of commercial insurance rebates are based on data received from our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indirect contracted customers, which currently consist primarily of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 of the Medicare Part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accrue a liability for co-payment assistance based on actual program participation and estimates of program redemption using data provided by third-party administrators. During the fourth quarter of 2021 and fiscal year 2022, we also offered a full buy-down program to non-covered patients of OPZELURA as we were obtaining commercial insurance coverage for OPZELURA. All full buy-down programs for OPZELURA ended effective January 31,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Royalty Revenues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Royalty revenues on commercial sales for pemigatinib (marketed as PEMAZYRE®) by Innovent Biologics, Inc. (“Innovent”) are based on net sales of licensed products in licensed territories as provided by Innovent. We recognize royalty revenues in the period the sales occur.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Contract 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each collaborative research, development and/or commercialization agreement that results in revenue under the guidance of ASC 606,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each of the three years ended December 31, 2023, we had no revenues from intellectual property licenses recognized over time.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 event. Given the high level of uncertainty of achievement, variable consideration associated with milestones are fully constrained until confirmation of the satisfaction or completion of the milestone by the third-party.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and royalties owed under our collaboration and license agreements, contingent on certain conditions. In addition, cost of product revenues includes the amortization of our licensed intellectual property for ICLUSIG and the amortization of capitalized milestone payments, using the straight-line method over the respective estimated useful lives, which range between approximately 11 to 14 years. Cost of product revenues also includes employee personnel costs, including stock compensation, for those employees dedicated to the production of our commercial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Our policy is to expense research and development costs as incurred, including amounts funded by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 Costs incurred under the collaboration arrangement that are reimbursable to us are recorded net against the related research and development expenses in the period in which the related expense is incurred.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 stock units (“RSUs”)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8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Expenses. </w:t>
      </w:r>
      <w:r>
        <w:rPr>
          <w:rFonts w:ascii="Times New Roman" w:cs="Times New Roman" w:eastAsia="Times New Roman" w:hAnsi="Times New Roman"/>
          <w:sz w:val="18"/>
          <w:szCs w:val="18"/>
          <w:color w:val="auto"/>
        </w:rPr>
        <w:t>Advertising expenses, comprised primarily of television, radio, print media and Internet advertising,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are included in selling, general, and administrative expenses. For the years ended December 31, 2023, 2022, and 2021, advertising expenses were approximately $221.9 million, $196.4 million, and $66.0 million, respectively.</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 Term Incentive Plans. </w:t>
      </w:r>
      <w:r>
        <w:rPr>
          <w:rFonts w:ascii="Times New Roman" w:cs="Times New Roman" w:eastAsia="Times New Roman" w:hAnsi="Times New Roman"/>
          <w:sz w:val="18"/>
          <w:szCs w:val="18"/>
          <w:color w:val="auto"/>
        </w:rPr>
        <w:t>We have long term incentive plans which provide eligible employees with the opportunity to receive performance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consists of our future royalty obligations on future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of ICLUSIG owed to Takeda Pharmaceutical Company Limited, which acquired ARIAD Pharmaceuticals, Inc.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To determine whether acquisitions should be accounted for as a business combination or as an asset acquisition, we make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which include assessing whether the acquired set of activities and assets would meet the definition of a business under the relevant accounting rules. 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asset acquisition, with the purchase price being allocated to the acquired asset, with no goodwill recorded. For a transaction recorded as an asset acquisition, any acquired in-process research and development that does not have an alternative future use is charged to expense at the acquisition date. See Note 5 for additional information.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(Profit) and loss sharing under collaboration agreements. </w:t>
      </w:r>
      <w:r>
        <w:rPr>
          <w:rFonts w:ascii="Times New Roman" w:cs="Times New Roman" w:eastAsia="Times New Roman" w:hAnsi="Times New Roman"/>
          <w:sz w:val="18"/>
          <w:szCs w:val="18"/>
          <w:color w:val="auto"/>
        </w:rPr>
        <w:t>For the years ended December 31, 2023 and 2022, (profit) and loss sharing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agreements represents our 50% share of the United States loss for commercialization of MONJUVI (tafasitamab-cxix) under our agreement with MorphoSys, which is described in Note 7 below.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This amended guidance applies to all public entities and aims to improve reportable segment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primarily through enhanced disclosures about significant segment expenses, to enable investors to develop more decision-useful financial analyses. This guidance is effective for fiscal years beginning after December 15, 2023 and interim periods within fiscal years beginning after December 15, 2024. Early adoption is permitted. We are currently analyzing the impact that ASU No. 2023-07 will have on our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 disclosures. For public business entities, the amendments in this Update are effective for fiscal years beginning after December 15, 2024. Early adoption is permitted for any annual periods for which financial statements have not been issued or made available for issuance. We are currently analyzing the impact that ASU No. 2023-09 will have on our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revenues are recognized under guidance within ASC 606. The following table presents our disaggregated revenue for the periods presented (in thousands):</w:t>
      </w:r>
    </w:p>
    <w:p>
      <w:pPr>
        <w:spacing w:after="0" w:line="188"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2,134,508</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2,322,012</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337,991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PEMAZYRE product royalty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569,255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2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3,394,635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2,986,267</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revenue-generating contracts, refer to Note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60" w:type="dxa"/>
            <w:vAlign w:val="bottom"/>
          </w:tcPr>
          <w:p>
            <w:pPr>
              <w:spacing w:after="0"/>
              <w:rPr>
                <w:sz w:val="15"/>
                <w:szCs w:val="15"/>
                <w:color w:val="auto"/>
              </w:rPr>
            </w:pPr>
          </w:p>
        </w:tc>
        <w:tc>
          <w:tcPr>
            <w:tcW w:w="122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1"/>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442,816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287,543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available-for-sale debt securities generally have contractual maturity dates of between 12 to 18 months. Debt security assets were assessed for risk of expected credit losses per our accounting policy as described in Note 1. As of December 31, 2023 and 2022, the available-for-sale debt securities were held in U.S.-government backed securities and in Treasury bonds and were assessed on an individual security basis to have a de minimis risk of credit loss.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2023 and 2022,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years ended December 31, 2023 and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204"/>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3,213,376</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442,667</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 (Note 7)</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187,716</w:t>
            </w:r>
          </w:p>
        </w:tc>
      </w:tr>
      <w:tr>
        <w:trPr>
          <w:trHeight w:val="25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3,401,092</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3,843,759</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209"/>
        </w:trPr>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2,951,422</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287,543</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 (Note 7)</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133,676</w:t>
            </w:r>
          </w:p>
        </w:tc>
      </w:tr>
      <w:tr>
        <w:trPr>
          <w:trHeight w:val="25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3,085,098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3,372,641</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91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28"/>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7"/>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60"/>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3"/>
                <w:szCs w:val="13"/>
                <w:color w:val="auto"/>
              </w:rPr>
            </w:pPr>
          </w:p>
        </w:tc>
        <w:tc>
          <w:tcPr>
            <w:tcW w:w="134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6"/>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1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Liabilities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209"/>
        </w:trPr>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r>
      <w:tr>
        <w:trPr>
          <w:trHeight w:val="257"/>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221,000</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20"/>
        </w:trPr>
        <w:tc>
          <w:tcPr>
            <w:tcW w:w="6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6"/>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December 31, 2023 and 2022 included a discount rate of 10% and updated projections of future net revenues of ICLUSIG in the European Union and other countries for the approved third line treatment. The loss on change in fair value of the contingent consideration during the years ended December 31, 2023 and 2022 was due primarily to fluctuations in foreign currency exchange rates impacting future revenue projections of ICLUSIG and the passage of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generally make payments to Takeda quarterly based on the royalties earned in the previous quarter. As of December 31, 2023 and 2022, contingent consideration earned but not yet paid was $10.3 million and $9.3 million, respectively, and was included in accrued and other current liabilities.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there were no measurements required for any assets or liabilities at fair value on a non-recurring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Concentration of Credit Risk and Current Expected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In December 2009, we entered into a license, development and commercialization agreement with Lilly. The above collaboration partners comprised, in aggregate, 20% and 20% of the accounts receivable balance as of December 31, 2023 and 2022, respectively. For further information relating to these collaboration and license agreements, refer to Note 7.</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in April 2020, we began commercialization and distribution of PEMAZYRE and in October 2021, we began commercialization and distribution of OPZELURA. Our product revenues are concentrated in a number of customers these products. The concentration of credit risk related to our JAKAFI, PEMAZYRE and OPZELURA product revenues is as follows:</w:t>
      </w:r>
    </w:p>
    <w:p>
      <w:pPr>
        <w:spacing w:after="0" w:line="223"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spacing w:after="0" w:line="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Product Revenues for the</w:t>
      </w:r>
    </w:p>
    <w:p>
      <w:pPr>
        <w:spacing w:after="0" w:line="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30480</wp:posOffset>
            </wp:positionV>
            <wp:extent cx="31286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ind w:left="69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6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6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and E comprised, in the aggregate, 40% and 41% of the accounts receivable balance as of December 31, 2023 and 2022, respectively. The concentration of credit risk relating to our other product revenues or accounts receivable is not significant.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December 31, 2023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17, 2022, we completed our acquisition of 100% of the outstanding shares of Villaris Therapeutics, Inc. ("Villaris"). Villaris was an early-stage biopharma company focused on the development of novel antibody therapeutics for vitiligo. We evaluated the acquired set of activities and assets, and concluded that the acquisition of Villaris did not meet the definition of a business, as substantially all of the purchase price was concentrated in a single identifiable preclinical asset. Therefore, the transaction was accounted for as an asset acquisition.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acquisition agreement, we made an upfront payment of $70.3 million in 2022, which was attributed to the fair value of the preclinical asset acquired. As the preclinical asset had no alternative future use at the date of acquisition, the entire upfront payment amount was expensed to research and development expense on the consolidated statement of operations for the year ended December 31, 2022. There were no material assets or liabilities recorded on the consolidated balance sheet as part of this acquisition. During December 2023, we made a $20.0 million development milestone payment to former Villaris stockholders for the initiation of the Phase 1 clinical trial of INCA034460 as a treatment for vitiligo, which was expensed to research and development expense on the consolidated statement of operations for the year ended December 31, 2023. Former Villaris stockholders are eligible to receive up to an additional $290.0 million upon achievement of certain regulatory milestones, as well as up to an additional $1.05 billion in commercial milestones on net sales of commercialized products. We will accrue for these milestone payments in the future when it becomes probable they will be achieved.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 and Work-in-process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120,959</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API and work-in-process, and finished goods, inclusive of freight and inventoriable overhead. At December 31, 2023, $63.0 million of inventory was classified as current on the consolidated balance sheet as we expect this inventory to be consumed for commercial use within the next twelve months. At December 31, 2023, $207.0 million of inventory was classified as non-current on the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consolidated statements of operations. At December 31, 2023, inventory with approximately $35.6 million of product costs incurred prior to regulatory approval had not yet been sold. We expect to sell the pre-commercialization inventory over the next 9 to 12 months and, as a result, cost of product revenues will reflect a lower average per unit cost of materials.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agreement, we initially were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December 31, 2023, we have recognized and received, in the aggregate, $157.0 million for the achievement of development milestones, $345.0 million for the achievement of regulatory milestones and $200.0 million for the achievement of sales milestones.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September 2023, we recognized a $5.0 million regulatory milestone for the approval of JAKAVI (ruxolitinib) in GVHD by the Japanese Ministry of Health, Labour and Welfare.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years ended December 31, 2023, 2022 and 2021, such royalties on net sales within the United States totaled $122.1 million, $113.1 million and $99.6 million, respectively, and were reflected in cost of product revenues on the consolidated statements of operations. At December 31, 2023 and 2022, $375.6 million and $253.5 million, respectively, of accrued royalties were included in accrued and other current liabilities on the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Milestone and contract revenue under the Novartis agreement was $5.0 million, $60.0 million and $0.0 million for the years ended December 31, 2023, 2022 and 2021, respectively. In addition, for the years ended December 31, 2023, 2022 and 2021, we recorded $367.6 million, $331.6 million and $338.0 million, respectively, of product royalty revenues related to Novartis net sales of JAKAVI outside the United States. For the years ended December 31, 2023, 2022 and 2021 we recorded $17.8 million, $15.4 million and $10.4 million, respectively, of product royalty revenues related to Novartis net sales of TABRECTA worldwide.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December 31, 2023, we have recognized and received, in aggregate, $149.0 million for the achievement of development milestones, $335.0 million for the achievement of regulatory milestones and $50.0 million for the achievement of sales milestones. We are also eligible to receive tiered, double-digit royalties on future global sales with rates ranging up to the mid-twenties if a product is successfully commercialized.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Milestone and contract revenue under the Lilly agreement was $0.0 million, $70.0 million and $50.0 million, respectively, for the years ended December 31, 2023, 2022 and 2021. In addition, for the years ended December 31, 2023, 2022 and 2021, we recorded $136.1 million, $134.5 million and $220.9 million, respectively, of product royalty revenues related to Lilly net sales of OLUMIANT outside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Ruxolitinib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amended the non-compete provision of the agreement to allow us to engage in the development and commercialization of ruxolitinib in the GVHD field. Lilly was eligible to receive up to $40.0 million in milestone payments relating to ruxolitinib in the GVHD field. Since the date of the amendment through December 31, 2023, we have fully paid Lilly milestones totaling $40.0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this agreement, we are responsible for all costs associated with discovery, preclinical, clinical development and commercialization activities for the currently active programs. Agenus will be eligible to receive tiered royalties on global net sales ranging from 6% to 12%, for all programs but one, in which Agenus will be eligible to receive 15% royalties on global net sales. The agreement may be terminated by us for convenience upon 12 months’ notice and also may be terminated under certain other circumstances, including material breach.</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inception of the agreement through December 31, 2023, we have paid Agenus milestones totaling $30.0 million and Agenus is eligible to receive up to an additional $500.0 million in future contingent development, regulatory and commercialization milestones across all programs in the collaboration.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held an investment of approximately 12.1 million shares of Agenus Inc. common stock. The fair market value of our long term investment in Agenus Inc. at December 31, 2023 and 2022 was $10.0 million and $29.0 million, respectively. For the years ended December 31, 2023, 2022 and 2021, we recorded an unrealized loss of $18.9 million, an unrealized loss of $9.9 million and an unrealized gain of $4.6 million, respectively, based on the change in fair value of Agenus Inc.’s common stock during the respective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 We hold worldwide exclusive development and commercialization rights to those programs and are responsible for all research, development and commercialization costs, subject to Merus’ option, subject to certain conditions, to co-fund development of up to two of such programs and participate in certain commercialization activities for one of those co-developed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January 2023, August 2023 and December 2023, we paid Merus milestones of $2.5 million, $2.5 million and $1.0 million, respectively, which were recorded as research and development expense in our consolidated statements of operations. Since the inception of the agreement through December 31, 2023, we have paid and expensed Merus milestones totaling $9.0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August 2023, we purchased approximately 0.5 million shares of Merus’ common shares for an aggregate purchase price of $10.0 million in cash. As of December 31, 2023, we held an investment of approximately 4.0 million Merus common shares. The fair market value of our total long term investment in Merus as of December 31, 2023 and 2022 was $110.1 million and $54.9 million, respectively. For the years ended December 31, 2023, 2022 and 2021, we recorded an unrealized gain of $45.2 million, an unrealized loss of $58.0 million, and an unrealized gain of $48.1 million, respectively, based on the change in fair value of Merus’ common shares during the respective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2022, we amended our agreement with MacroGenics to reflect changes related to the payment of certain milestones and paid MacroGenics $30.0 million, which was recorded as research and development expense in our consolidated statements of operations in the third quarter of 2022.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2023, we made a $15.0 million regulatory milestone payment to MacroGenics for the FDA approval of ZYNYZ for the treatment of adults with Merkel cell carcinoma. This milestone payment was capitalized as an intangible asset and included in Other intangible assets, net on the consolidated balance sheet as of December 31, 2023, and is being amortized through cost of product revenues over the estimated useful life of 13.5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the inception of the agreement through December 31, 2023, we have paid MacroGenics developmental and regulatory milestones totaling $115.0 million. After the amendment and subsequent payments, MacroGenics will be eligible to receive up to an additional $320.0 million in future contingent development and regulatory milestones, and up to $330.0 million in sales milestones as well as tiered royalties ranging from 15% to 24% of global net sales.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2023, 2022 and 2021, also included $51.5 million, $89.2 million and $72.3 million, respectively, of development costs incurred pursuant to the MacroGenics agreement. At December 31, 2023 and 2022, a total of $0.3 million and $2.9 million, respectively, of such costs were included in accrued and other liabilities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(“Syros”). Under this agreement, Syros used its proprietary gene control platform to identify novel therapeutic targets with a focus in myeloproliferative neoplasms and we received options to obtain exclusive worldwide rights to intellectual property resulting from the collaboration for up to seven validated targets. This agreement was terminated in October 2023.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held an investment of approximately 0.1 million shares of Syros common stock. The fair market value of our long term investment in Syros as of December 31, 2023 and 2022 was $0.7 million and $0.3 million, respectively. For the years ended December 31, 2023, 2022 and 2021, we recorded an unrealized gain of $0.4 million, an unrealized loss of $2.7 million and an unrealized loss of $7.1 million, respectively, based on the change in fair value of Syros’ common stock during the respective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was under clinical development by MorphoSys at the beginning of the agreement, and has subsequently been commercialized as MONJUVI/MINJUVI. MorphoSys has exclusive worldwide development and commercialization rights to tafasitamab under a June 2010 collaboration and license agreement with Xencor, Inc.</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MorphoSys is eligible to receive up to $737.5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 Since the inception of the agreement through December 31, 2023, we have paid MorphoSys milestones totaling $2.5 million, all of which have previously been recorded as research and development expenses.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held an investment of approximately 3.6 million American Depository Shares, each representing 0.25 of an ordinary share of MorphoSys AG. The fair market value of our long term investment in MorphoSys AG as of December 31, 2023 and 2022 was $35.9 million and $13.0 million, respectively. For the years ended December 31, 2023, 2022 and 2021 we recorded an unrealized gain of $22.9 million, an unrealized loss of $21.2 million, and an unrealized loss of $68.7 million, respectively, based on the change in fair value of MorphoSys AG's ordinary shares during the respective periods.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50% share of the United States loss for the commercialization of tafasitamab for the years ended December 31, 2023, 2022 and 2021 was $2.0 million, $8.0 million, and $37.0 million respectively, and is recorded as (profit) and loss sharing under collaboration agreements on the consolidated statement of operations. Research and development expenses for the years ended December 31, 2023, 2022 and 2021, included $76.1 million, $99.7 million, and $77.0 million, respectively, of costs for tafasitamab including our 55% share of the co-development costs. At December 31, 2023 and 2022, $18.8 million and $28.5 million, respectively, was included in accrued and other liabilities on the consolidated balance sheet for amounts due to MorphoSys under the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February 2024, we entered into a purchase agreement with MorphoSys, as a result of which we now hold exclusive global rights for tafasitamab. See Note 18 for further information relating to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The agreement became effective in December 2021. Axatilimab, which is currently in clinical development, is a monoclonal antibody that blocks the colony stimulating factor-1 (CSF-1) receptor. Syndax obtained exclusive worldwide development and commercialization rights to axatilimab under a June 2016 license agreement with UCB Biopharma Sprl.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held an investment of approximately 1.4 million shares of Syndax common stock. The fair market value of our long term investment in Syndax as of December 31, 2023 and 2022 was $30.7 million and $36.2 million, respectively. For the years ended December 31, 2023, 2022 and 2021, we recorded an unrealized loss of $5.5 million, and unrealized gain of $5.1 million, and an unrealized gain of $6.3 million, respectively, based on the change in fair value of Syndax’s common stock during the respective periods.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includes $25.8 million related to our 55% share of the co-development costs for axatilimab. At December 31, 2023, $1.8 million was included in accrued and other liabilities on the consolidated balance sheet for amounts due to Syndax under the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564,170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47,224</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952,124</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(212,814)</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751,513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739,310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including amortization expense of leasehold improvements, was $60.1 million, $46.3 million and $36.3 million for the years ended December 31, 2023, 2022 and 2021,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current operating lease liabilities are reflected in accrued and other current liabilities and our noncurrent operating lease liabilities are reflected in other liabilities on the consolidated balance sheets and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30,083</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our lease liabilities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6"/>
                <w:szCs w:val="16"/>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20,809</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cash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 paid for amounts included in the measurement of our operating lease liabilities for the years ended December 31, 2023, 2022 and 2021 was $9.4 million, $11.8 million and $14.3 million, respectively, in operating cash flows. The cash paid for amounts included in the measurement of our finance lease liabilities for the years ended December 31, 2023, 2022 and 2021 was $3.4 million, $2.9 million and $2.4 million respectively, in financing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our finance and operating leases had a weighted average lease term of approximately 10.8 years and 5.8 years, respectively. The discount rate of our leases is an approximation of an estimated incremental borrowing rate and is dependent upon the term and economics of each agreement. The weighted average discount rate of our finance and operating leases was approximately 4.0% and 3.9%,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our finance and operating leases had a weighted average lease term of approximately 12.0 years and 5.5 years, respectively. The weighted average discount rate of our finance and operating leases was approximately 4.2% and 4.4%,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our finance and operating leases had a weighted average lease term of approximately 13.4 years and 4.9 years, respectively. The weighted average discount rate of our finance and operating leases was approximately 4.1% and 4.8%, respectively.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we incurred approximately $9.8 million of expense related to our operating leases, approximately $3.5 million of amortization on our finance lease right-of-use assets and approximately $1.3 million of interest expense on our finance lease liabilities. For the year ended December 31, 2022, we incurred approximately $11.7 million of expense related to our operating leases, approximately $3.1 million of amortization on our finance lease right-of-use assets and approximately $1.4 million of interest expense on our finance lease liabilities. For the year ended December 31, 2021, we incurred approximately $14.2 million of expense related to our operating leases, approximately $2.7 million of amortization on our finance lease right-of-use assets and approximately $1.3 million of interest expense on our finance lease liabilities.</w:t>
      </w:r>
    </w:p>
    <w:p>
      <w:pPr>
        <w:spacing w:after="0" w:line="183" w:lineRule="exact"/>
        <w:rPr>
          <w:sz w:val="20"/>
          <w:szCs w:val="20"/>
          <w:color w:val="auto"/>
        </w:rPr>
      </w:pPr>
    </w:p>
    <w:p>
      <w:pPr>
        <w:jc w:val="center"/>
        <w:ind w:right="8240"/>
        <w:spacing w:after="0"/>
        <w:rPr>
          <w:sz w:val="20"/>
          <w:szCs w:val="20"/>
          <w:color w:val="auto"/>
        </w:rPr>
      </w:pPr>
      <w:r>
        <w:rPr>
          <w:rFonts w:ascii="Times New Roman" w:cs="Times New Roman" w:eastAsia="Times New Roman" w:hAnsi="Times New Roman"/>
          <w:sz w:val="18"/>
          <w:szCs w:val="18"/>
          <w:b w:val="1"/>
          <w:bCs w:val="1"/>
          <w:color w:val="auto"/>
        </w:rPr>
        <w:t>Note 9. Intangible Assets and Goodwill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intangible assets were as follows (in thousands, except for useful life):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Useful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Licensed IP</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129,219</w:t>
            </w:r>
          </w:p>
        </w:tc>
        <w:tc>
          <w:tcPr>
            <w:tcW w:w="0" w:type="dxa"/>
            <w:vAlign w:val="bottom"/>
          </w:tcPr>
          <w:p>
            <w:pPr>
              <w:spacing w:after="0"/>
              <w:rPr>
                <w:sz w:val="1"/>
                <w:szCs w:val="1"/>
                <w:color w:val="auto"/>
              </w:rPr>
            </w:pPr>
          </w:p>
        </w:tc>
      </w:tr>
      <w:tr>
        <w:trPr>
          <w:trHeight w:val="231"/>
        </w:trPr>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Capitalized milestone</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13.3</w:t>
            </w:r>
          </w:p>
        </w:tc>
        <w:tc>
          <w:tcPr>
            <w:tcW w:w="10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10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was $22.5 million for the year ended December 31, 2023, and amortization expense was $21.5 million for the years ended December 31, 2022 and 2021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for the years ended December 31,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68,432</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935,569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701,053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authorized to issue 5,000,000 shares of preferred stock, none of which was outstanding as of December 31, 2023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The Board of Directors may determine the rights, preferences and privileges of any preferred stock issued in the future.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authorized to issue 400,000,000 shares of common stock.</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 Compensation Plans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2023, we had a total of 11,557,443 shares of our common stock available for future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our stock plans as described below.</w:t>
      </w:r>
    </w:p>
    <w:p>
      <w:pPr>
        <w:spacing w:after="0" w:line="15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In May 2010 the Board of Directors adopted the 2010 Stock Incentive Plan (the “2010 Stock Plan”), which was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amended in April 2023, for issuance of common stock to employees, non-employee directors, consultants, and scientific advisors. Awards under the 2010 Stock Plan include stock options, RSUs and PSUs.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our stockholders approved an increase in the number of shares of common stock reserved for issuance under the 2010 Stock Plan from 53,953,475 to 66,453,475.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Options are granted to employees, consultants, and scientific advisors under the 2010 Stock Plan. Options are also granted under the 2010 Stock Plan to non-employee members of our Board of Directors, pursuant to a formula set forth in the 2010 Stock Plan. All options are exercisable at the fair market value of the stock on the date of grant.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seven-year terms and vested over three years, with 33% vesting after one year and the remainder vesting in 24 equal monthly installments. Non-employee director options expire after 10 years and vest in full on the first anniversary of the date of grant or, if earlier, the date of the next annual meeting of stockholders.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2010 Stock Plan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0"/>
        </w:trPr>
        <w:tc>
          <w:tcPr>
            <w:tcW w:w="8180" w:type="dxa"/>
            <w:vAlign w:val="bottom"/>
          </w:tcPr>
          <w:p>
            <w:pPr>
              <w:spacing w:after="0"/>
              <w:rPr>
                <w:sz w:val="16"/>
                <w:szCs w:val="16"/>
                <w:color w:val="auto"/>
              </w:rPr>
            </w:pPr>
          </w:p>
        </w:tc>
        <w:tc>
          <w:tcPr>
            <w:tcW w:w="306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Outstanding Options</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8"/>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95"/>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12,650,359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(1,404,848)</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12,457,158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to purchase a total of 9,743,775, 8,952,289 and 8,024,951 shares as of December 31, 2023, 2022 and 2021, respectively, were exercisable. The aggregate intrinsic value of options exercised for the years ended December 31, 2023, 2022 and 2021 were $3.2 million, $6.0 million and $12.7 million, respectively. At December 31, 2023, the aggregate intrinsic value of options outstanding and vested options are $2.0 million and $1.9 million,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2023 under the 2010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23"/>
        </w:trPr>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1"/>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9"/>
        </w:trPr>
        <w:tc>
          <w:tcPr>
            <w:tcW w:w="3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55"/>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$49.01 - $68.62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1,752,776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r>
      <w:tr>
        <w:trPr>
          <w:trHeight w:val="25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$68.70 - $72.27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1,279,346</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6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$72.66 - $76.95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1,271,472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789,924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r>
      <w:tr>
        <w:trPr>
          <w:trHeight w:val="25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$77.03 - $80.50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1,310,294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63"/>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$80.56</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1,502,140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873,400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r>
      <w:tr>
        <w:trPr>
          <w:trHeight w:val="250"/>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$83.83</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$85.52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1,269,328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r>
      <w:tr>
        <w:trPr>
          <w:trHeight w:val="263"/>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$85.60</w:t>
            </w: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$94.63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1,269,423</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1,097,345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r>
      <w:tr>
        <w:trPr>
          <w:trHeight w:val="250"/>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$95.34</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$106.47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1,326,730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6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$107.69 - $128.34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1,332,485</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1,332,485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w:t>
            </w:r>
          </w:p>
        </w:tc>
      </w:tr>
      <w:tr>
        <w:trPr>
          <w:trHeight w:val="250"/>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$132.00 - $138.52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143,164</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143,164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134.76</w:t>
            </w:r>
          </w:p>
        </w:tc>
      </w:tr>
      <w:tr>
        <w:trPr>
          <w:trHeight w:val="275"/>
        </w:trPr>
        <w:tc>
          <w:tcPr>
            <w:tcW w:w="5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12,457,158</w:t>
            </w:r>
          </w:p>
        </w:tc>
        <w:tc>
          <w:tcPr>
            <w:tcW w:w="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9,743,775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 and Performance Shares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years ended December 31, 2023, 2022 and 2021, we recorded $17.2 million, $7.8 million and $8.3 million, respectively, of stock compensation expense for PSUs on our consolidated statements of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and PSU award activity under the 2010 Stock Plan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6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0"/>
        </w:trPr>
        <w:tc>
          <w:tcPr>
            <w:tcW w:w="8180" w:type="dxa"/>
            <w:vAlign w:val="bottom"/>
          </w:tcPr>
          <w:p>
            <w:pPr>
              <w:spacing w:after="0"/>
              <w:rPr>
                <w:sz w:val="16"/>
                <w:szCs w:val="16"/>
                <w:color w:val="auto"/>
              </w:rPr>
            </w:pPr>
          </w:p>
        </w:tc>
        <w:tc>
          <w:tcPr>
            <w:tcW w:w="306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14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5,187,592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3,576,242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(1,264,781)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7,165,342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488"/>
        </w:trPr>
        <w:tc>
          <w:tcPr>
            <w:tcW w:w="11240" w:type="dxa"/>
            <w:vAlign w:val="bottom"/>
            <w:gridSpan w:val="5"/>
          </w:tcPr>
          <w:p>
            <w:pPr>
              <w:jc w:val="right"/>
              <w:ind w:right="33"/>
              <w:spacing w:after="0"/>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Plan. Each RSU and PSU grant reduces the available share pool by</w:t>
            </w: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2 shares.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1"/>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9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5,056,370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authorization</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(9,196,930)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2,455,586</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10,815,026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On May 21, 1997, our stockholders adopted the 1997 Employee Stock Purchase Plan, which was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in April 2023 (the “ESPP”). Each regular full-time and part-time employee working 20 hours or more per week is eligible to participate after one month of employment. In June 2023, our stockholders approved an increase in the number of shares of common stock reserved for issuance under the ESPP from 9,600,000 to 10,350,000. We issued 380,145, 308,413 and 264,503 shares under the ESPP in 2023, 2022 and 2021, respectively. For the years ended December 31, 2023, 2022 and 2021, we recorded stock compensation expense of $5.1 million, $4.7 million and $4.6 million, respectively, as the ESPP is considered compensatory under the FASB stock compensation rules. As of December 31, 2023, 742,417 shares remain available for issuance under the ESPP.</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$215.9 million, $188.4 million and $183.0 million, respectively, of stock compensation expense for the years ended December 31, 2023, 2022 and 2021. Stock compensation expense within the consolidated statements of operations included research and development expense for the years ended December 31, 2023, 2022 and 2021 of $126.7 million, $112.5 million and $114.3 million, respectively. Stock compensation expense within the consolidated statements of operations also included selling, general and administrative expense for the years ended December 31, 2023, 2022 and 2021 of $86.1 million, $73.2 million and $67.0 million, respectively. Stock compensation expense within the consolidated statements of operations also included cost of product revenues for the years ended December 31, 2023, 2022 and 2021 of $3.1 million, $2.7 million and $1.7 million, respectively.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options granted, with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800" w:type="dxa"/>
            <w:vAlign w:val="bottom"/>
            <w:gridSpan w:val="5"/>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Employee Stock Options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5"/>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tc>
        <w:tc>
          <w:tcPr>
            <w:tcW w:w="740" w:type="dxa"/>
            <w:vAlign w:val="bottom"/>
          </w:tcPr>
          <w:p>
            <w:pPr>
              <w:spacing w:after="0"/>
              <w:rPr>
                <w:sz w:val="14"/>
                <w:szCs w:val="14"/>
                <w:color w:val="auto"/>
              </w:rPr>
            </w:pPr>
          </w:p>
        </w:tc>
      </w:tr>
      <w:tr>
        <w:trPr>
          <w:trHeight w:val="190"/>
        </w:trPr>
        <w:tc>
          <w:tcPr>
            <w:tcW w:w="4080" w:type="dxa"/>
            <w:vAlign w:val="bottom"/>
          </w:tcPr>
          <w:p>
            <w:pPr>
              <w:spacing w:after="0"/>
              <w:rPr>
                <w:sz w:val="16"/>
                <w:szCs w:val="16"/>
                <w:color w:val="auto"/>
              </w:rPr>
            </w:pPr>
          </w:p>
        </w:tc>
        <w:tc>
          <w:tcPr>
            <w:tcW w:w="2800" w:type="dxa"/>
            <w:vAlign w:val="bottom"/>
            <w:gridSpan w:val="5"/>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5"/>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(in dollars)</w:t>
            </w: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18.02</w:t>
            </w: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December 31, 2023, was $30.0 million, which is expected to be recognized over the weighted average period of 1.2 years. Total compensation cost of RSUs granted but not yet vested, as of December 31, 2023, was $235.4 million, which is expected to be recognized over the weighted average period of 1.7 years. Total compensation cost of PSUs granted but not yet vested, as of December 31, 2023, was $17.0 million, which is expected to be recognized over the weighted average period of 1.9 years, should the underlying performance conditions be deemed probable of achievement.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state and foreign corporate income taxes. The provision (benefit) for income taxes is based on income before provision (benefit) for income taxes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6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1,084,254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766,781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991,873</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(250,039)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8"/>
                <w:szCs w:val="18"/>
                <w:color w:val="auto"/>
              </w:rPr>
              <w:t>(237,665)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8"/>
                <w:szCs w:val="18"/>
                <w:color w:val="auto"/>
              </w:rPr>
              <w:t>(421,429)</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(benefit) for income taxes</w:t>
            </w:r>
          </w:p>
        </w:tc>
        <w:tc>
          <w:tcPr>
            <w:tcW w:w="2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5"/>
              </w:rPr>
              <w:t>529,116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9"/>
              </w:rPr>
              <w:t>570,444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provision (benefit) for income taxes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50,565</w:t>
            </w:r>
          </w:p>
        </w:tc>
      </w:tr>
      <w:tr>
        <w:trPr>
          <w:trHeight w:val="263"/>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w:t>
            </w:r>
          </w:p>
        </w:tc>
      </w:tr>
      <w:tr>
        <w:trPr>
          <w:trHeight w:val="250"/>
        </w:trPr>
        <w:tc>
          <w:tcPr>
            <w:tcW w:w="6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57"/>
        </w:trPr>
        <w:tc>
          <w:tcPr>
            <w:tcW w:w="66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(407,852)</w:t>
            </w:r>
          </w:p>
        </w:tc>
      </w:tr>
      <w:tr>
        <w:trPr>
          <w:trHeight w:val="25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(57,677)</w:t>
            </w:r>
          </w:p>
        </w:tc>
      </w:tr>
      <w:tr>
        <w:trPr>
          <w:trHeight w:val="257"/>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(465,604)</w:t>
            </w: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(378,137)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periodic basis, we reassess the valuation allowance on our deferred income tax assets. Valuation allowances require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fourth quarter of 2021, we assessed the valuation allowance and considered positive evidence, including significant cumulative consolidated and U.S. income over the three years ended December 31, 2021, consistent growth in product revenues, and expectations regarding future profitability. We also assessed negative evidence, including the potential impact of competition, clinical failures and patent expirations on our projections. After assessing both the positive evidence and negative evidence, we determined it was more likely than not that the majority of our U.S. deferred tax assets would be realized in the future and released the associated valuation allowance as of December 31, 2021. This resulted in a benefit of $569.0 million.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income taxes at the U.S. federal statutory rate to the provision (benefit) for income taxes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34,461</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(523,279)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accounted for as research and development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236,616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(378,137)</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foreign tax rate differential in the table above reflects the impact of operations in jurisdictions with tax rates that differ from the U.S. federal statutory rate of 21%. It also includes a tax benefit associated with the remeasurement of foreign deferred tax assets resulting from the cancellation of a tax holiday. The income tax credits in the table above includes a tax benefit associated with the issuance of non-refundable Swiss income tax credits. The remeasurement of foreign deferred tax assets and the Swiss income tax credits are fully offset with a valuation allowance in the table above.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326,446</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credits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265,140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and accruals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2,768,418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972,628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(2,096,318)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(472,125)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672,100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valuation allowance for deferred tax assets increased by approximately $1.6 billion during the year ended December 31, 2023 and increased by approximately $63.9 million during the year ended December 31, 2022. The valuation allowance increase during 2023 was primarily due to the issuance of non-refundable Swiss income tax credits, future deductible temporary differences mainly associated with U.S. research and development expenses required to be capitalized and amortized under the Tax Cuts and Jobs Act of 2017, as well as foreign net operating losses (“NOLs”), which are not more-likely-than-not to be realized as of December 31,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our gross deferred tax assets increased by $1.8 billion primarily due to our Swiss subsidiaries being granted approximately $1.4 billion of non-refundable income tax credits, the mandatory capitalization of research and development expenses and the remeasurement of foreign deferred tax assets. The Swiss credits are available for use during the periods 2023 through 2028, however due to the subsidiaries' historical cumulative loss position, we have recorded a full valuation allowance at this time as it is more-likely-than-not that the credits would expire unused. The valuation allowance position will continue to be monitored in the future.</w:t>
      </w:r>
    </w:p>
    <w:p>
      <w:pPr>
        <w:spacing w:after="0" w:line="183"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had NOL carryforwards, research and development credit carryforwards and foreign income tax credit carryforwards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 if not utilized</w:t>
            </w:r>
          </w:p>
        </w:tc>
      </w:tr>
      <w:tr>
        <w:trPr>
          <w:trHeight w:val="23"/>
        </w:trPr>
        <w:tc>
          <w:tcPr>
            <w:tcW w:w="6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r>
      <w:tr>
        <w:trPr>
          <w:trHeight w:val="25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294,342</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2024 through 2043; indefinite</w:t>
            </w:r>
          </w:p>
        </w:tc>
      </w:tr>
      <w:tr>
        <w:trPr>
          <w:trHeight w:val="263"/>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2,145,243</w:t>
            </w: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 through 2030</w:t>
            </w:r>
          </w:p>
        </w:tc>
      </w:tr>
      <w:tr>
        <w:trPr>
          <w:trHeight w:val="25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tcPr>
          <w:p>
            <w:pPr>
              <w:spacing w:after="0"/>
              <w:rPr>
                <w:sz w:val="21"/>
                <w:szCs w:val="21"/>
                <w:color w:val="auto"/>
              </w:rPr>
            </w:pPr>
          </w:p>
        </w:tc>
      </w:tr>
      <w:tr>
        <w:trPr>
          <w:trHeight w:val="263"/>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 through 2041</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Swiss income tax credit carryforwards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1,429,193</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we would recognize a tax benefit of $59.1 million. The following table summarizes the gross amounts of unrecognized tax benefits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62,359</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related to prior periods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Reductions related to prior periods tax positions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related to current period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w:t>
            </w: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Reductions due to lapse of applicable statute of limitations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73,040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uncertain tax positions, if any, as a component of income tax expense. During the years ending December 31, 2023 and 2022, we recorded interest and penalties as a component of income tax expense of $4.9 million and $3.8 million, respectively. We believe that it is reasonably possible that a decrease of up to $22.0 million in unrecognized tax benefits may be necessary within the next twelve months due to a lapse in the statute of limitations.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file U.S. federal, state and local income tax returns and income tax returns in various foreign jurisdictions, with statutes of limitation generally ranging from three to five years during which such tax returns may be audited by the relevant tax authorities. Those statutes could be extended due to NOL or tax credit carryforwards generated during these periods that are subsequently utilized in open tax periods. In general, tax authorities have the ability to adjust the NOL carryforward or tax credits for three years after utilization of that year’s tax attribute carryforward.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basic net income per share is computed by dividing the net income by the number of weighted average common shares outstanding during the period. Our diluted net income per share is computed by dividing net income by the weighted average common shares outstanding during the period assuming potentially dilutive common shares of stock options, RSUs and PSUs.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per share was calculated as follows for the periods indicated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42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Basic Net Income Per Share</w:t>
            </w:r>
          </w:p>
        </w:tc>
        <w:tc>
          <w:tcPr>
            <w:tcW w:w="5160" w:type="dxa"/>
            <w:vAlign w:val="bottom"/>
            <w:tcBorders>
              <w:bottom w:val="single" w:sz="8" w:color="CCEEFF"/>
            </w:tcBorders>
            <w:gridSpan w:val="3"/>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948,581</w:t>
            </w: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220,428</w:t>
            </w: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948,581</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220,428</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tcPr>
          <w:p>
            <w:pPr>
              <w:spacing w:after="0"/>
              <w:rPr>
                <w:sz w:val="21"/>
                <w:szCs w:val="21"/>
                <w:color w:val="auto"/>
              </w:rPr>
            </w:pPr>
          </w:p>
        </w:tc>
        <w:tc>
          <w:tcPr>
            <w:tcW w:w="7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to compute diluted net income per share</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222,074</w:t>
            </w:r>
          </w:p>
        </w:tc>
        <w:tc>
          <w:tcPr>
            <w:tcW w:w="0" w:type="dxa"/>
            <w:vAlign w:val="bottom"/>
          </w:tcPr>
          <w:p>
            <w:pPr>
              <w:spacing w:after="0"/>
              <w:rPr>
                <w:sz w:val="1"/>
                <w:szCs w:val="1"/>
                <w:color w:val="auto"/>
              </w:rPr>
            </w:pPr>
          </w:p>
        </w:tc>
      </w:tr>
      <w:tr>
        <w:trPr>
          <w:trHeight w:val="270"/>
        </w:trPr>
        <w:tc>
          <w:tcPr>
            <w:tcW w:w="100" w:type="dxa"/>
            <w:vAlign w:val="bottom"/>
            <w:tcBorders>
              <w:bottom w:val="single" w:sz="8" w:color="CCEEFF"/>
            </w:tcBorders>
          </w:tcPr>
          <w:p>
            <w:pPr>
              <w:spacing w:after="0"/>
              <w:rPr>
                <w:sz w:val="23"/>
                <w:szCs w:val="23"/>
                <w:color w:val="auto"/>
              </w:rPr>
            </w:pPr>
          </w:p>
        </w:tc>
        <w:tc>
          <w:tcPr>
            <w:tcW w:w="2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4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CCEEFF"/>
            </w:tcBorders>
            <w:shd w:val="clear" w:color="auto" w:fill="CCEEFF"/>
          </w:tcPr>
          <w:p>
            <w:pPr>
              <w:spacing w:after="0"/>
              <w:rPr>
                <w:sz w:val="23"/>
                <w:szCs w:val="23"/>
                <w:color w:val="auto"/>
              </w:rPr>
            </w:pPr>
          </w:p>
        </w:tc>
        <w:tc>
          <w:tcPr>
            <w:tcW w:w="7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potential common shares that were excluded from the diluted net income per share computation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12,710,250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10,946,703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10,106,837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$18.9 million, $18.7 million and $16.7 million for the years ended December 31, 2023,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pension plans assumptions reflect the expected investment return and discount rate on plan assets and disability rate probabilities. The benefit obligation at December 31, 2023 for the plans was determined using a discount rate of 1.30% and rate of compensation increase of 2.25%. The 2023 net periodic benefit cost for the plans was determined using discount rates of 2.20%, rates of compensation increase of 2.25% and long term expected return on plan assets of 5.80%. The benefit obligation at December 31, 2022 for the plans was determined using a discount rate of 2.20% and rate of compensation increase of 2.25%. The 2022 net periodic benefit cost for the plans was determined using discount rates of 0.20%, rates of compensation increase of 2.00% and long term expected return on plan assets of 4.50%.</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Summarized information regarding changes in the obligations and plan assets, the funded status and the amounts recorded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131,966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service cost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benefits net of payments from fund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Translation loss (gain)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113,705</w:t>
            </w:r>
          </w:p>
        </w:tc>
      </w:tr>
      <w:tr>
        <w:trPr>
          <w:trHeight w:val="257"/>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benefits net of payments from fund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 (loss)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102,023</w:t>
            </w:r>
          </w:p>
        </w:tc>
      </w:tr>
      <w:tr>
        <w:trPr>
          <w:trHeight w:val="256"/>
        </w:trPr>
        <w:tc>
          <w:tcPr>
            <w:tcW w:w="81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liability,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unfunded liability is reported in other liabilities on the consolidated balance sheets as of December 31, 2023 and 2022. The accumulated benefit obligation is $157.9 million and $105.1 million as of December 31, 2023 and 2022,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9,380</w:t>
            </w:r>
          </w:p>
        </w:tc>
      </w:tr>
      <w:tr>
        <w:trPr>
          <w:trHeight w:val="21"/>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interest income and other, net on the consolidated statements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Other changes in the plans assets and the benefit obligation that is recognized in accumulated other comprehensive income (loss) were as follows, net of tax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(asset) liability,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amendment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prior service costs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(gain)</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33,394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r>
      <w:tr>
        <w:trPr>
          <w:trHeight w:val="27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 (asset), end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30,924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contribute a total of $10.0 million to the pension plans in 2024. The following payments are expected to be paid from the fund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56,005</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(as amended, the “Credit Agreement”), among the Incyte Corporation, as borrower,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that matures in August 2024.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its consolidated leverage ratio in effect immediately prior to giving effect to such increase.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plus an applicable rate per annum varying from 0.125% to 0.875% depending on the consolidated leverage ratio or (b) a Eurodollar rate plus an applicable rate per annum varying from 1.125% to 1.875% depending on the consolidated leverage ratio. Commitment fees payable on the undrawn amount range from 0.150% per annum to 0.225% per annum, based on our consolidated leverage ratio.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May 2023, we amended the Credit Agreement to replace the benchmark rate at which U.S.-dollar-denominated borrowings bear interest from LIBOR to the forward-looking Secured Overnight Financing Rate ("SOFR") term rate administered by CME Group Benchmark Administration Limited. As a result of this amendment, we can borrow at Term SOFR plus a credit spread adjustment of 0.10% subject to a floor of zero.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were in compliance with all financial and operational covenants under the terms of the Credit Agreement and there were no outstanding borrowings or letters of credit outstanding.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recent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December 31, 2023, we have accrued approximately $59.5 million within accrued and other current liabilities on the consolidated balance sheet, relating to the incremental rebates that would be owed were OPZELURA considered a line extension of JAKAFI. The impact on OPZELURA gross to net deductions for the quarter ending December 31, 2023, is approximately 6.5%. If OPZELURA is not treated as a line extension of JAKAFI, this would result in a reversal of our accrual and a lower future gross to net deduction for OPZELURA.</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as described in Note 7 of the Notes to the Consolidated Financial Statements, we have an outstanding contractual dispute with Novartis relating to royalties on JAKAFI net sales within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operate in one operating business segment focused on the global discovery, development and commercialization of proprietary therapeutics.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 We do not operate in any material separate lines of business or separate business entities with respect to our products or product development.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total revenues generated by subsidiaries in the United States was approximately $3.5 billion and total revenues generated from subsidiaries in Europe and Japan was approximately $179.3 million. During the year ended December 31, 2022, total revenues generated by subsidiaries in the United States was approximately $3.2 billion and total revenues generated from subsidiaries in Europe was approximately $147.0 million. During the year ended December 31, 2021, total revenues generated by subsidiaries in the United States was approximately $2.9 billion and total revenues generated from subsidiaries in Europe was approximately $124.1 million.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property and equipment, net was approximately $432.3 million in the United States, approximately $314.4 million in Europe and approximately $4.8 million in Japan. As of December 31, 2022, property and equipment, net was approximately $442.0 million in the United States and approximately $295.8 million in Europe and approximately $1.5 million in Japan.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21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Under the terms of the new agreement, we made a payment of $25.0 million to MorphoSys and gained global development and commercialization rights for tafasitamab along with MONJUVI inventory. We will recognize revenue and costs for all U.S. commercialization and clinical development and MorphoSys will no longer be eligible to receive future milestone, profit split and royalty payments under our prior agreement with MorphoSys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which agreement has now been terminated. Under the purchase agreement, we have become the successor to MorphoSys under its collaboration and license agreement with Xencor, Inc. (“Xencor”), pursuant to which Xencor granted MorphoSys an exclusive, worldwide license, including the right to sublicense under certain conditions, for tafasitamab. Xencor is entitled to receive up to $186.5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concluded that, as of such date, our disclosure controls and procedures were effective at the reasonable assurance level.</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13a-15(f) under the Exchange Act) for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Our management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adequate internal control over financial reporting, as such term is defined in Exchange Act Rule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internal control over financial reporting as of December 31, 2023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Incyte Corporation’s internal control over financial reporting as of December 31, 2023, based on criteria established in Internal Control— 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2023, based on the COSO criteria.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equity and cash flows for each of the three years in the period ended December 31, 2023, and the related notes and our report dated February 13,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firstLine="656"/>
        <w:spacing w:after="0" w:line="266" w:lineRule="auto"/>
        <w:tabs>
          <w:tab w:leader="none" w:pos="9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2023, no director of officer (as defined in Rule 16a-1(f) under the Securities Exchange Act of 1934) of our Company adopted a prearranged trading plan relating to our common stock and intended to satisfy the affirmative defense of Rule 10b5–1(c) under the Securities Exchange Act of 1934.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Securities Exchange Act of 1934) of our Company adopted or terminated any contract, instruction or written plan for the purchase or sale of our securities, whether or not intended to satisfy the affirmative defense conditions of Rule 10b5-1(c).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2024 Annual Meeting of Stockholders to be held on June 12, 2024 (the “Proxy Statement”). Certain information required by this item concerning executive officers is set forth in Part I of this Report under the caption “Information about our Executive Officers” and is incorporated herein by reference.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caption “Section 16(a) Beneficial Ownership Reporting Compliance” in the Proxy Statement and is incorporated herein by reference.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officers and employees, including our Chief Executive Officer, Chief Financial Officer, Principal Accounting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Times New Roman" w:cs="Times New Roman" w:eastAsia="Times New Roman" w:hAnsi="Times New Roman"/>
          <w:sz w:val="18"/>
          <w:szCs w:val="18"/>
          <w:i w:val="1"/>
          <w:iCs w:val="1"/>
          <w:color w:val="auto"/>
        </w:rPr>
        <w:t>investor.incyte.com/corporate-governance</w:t>
      </w:r>
      <w:r>
        <w:rPr>
          <w:rFonts w:ascii="Times New Roman" w:cs="Times New Roman" w:eastAsia="Times New Roman" w:hAnsi="Times New Roman"/>
          <w:sz w:val="18"/>
          <w:szCs w:val="18"/>
          <w:color w:val="auto"/>
        </w:rPr>
        <w:t>. Our website address listed in the prior sentence and below is intended to be an inactive, textual reference only. None of the materials on, or accessible through, our website is part of this report or is incorporated by reference herein.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Times New Roman" w:cs="Times New Roman" w:eastAsia="Times New Roman" w:hAnsi="Times New Roman"/>
          <w:sz w:val="18"/>
          <w:szCs w:val="18"/>
          <w:i w:val="1"/>
          <w:iCs w:val="1"/>
          <w:color w:val="auto"/>
        </w:rPr>
        <w:t>www.incyte.com</w:t>
      </w:r>
      <w:r>
        <w:rPr>
          <w:rFonts w:ascii="Times New Roman" w:cs="Times New Roman" w:eastAsia="Times New Roman" w:hAnsi="Times New Roman"/>
          <w:sz w:val="18"/>
          <w:szCs w:val="18"/>
          <w:color w:val="auto"/>
        </w:rPr>
        <w:t xml:space="preserve"> within four business days following the date of such amendment or waiver.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appointed an Audit and Finance Committee of three directors, currently comprised of Mr. Paul J. Clancy, as Chairman, Dr. Jacqualyn A. Fouse and Dr. Edmund P. Harrigan. The Board of Directors has also determined that Mr. Clancy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“Compensation of Directors” and “Executive Compensation” contained in the Proxy Statement.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“Equity Compensation Plan Information” and “Security Ownership of Certain Beneficial Owners and Management” contained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“Ratification of Independent Registered Public Accounting Firm” contained in the Proxy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25"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Index to Consolidated Financial Statements of Incyte Corporation under Item 8 of Part II 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below. Each management contract or compensatory plan or arrangement required to be filed has been identified.</w:t>
      </w:r>
    </w:p>
    <w:p>
      <w:pPr>
        <w:spacing w:after="0" w:line="22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60" w:type="dxa"/>
            <w:vAlign w:val="bottom"/>
            <w:gridSpan w:val="8"/>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3(i)</w:t>
            </w:r>
          </w:p>
        </w:tc>
        <w:tc>
          <w:tcPr>
            <w:tcW w:w="4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Integrated copy of the Restated Certificate of Incorporation, as amended, of the Company (incorporated by reference to Exhibit 3(i) to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20" w:type="dxa"/>
            <w:vAlign w:val="bottom"/>
            <w:tcBorders>
              <w:top w:val="single" w:sz="8" w:color="0000EE"/>
            </w:tcBorders>
            <w:gridSpan w:val="9"/>
          </w:tcPr>
          <w:p>
            <w:pPr>
              <w:spacing w:after="0" w:line="182"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Company’s Annual Report on Form 10-K for the year ended December 31, 2009).</w:t>
              </w:r>
            </w:hyperlink>
          </w:p>
        </w:tc>
        <w:tc>
          <w:tcPr>
            <w:tcW w:w="40" w:type="dxa"/>
            <w:vAlign w:val="bottom"/>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3(ii)</w:t>
            </w:r>
          </w:p>
        </w:tc>
        <w:tc>
          <w:tcPr>
            <w:tcW w:w="40" w:type="dxa"/>
            <w:vAlign w:val="bottom"/>
          </w:tcPr>
          <w:p>
            <w:pPr>
              <w:spacing w:after="0"/>
              <w:rPr>
                <w:sz w:val="21"/>
                <w:szCs w:val="21"/>
                <w:color w:val="auto"/>
              </w:rPr>
            </w:pPr>
          </w:p>
        </w:tc>
        <w:tc>
          <w:tcPr>
            <w:tcW w:w="9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Bylaws of the Company, as amended as of July 27, 2023 (incorporated by reference to Exhibit 3.1 to the Company’s Quarterly Report on</w:t>
              </w:r>
            </w:hyperlink>
          </w:p>
        </w:tc>
        <w:tc>
          <w:tcPr>
            <w:tcW w:w="100" w:type="dxa"/>
            <w:vAlign w:val="bottom"/>
            <w:gridSpan w:val="2"/>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10-Q for the quarter ended June 30, 2023).</w:t>
              </w:r>
            </w:hyperlink>
          </w:p>
        </w:tc>
        <w:tc>
          <w:tcPr>
            <w:tcW w:w="6460" w:type="dxa"/>
            <w:vAlign w:val="bottom"/>
            <w:gridSpan w:val="8"/>
          </w:tcPr>
          <w:p>
            <w:pPr>
              <w:spacing w:after="0"/>
              <w:rPr>
                <w:sz w:val="18"/>
                <w:szCs w:val="18"/>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960" w:type="dxa"/>
            <w:vAlign w:val="bottom"/>
            <w:gridSpan w:val="10"/>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Common Stock Certificate (incorporated by reference to the Exhibit 4.1 to the Company’s Annual Report on Form 10-K for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4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year ended December 31, 2002).</w:t>
              </w:r>
            </w:hyperlink>
          </w:p>
        </w:tc>
        <w:tc>
          <w:tcPr>
            <w:tcW w:w="7480" w:type="dxa"/>
            <w:vAlign w:val="bottom"/>
            <w:tcBorders>
              <w:top w:val="single" w:sz="8" w:color="0000EE"/>
            </w:tcBorders>
            <w:gridSpan w:val="6"/>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10"/>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Description of Registrant’s Securities Registered under Section 12 of the Securities Exchange Act of 1934 (incorporated by reference to</w:t>
              </w:r>
            </w:hyperlink>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Exhibit 4.3 to the Company’s Annual Report on Form 10-K for the year ended December 31, 2019).</w:t>
              </w:r>
            </w:hyperlink>
          </w:p>
        </w:tc>
        <w:tc>
          <w:tcPr>
            <w:tcW w:w="18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tcBorders>
              <w:right w:val="single" w:sz="8" w:color="0000EE"/>
            </w:tcBorders>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10"/>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Incyte Corporation Amended and Restated 2010 Stock Incentive Plan, as amended on April 13, 2023 (incorporated by reference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0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Exhibit 10.1 to the Company’s Current Report on Form 8-K filed June 15, 2023).</w:t>
              </w:r>
            </w:hyperlink>
          </w:p>
        </w:tc>
        <w:tc>
          <w:tcPr>
            <w:tcW w:w="3500" w:type="dxa"/>
            <w:vAlign w:val="bottom"/>
            <w:tcBorders>
              <w:top w:val="single" w:sz="8" w:color="0000EE"/>
            </w:tcBorders>
            <w:gridSpan w:val="2"/>
          </w:tcPr>
          <w:p>
            <w:pPr>
              <w:spacing w:after="0"/>
              <w:rPr>
                <w:sz w:val="15"/>
                <w:szCs w:val="15"/>
                <w:color w:val="auto"/>
              </w:rPr>
            </w:pPr>
          </w:p>
        </w:tc>
        <w:tc>
          <w:tcPr>
            <w:tcW w:w="560" w:type="dxa"/>
            <w:vAlign w:val="bottom"/>
            <w:gridSpan w:val="5"/>
          </w:tcPr>
          <w:p>
            <w:pPr>
              <w:spacing w:after="0"/>
              <w:rPr>
                <w:sz w:val="15"/>
                <w:szCs w:val="15"/>
                <w:color w:val="auto"/>
              </w:rPr>
            </w:pPr>
          </w:p>
        </w:tc>
      </w:tr>
      <w:tr>
        <w:trPr>
          <w:trHeight w:val="9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4"/>
          </w:tcPr>
          <w:p>
            <w:pPr>
              <w:ind w:left="4240"/>
              <w:spacing w:after="0"/>
              <w:rPr>
                <w:sz w:val="20"/>
                <w:szCs w:val="20"/>
                <w:color w:val="auto"/>
              </w:rPr>
            </w:pPr>
            <w:r>
              <w:rPr>
                <w:rFonts w:ascii="Times New Roman" w:cs="Times New Roman" w:eastAsia="Times New Roman" w:hAnsi="Times New Roman"/>
                <w:sz w:val="18"/>
                <w:szCs w:val="18"/>
                <w:color w:val="auto"/>
              </w:rPr>
              <w:t>120</w:t>
            </w:r>
          </w:p>
        </w:tc>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0" w:type="dxa"/>
            <w:vAlign w:val="bottom"/>
            <w:gridSpan w:val="29"/>
          </w:tcPr>
          <w:p>
            <w:pPr>
              <w:ind w:left="26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Global Stock Option Agreement for Executive Officers under the Incyte Corporation Amended and Restated 2010 Stock</w:t>
              </w:r>
            </w:hyperlink>
          </w:p>
        </w:tc>
      </w:t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tcBorders>
              <w:top w:val="single" w:sz="8" w:color="0000EE"/>
            </w:tcBorders>
            <w:gridSpan w:val="12"/>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Incentive Plan (incorporated by reference to Exhibit 10.1 to the Company's Quarterly Report on Form 10-Q for the quarter ended</w:t>
              </w:r>
            </w:hyperlink>
          </w:p>
        </w:tc>
        <w:tc>
          <w:tcPr>
            <w:tcW w:w="660" w:type="dxa"/>
            <w:vAlign w:val="bottom"/>
            <w:gridSpan w:val="20"/>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September 30, 2020).</w:t>
              </w:r>
            </w:hyperlink>
          </w:p>
        </w:tc>
        <w:tc>
          <w:tcPr>
            <w:tcW w:w="7720" w:type="dxa"/>
            <w:vAlign w:val="bottom"/>
            <w:tcBorders>
              <w:top w:val="single" w:sz="8" w:color="0000EE"/>
            </w:tcBorders>
            <w:gridSpan w:val="8"/>
          </w:tcPr>
          <w:p>
            <w:pPr>
              <w:spacing w:after="0"/>
              <w:rPr>
                <w:sz w:val="18"/>
                <w:szCs w:val="18"/>
                <w:color w:val="auto"/>
              </w:rPr>
            </w:pPr>
          </w:p>
        </w:tc>
        <w:tc>
          <w:tcPr>
            <w:tcW w:w="680" w:type="dxa"/>
            <w:vAlign w:val="bottom"/>
            <w:gridSpan w:val="21"/>
          </w:tcPr>
          <w:p>
            <w:pPr>
              <w:spacing w:after="0"/>
              <w:rPr>
                <w:sz w:val="18"/>
                <w:szCs w:val="18"/>
                <w:color w:val="auto"/>
              </w:rPr>
            </w:pPr>
          </w:p>
        </w:tc>
      </w:tr>
      <w:tr>
        <w:trPr>
          <w:trHeight w:val="264"/>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Global Restricted Stock Unit Award Agreement under the Incyte Corporation Amended and Restated 2010 Stock Incentive Plan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EE"/>
              <w:bottom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(incorporated by reference to Exhibit 10.2 to the Company's Quarterly Report on Form 10-Q for the quarter ended September 30, 2020).</w:t>
              </w:r>
            </w:hyperlink>
          </w:p>
        </w:tc>
        <w:tc>
          <w:tcPr>
            <w:tcW w:w="4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Performance Share Award Agreement under the Incyte Corporation Amended and Restated 2010 Stock Incentive Plan</w:t>
              </w:r>
            </w:hyperlink>
          </w:p>
        </w:tc>
        <w:tc>
          <w:tcPr>
            <w:tcW w:w="820" w:type="dxa"/>
            <w:vAlign w:val="bottom"/>
            <w:gridSpan w:val="22"/>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(incorporated by reference to Exhibit 10.3 to the Company's Quarterly Report on Form 10-Q for the quarter ended September 30, 2020).</w:t>
              </w:r>
            </w:hyperlink>
          </w:p>
        </w:tc>
        <w:tc>
          <w:tcPr>
            <w:tcW w:w="120" w:type="dxa"/>
            <w:vAlign w:val="bottom"/>
            <w:gridSpan w:val="5"/>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Nonstatutory Stock Option Agreement for Outside Directors under the Incyte Corporation Amended and Restated 2010 Stock</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Incentive Plan (incorporated by reference to Exhibit 10.24 to the Company’s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162">
              <w:r>
                <w:rPr>
                  <w:rFonts w:ascii="Times New Roman" w:cs="Times New Roman" w:eastAsia="Times New Roman" w:hAnsi="Times New Roman"/>
                  <w:sz w:val="18"/>
                  <w:szCs w:val="18"/>
                  <w:color w:val="0000EE"/>
                  <w:w w:val="95"/>
                </w:rPr>
                <w:t>31, 2013).</w:t>
              </w:r>
            </w:hyperlink>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Restricted Stock Unit Award Agreement for Outside Directors under the Incyte Corporation Amended and Restated 2010 Stock</w:t>
              </w:r>
            </w:hyperlink>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Incentive Plan (incorporated by reference to Exhibit 10.1 to the Company’s Quarterly Report on Form 10-Q for the quarter ended June</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163">
              <w:r>
                <w:rPr>
                  <w:rFonts w:ascii="Times New Roman" w:cs="Times New Roman" w:eastAsia="Times New Roman" w:hAnsi="Times New Roman"/>
                  <w:sz w:val="18"/>
                  <w:szCs w:val="18"/>
                  <w:color w:val="0000EE"/>
                  <w:w w:val="95"/>
                </w:rPr>
                <w:t>30, 2019).</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0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9"/>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Form of Indemnity Agreement between the Company and its directors and officers (incorporated by reference to Exhibit 10.5 to the</w:t>
            </w:r>
          </w:p>
        </w:tc>
      </w:t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Company’s Registration Statement on Form S-1 (File No. 33 68138)).</w:t>
            </w:r>
          </w:p>
        </w:tc>
      </w:tr>
      <w:tr>
        <w:trPr>
          <w:trHeight w:val="21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1997 Employee Stock Purchase Plan of Incyte Corporation, as amended on April 13, 2023 (incorporated by reference to Exhibit 10.2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the Company’s Current Report on Form 8-K filed June 15, 2023).</w:t>
              </w:r>
            </w:hyperlink>
          </w:p>
        </w:tc>
        <w:tc>
          <w:tcPr>
            <w:tcW w:w="506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Employment Agreement between the Company and Barry P. Flannelly (effective as of August 11, 2014), Christiana Stamoulis</w:t>
              </w:r>
            </w:hyperlink>
          </w:p>
        </w:tc>
        <w:tc>
          <w:tcPr>
            <w:tcW w:w="240" w:type="dxa"/>
            <w:vAlign w:val="bottom"/>
            <w:gridSpan w:val="10"/>
          </w:tcPr>
          <w:p>
            <w:pPr>
              <w:spacing w:after="0"/>
              <w:rPr>
                <w:sz w:val="21"/>
                <w:szCs w:val="2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2"/>
          </w:tcPr>
          <w:p>
            <w:pPr>
              <w:spacing w:after="0" w:line="182"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(effective as of February 11, 2019), Steven H. Stein (effective as of March 2, 2015), Vijay K. Iyengar (effective as of May 9, 2016), Pablo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J. Cagnoni (effective as of June 7, 2023) and Sheila A. Denton (effective as of October 2, 2023) (incorporated by reference to Exhibit</w:t>
              </w:r>
            </w:hyperlink>
          </w:p>
        </w:tc>
        <w:tc>
          <w:tcPr>
            <w:tcW w:w="320" w:type="dxa"/>
            <w:vAlign w:val="bottom"/>
            <w:tcBorders>
              <w:top w:val="single" w:sz="8" w:color="0000EE"/>
            </w:tcBorders>
            <w:gridSpan w:val="15"/>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0000EE"/>
                </w:rPr>
                <w:t xml:space="preserve"> to the Company’s Annual Report on Form 10-K for the year ended December 31, 2012).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Form of Amended and Restated Employment Agreement, effective as of April 18, 2012, between the Company and Paula J. Swain</w:t>
              </w:r>
            </w:hyperlink>
          </w:p>
        </w:tc>
        <w:tc>
          <w:tcPr>
            <w:tcW w:w="520" w:type="dxa"/>
            <w:vAlign w:val="bottom"/>
            <w:gridSpan w:val="18"/>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(incorporated by reference to Exhibit 10.14 to the Company’s Quarterly Report on Form 10-Q for the quarter ended March 31, 2012).</w:t>
              </w:r>
            </w:hyperlink>
          </w:p>
        </w:tc>
        <w:tc>
          <w:tcPr>
            <w:tcW w:w="340" w:type="dxa"/>
            <w:vAlign w:val="bottom"/>
            <w:gridSpan w:val="15"/>
          </w:tcPr>
          <w:p>
            <w:pPr>
              <w:spacing w:after="0"/>
              <w:rPr>
                <w:sz w:val="15"/>
                <w:szCs w:val="15"/>
                <w:color w:val="auto"/>
              </w:rPr>
            </w:pP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3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Offer of Employment Letter, dated December 14, 2018, from the Company to Christiana Stamoulis (incorporated by reference to Exhibit</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Quarterly Report on Form 10-Q for the quarter ended March 31, 2019).</w:t>
              </w:r>
            </w:hyperlink>
          </w:p>
        </w:tc>
        <w:tc>
          <w:tcPr>
            <w:tcW w:w="30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Amended and Restated Employment Agreement between the Company and Hervé Hoppenot, dated as of October 25, 2019 (incorporated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by reference to Exhibit 10.3 to the Company’s Quarterly Report on Form 10-Q for the quarter ended September 30, 2019).</w:t>
              </w:r>
            </w:hyperlink>
          </w:p>
        </w:tc>
        <w:tc>
          <w:tcPr>
            <w:tcW w:w="6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Offer of Employment Letter, dated April 21, 2023, from the Company to Pablo J. Cagnoni (incorporated by reference to Exhibit 10.1 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Company’s Quarterly Report on Form 10-Q for the quarter ended June 30,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Collaboration and License Agreement entered into as of November 24, 2009, by and between the Company and Novartis International</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EE"/>
              <w:bottom w:val="single" w:sz="8" w:color="0000EE"/>
            </w:tcBorders>
            <w:gridSpan w:val="19"/>
          </w:tcPr>
          <w:p>
            <w:pPr>
              <w:spacing w:after="0" w:line="182"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Pharmaceutical Ltd. (incorporated by reference to Exhibit 10.1 to the Company’s Quarterly Report on Form 10-Q for the quarter ended</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September 30, 2019).</w:t>
              </w:r>
            </w:hyperlink>
          </w:p>
        </w:tc>
        <w:tc>
          <w:tcPr>
            <w:tcW w:w="8160" w:type="dxa"/>
            <w:vAlign w:val="bottom"/>
            <w:gridSpan w:val="19"/>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Amendment, dated as of April 5, 2016, to Collaboration and License Agreement entered into as of November 24, 2009, by and between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the Company and Novartis International Pharmaceutical Ltd. (incorporated by reference to Exhibit 10.1.1 to the Company’s Quarterly</w:t>
              </w:r>
            </w:hyperlink>
          </w:p>
        </w:tc>
        <w:tc>
          <w:tcPr>
            <w:tcW w:w="140" w:type="dxa"/>
            <w:vAlign w:val="bottom"/>
            <w:gridSpan w:val="6"/>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Report on Form 10-Q for the quarter ended September 30, 2019).</w:t>
              </w:r>
            </w:hyperlink>
          </w:p>
        </w:tc>
        <w:tc>
          <w:tcPr>
            <w:tcW w:w="494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Amendment, dated as of March 20, 2020, to the Collaboration and License Agreement entered into as of November 24, 2009, by and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between the Company and Novartis International Pharmaceutical Ltd. (incorporated by reference to Exhibit 10.2 to the Company’s</w:t>
              </w:r>
            </w:hyperlink>
          </w:p>
        </w:tc>
        <w:tc>
          <w:tcPr>
            <w:tcW w:w="120" w:type="dxa"/>
            <w:vAlign w:val="bottom"/>
            <w:gridSpan w:val="5"/>
          </w:tcPr>
          <w:p>
            <w:pPr>
              <w:spacing w:after="0"/>
              <w:rPr>
                <w:sz w:val="15"/>
                <w:szCs w:val="15"/>
                <w:color w:val="auto"/>
              </w:rPr>
            </w:pPr>
          </w:p>
        </w:tc>
        <w:tc>
          <w:tcPr>
            <w:tcW w:w="120" w:type="dxa"/>
            <w:vAlign w:val="bottom"/>
            <w:gridSpan w:val="5"/>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Quarterly Report on Form 10-Q for the quarter ended March 31, 2020).</w:t>
              </w:r>
            </w:hyperlink>
          </w:p>
        </w:tc>
        <w:tc>
          <w:tcPr>
            <w:tcW w:w="4280" w:type="dxa"/>
            <w:vAlign w:val="bottom"/>
            <w:tcBorders>
              <w:top w:val="single" w:sz="8" w:color="0000EE"/>
            </w:tcBorders>
            <w:gridSpan w:val="7"/>
          </w:tcPr>
          <w:p>
            <w:pPr>
              <w:spacing w:after="0"/>
              <w:rPr>
                <w:sz w:val="15"/>
                <w:szCs w:val="15"/>
                <w:color w:val="auto"/>
              </w:rPr>
            </w:pPr>
          </w:p>
        </w:tc>
        <w:tc>
          <w:tcPr>
            <w:tcW w:w="260" w:type="dxa"/>
            <w:vAlign w:val="bottom"/>
            <w:gridSpan w:val="7"/>
          </w:tcPr>
          <w:p>
            <w:pPr>
              <w:spacing w:after="0"/>
              <w:rPr>
                <w:sz w:val="15"/>
                <w:szCs w:val="15"/>
                <w:color w:val="auto"/>
              </w:rPr>
            </w:pPr>
          </w:p>
        </w:tc>
        <w:tc>
          <w:tcPr>
            <w:tcW w:w="120" w:type="dxa"/>
            <w:vAlign w:val="bottom"/>
            <w:gridSpan w:val="5"/>
          </w:tcPr>
          <w:p>
            <w:pPr>
              <w:spacing w:after="0"/>
              <w:rPr>
                <w:sz w:val="15"/>
                <w:szCs w:val="15"/>
                <w:color w:val="auto"/>
              </w:rPr>
            </w:pPr>
          </w:p>
        </w:tc>
        <w:tc>
          <w:tcPr>
            <w:tcW w:w="160" w:type="dxa"/>
            <w:vAlign w:val="bottom"/>
            <w:gridSpan w:val="7"/>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2"/>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License, Development and Commercialization Agreement, entered into as of December 18, 2009, by and between the Company and Eli</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Lilly and Company (incorporated by reference to Exhibit 10.2 to the Company’s Quarterly Report on Form 10-Q for the quarter ended</w:t>
              </w:r>
            </w:hyperlink>
          </w:p>
        </w:tc>
        <w:tc>
          <w:tcPr>
            <w:tcW w:w="160" w:type="dxa"/>
            <w:vAlign w:val="bottom"/>
            <w:gridSpan w:val="7"/>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September 30, 2019).</w:t>
              </w:r>
            </w:hyperlink>
          </w:p>
        </w:tc>
        <w:tc>
          <w:tcPr>
            <w:tcW w:w="280" w:type="dxa"/>
            <w:vAlign w:val="bottom"/>
            <w:gridSpan w:val="12"/>
          </w:tcPr>
          <w:p>
            <w:pPr>
              <w:spacing w:after="0"/>
              <w:rPr>
                <w:sz w:val="15"/>
                <w:szCs w:val="15"/>
                <w:color w:val="auto"/>
              </w:rPr>
            </w:pPr>
          </w:p>
        </w:tc>
      </w:tr>
      <w:tr>
        <w:trPr>
          <w:trHeight w:val="9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540" w:type="dxa"/>
            <w:vAlign w:val="bottom"/>
            <w:tcBorders>
              <w:top w:val="single" w:sz="8" w:color="0000EE"/>
            </w:tcBorders>
            <w:gridSpan w:val="2"/>
          </w:tcPr>
          <w:p>
            <w:pPr>
              <w:spacing w:after="0"/>
              <w:rPr>
                <w:sz w:val="24"/>
                <w:szCs w:val="24"/>
                <w:color w:val="auto"/>
              </w:rPr>
            </w:pPr>
          </w:p>
        </w:tc>
        <w:tc>
          <w:tcPr>
            <w:tcW w:w="316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0" w:type="dxa"/>
            <w:vAlign w:val="bottom"/>
            <w:gridSpan w:val="30"/>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2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10.15.1†</w:t>
            </w:r>
          </w:p>
        </w:tc>
        <w:tc>
          <w:tcPr>
            <w:tcW w:w="40" w:type="dxa"/>
            <w:vAlign w:val="bottom"/>
          </w:tcPr>
          <w:p>
            <w:pPr>
              <w:spacing w:after="0"/>
              <w:rPr>
                <w:sz w:val="17"/>
                <w:szCs w:val="17"/>
                <w:color w:val="auto"/>
              </w:rPr>
            </w:pPr>
          </w:p>
        </w:tc>
        <w:tc>
          <w:tcPr>
            <w:tcW w:w="9960" w:type="dxa"/>
            <w:vAlign w:val="bottom"/>
            <w:gridSpan w:val="34"/>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Amendment, dated June 22, 2010, to License, Development and Commercialization Agreement entered into as of December 18, 2009, by</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40" w:type="dxa"/>
            <w:vAlign w:val="bottom"/>
            <w:tcBorders>
              <w:top w:val="single" w:sz="8" w:color="0000EE"/>
            </w:tcBorders>
            <w:gridSpan w:val="33"/>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and between the Company and Eli Lilly and Company (incorporated by reference to Exhibit 10.2.1 to the Company’s Quarterly Report</w:t>
              </w:r>
            </w:hyperlink>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0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on Form 10-Q for the quarter ended September 30,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10.15.2†</w:t>
            </w:r>
          </w:p>
        </w:tc>
        <w:tc>
          <w:tcPr>
            <w:tcW w:w="40" w:type="dxa"/>
            <w:vAlign w:val="bottom"/>
          </w:tcPr>
          <w:p>
            <w:pPr>
              <w:spacing w:after="0"/>
              <w:rPr>
                <w:sz w:val="21"/>
                <w:szCs w:val="21"/>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Third Amendment, entered into effective March 31, 2016, to License, Development and Commercialization Agreement entered into as of</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20" w:type="dxa"/>
            <w:vAlign w:val="bottom"/>
            <w:tcBorders>
              <w:top w:val="single" w:sz="8" w:color="0000EE"/>
            </w:tcBorders>
            <w:gridSpan w:val="32"/>
          </w:tcPr>
          <w:p>
            <w:pPr>
              <w:spacing w:after="0" w:line="182"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December 18, 2009, by and between the Company and Eli Lilly and Company (incorporated by reference to Exhibit 10.2.2 to the</w:t>
              </w:r>
            </w:hyperlink>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0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Company’s Quarterly Report on Form 10-Q for the quarter ended September 30, 2019).</w:t>
              </w:r>
            </w:hyperlink>
          </w:p>
        </w:tc>
        <w:tc>
          <w:tcPr>
            <w:tcW w:w="3000" w:type="dxa"/>
            <w:vAlign w:val="bottom"/>
            <w:tcBorders>
              <w:top w:val="single" w:sz="8" w:color="0000EE"/>
            </w:tcBorders>
            <w:gridSpan w:val="6"/>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 .3†</w:t>
            </w:r>
          </w:p>
        </w:tc>
        <w:tc>
          <w:tcPr>
            <w:tcW w:w="40" w:type="dxa"/>
            <w:vAlign w:val="bottom"/>
          </w:tcPr>
          <w:p>
            <w:pPr>
              <w:spacing w:after="0"/>
              <w:rPr>
                <w:sz w:val="21"/>
                <w:szCs w:val="21"/>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Fourth Amendment, entered into effective December 13, 2016, to License, Development and Commercialization Agreement entered into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40" w:type="dxa"/>
            <w:vAlign w:val="bottom"/>
            <w:tcBorders>
              <w:top w:val="single" w:sz="8" w:color="0000EE"/>
            </w:tcBorders>
            <w:gridSpan w:val="28"/>
          </w:tcPr>
          <w:p>
            <w:pPr>
              <w:spacing w:after="0" w:line="182"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as of December 18, 2009, by and between the Company and Eli Lilly and Company (incorporated by reference to Exhibit 10.21.4 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0" w:type="dxa"/>
            <w:vAlign w:val="bottom"/>
            <w:tcBorders>
              <w:top w:val="single" w:sz="8" w:color="0000EE"/>
              <w:bottom w:val="single" w:sz="8" w:color="0000EE"/>
            </w:tcBorders>
            <w:gridSpan w:val="15"/>
          </w:tcPr>
          <w:p>
            <w:pPr>
              <w:spacing w:after="0" w:line="182"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Amendment No. 2 on Form 10-K/A to the Company’s Annual Report on Form 10-K for the year ended December 31, 2016).</w:t>
              </w:r>
            </w:hyperlink>
          </w:p>
        </w:tc>
        <w:tc>
          <w:tcPr>
            <w:tcW w:w="52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10.15.4††</w:t>
            </w:r>
          </w:p>
        </w:tc>
        <w:tc>
          <w:tcPr>
            <w:tcW w:w="40" w:type="dxa"/>
            <w:vAlign w:val="bottom"/>
          </w:tcPr>
          <w:p>
            <w:pPr>
              <w:spacing w:after="0"/>
              <w:rPr>
                <w:sz w:val="21"/>
                <w:szCs w:val="21"/>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Letter Agreement, dated May 13, 2020, between the Company and Eli Lilly and Company, together with related Letter of Understanding,</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6"/>
          </w:tcPr>
          <w:p>
            <w:pPr>
              <w:spacing w:after="0" w:line="182"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dated March 5, 2020, between the Company and Eli Lilly and Company, each relating to License, Development and Commercialization</w:t>
              </w:r>
            </w:hyperlink>
          </w:p>
        </w:tc>
        <w:tc>
          <w:tcPr>
            <w:tcW w:w="120" w:type="dxa"/>
            <w:vAlign w:val="bottom"/>
            <w:tcBorders>
              <w:top w:val="single" w:sz="8" w:color="0000EE"/>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80" w:type="dxa"/>
            <w:vAlign w:val="bottom"/>
            <w:tcBorders>
              <w:bottom w:val="single" w:sz="8" w:color="0000EE"/>
            </w:tcBorders>
            <w:gridSpan w:val="30"/>
          </w:tcPr>
          <w:p>
            <w:pPr>
              <w:spacing w:after="0" w:line="182"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Agreement entered into as of December 18, 2009 by and between the Company and Eli Lilly and Company (incorporated by reference to</w:t>
              </w:r>
            </w:hyperlink>
          </w:p>
        </w:tc>
        <w:tc>
          <w:tcPr>
            <w:tcW w:w="80" w:type="dxa"/>
            <w:vAlign w:val="bottom"/>
            <w:gridSpan w:val="4"/>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34"/>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Exhibit 10.1 to the Company’s Quarterly Report on Form 10-Q for the quarter ended June 30, 2020).</w:t>
              </w:r>
            </w:hyperlink>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6"/>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 †</w:t>
            </w:r>
          </w:p>
        </w:tc>
        <w:tc>
          <w:tcPr>
            <w:tcW w:w="40" w:type="dxa"/>
            <w:vAlign w:val="bottom"/>
          </w:tcPr>
          <w:p>
            <w:pPr>
              <w:spacing w:after="0"/>
              <w:rPr>
                <w:sz w:val="20"/>
                <w:szCs w:val="20"/>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License, Development and Commercialization Agreement, dated as of January 9, 2015, by and among the Company, Incyte Europe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60" w:type="dxa"/>
            <w:vAlign w:val="bottom"/>
            <w:tcBorders>
              <w:top w:val="single" w:sz="8" w:color="0000EE"/>
            </w:tcBorders>
            <w:gridSpan w:val="18"/>
          </w:tcPr>
          <w:p>
            <w:pPr>
              <w:spacing w:after="0" w:line="182"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S.à.r.l. (a wholly owned subsidiary of the Company), Agenus Inc. and 4-Antibody AG (incorporated by reference to Exhibit 10.1 to</w:t>
              </w:r>
            </w:hyperlink>
          </w:p>
        </w:tc>
        <w:tc>
          <w:tcPr>
            <w:tcW w:w="40" w:type="dxa"/>
            <w:vAlign w:val="bottom"/>
          </w:tcPr>
          <w:p>
            <w:pPr>
              <w:spacing w:after="0"/>
              <w:rPr>
                <w:sz w:val="15"/>
                <w:szCs w:val="15"/>
                <w:color w:val="auto"/>
              </w:rPr>
            </w:pPr>
          </w:p>
        </w:tc>
        <w:tc>
          <w:tcPr>
            <w:tcW w:w="460" w:type="dxa"/>
            <w:vAlign w:val="bottom"/>
            <w:gridSpan w:val="15"/>
          </w:tcPr>
          <w:p>
            <w:pPr>
              <w:spacing w:after="0" w:line="182"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Company’s Quarterly Report on Form 10-Q for the quarter ended March 31, 2015).</w:t>
              </w:r>
            </w:hyperlink>
          </w:p>
        </w:tc>
        <w:tc>
          <w:tcPr>
            <w:tcW w:w="372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10.16.1†</w:t>
            </w:r>
          </w:p>
        </w:tc>
        <w:tc>
          <w:tcPr>
            <w:tcW w:w="40" w:type="dxa"/>
            <w:vAlign w:val="bottom"/>
          </w:tcPr>
          <w:p>
            <w:pPr>
              <w:spacing w:after="0"/>
              <w:rPr>
                <w:sz w:val="21"/>
                <w:szCs w:val="21"/>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First Amendment, dated as of February 14, 2017, to License, Development and Commercialization Agreement entered into as of January</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6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9, 2015, by and among the Company, Incyte Europe S.à.r.l. (a wholly owned subsidiary of the Company), Agenus Inc. and Agenus</w:t>
              </w:r>
            </w:hyperlink>
          </w:p>
        </w:tc>
        <w:tc>
          <w:tcPr>
            <w:tcW w:w="100" w:type="dxa"/>
            <w:vAlign w:val="bottom"/>
            <w:gridSpan w:val="5"/>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20" w:type="dxa"/>
            <w:vAlign w:val="bottom"/>
            <w:tcBorders>
              <w:bottom w:val="single" w:sz="8" w:color="0000EE"/>
            </w:tcBorders>
            <w:gridSpan w:val="27"/>
          </w:tcPr>
          <w:p>
            <w:pPr>
              <w:spacing w:after="0" w:line="182"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Switzerland Inc. (f/k/a 4-Antibody AG) (incorporated by reference to Exhibit 10.1 to the Company's Quarterly Report on Form 10-Q for</w:t>
              </w:r>
            </w:hyperlink>
          </w:p>
        </w:tc>
        <w:tc>
          <w:tcPr>
            <w:tcW w:w="140" w:type="dxa"/>
            <w:vAlign w:val="bottom"/>
            <w:gridSpan w:val="7"/>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the quarter ended March 31, 2017).</w:t>
              </w:r>
            </w:hyperlink>
          </w:p>
        </w:tc>
        <w:tc>
          <w:tcPr>
            <w:tcW w:w="7420" w:type="dxa"/>
            <w:vAlign w:val="bottom"/>
            <w:gridSpan w:val="31"/>
          </w:tcPr>
          <w:p>
            <w:pPr>
              <w:spacing w:after="0"/>
              <w:rPr>
                <w:sz w:val="17"/>
                <w:szCs w:val="17"/>
                <w:color w:val="auto"/>
              </w:rPr>
            </w:pP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Registration Rights Agreement, dated as of February 12, 2016, between the Company and 667, L.P., Baker Brothers Life Sciences, L.P.</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24"/>
          </w:tcPr>
          <w:p>
            <w:pPr>
              <w:spacing w:after="0" w:line="182" w:lineRule="exact"/>
              <w:rPr>
                <w:rFonts w:ascii="Times New Roman" w:cs="Times New Roman" w:eastAsia="Times New Roman" w:hAnsi="Times New Roman"/>
                <w:sz w:val="18"/>
                <w:szCs w:val="18"/>
                <w:color w:val="0000EE"/>
                <w:w w:val="97"/>
              </w:rPr>
            </w:pPr>
            <w:hyperlink r:id="rId182">
              <w:r>
                <w:rPr>
                  <w:rFonts w:ascii="Times New Roman" w:cs="Times New Roman" w:eastAsia="Times New Roman" w:hAnsi="Times New Roman"/>
                  <w:sz w:val="18"/>
                  <w:szCs w:val="18"/>
                  <w:color w:val="0000EE"/>
                  <w:w w:val="97"/>
                </w:rPr>
                <w:t>and 14159, L.P. (incorporated by reference to Exhibit 10.28 to the Company’s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200" w:type="dxa"/>
            <w:vAlign w:val="bottom"/>
            <w:tcBorders>
              <w:bottom w:val="single" w:sz="8" w:color="0000EE"/>
            </w:tcBorders>
            <w:gridSpan w:val="9"/>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182">
              <w:r>
                <w:rPr>
                  <w:rFonts w:ascii="Times New Roman" w:cs="Times New Roman" w:eastAsia="Times New Roman" w:hAnsi="Times New Roman"/>
                  <w:sz w:val="18"/>
                  <w:szCs w:val="18"/>
                  <w:color w:val="0000EE"/>
                  <w:w w:val="95"/>
                </w:rPr>
                <w:t>31, 2015).</w:t>
              </w:r>
            </w:hyperlink>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34"/>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Revolving Credit and Guaranty Agreement, dated as of August 18, 2021, among the Company, the guarantors party thereto, the lenders</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6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party thereto, and JPMorgan Chase Bank, N.A., as Administrative Agent (incorporated by reference to Exhibit 10.1 to the Company’s</w:t>
              </w:r>
            </w:hyperlink>
          </w:p>
        </w:tc>
        <w:tc>
          <w:tcPr>
            <w:tcW w:w="200" w:type="dxa"/>
            <w:vAlign w:val="bottom"/>
            <w:gridSpan w:val="9"/>
          </w:tcPr>
          <w:p>
            <w:pPr>
              <w:spacing w:after="0"/>
              <w:rPr>
                <w:sz w:val="15"/>
                <w:szCs w:val="15"/>
                <w:color w:val="auto"/>
              </w:rPr>
            </w:pPr>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4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Quarterly Report on Form 10-Q for the quarter ended September 30, 2021).</w:t>
              </w:r>
            </w:hyperlink>
          </w:p>
        </w:tc>
        <w:tc>
          <w:tcPr>
            <w:tcW w:w="4180" w:type="dxa"/>
            <w:vAlign w:val="bottom"/>
            <w:tcBorders>
              <w:top w:val="single" w:sz="8" w:color="0000EE"/>
            </w:tcBorders>
            <w:gridSpan w:val="14"/>
          </w:tcPr>
          <w:p>
            <w:pPr>
              <w:spacing w:after="0"/>
              <w:rPr>
                <w:sz w:val="15"/>
                <w:szCs w:val="15"/>
                <w:color w:val="auto"/>
              </w:rPr>
            </w:pPr>
          </w:p>
        </w:tc>
        <w:tc>
          <w:tcPr>
            <w:tcW w:w="340" w:type="dxa"/>
            <w:vAlign w:val="bottom"/>
            <w:gridSpan w:val="13"/>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3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1, dated as of May 10, 2023, to Revolving Credit and Guaranty Agreement dated as of August 18, 2021 among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0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Company, the guarantors party thereto, the lenders party thereto, and JPMorgan Chase Bank, N.A., as Administrative Agent.</w:t>
              </w:r>
            </w:hyperlink>
          </w:p>
        </w:tc>
        <w:tc>
          <w:tcPr>
            <w:tcW w:w="460" w:type="dxa"/>
            <w:vAlign w:val="bottom"/>
            <w:gridSpan w:val="15"/>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by reference to Exhibit 10.3 to the Company’s Quarterly Report on Form 10-Q for the quarter ended June 30,</w:t>
              </w:r>
            </w:hyperlink>
          </w:p>
        </w:tc>
        <w:tc>
          <w:tcPr>
            <w:tcW w:w="1000" w:type="dxa"/>
            <w:vAlign w:val="bottom"/>
            <w:gridSpan w:val="20"/>
          </w:tcPr>
          <w:p>
            <w:pPr>
              <w:jc w:val="right"/>
              <w:ind w:right="580"/>
              <w:spacing w:after="0" w:line="182" w:lineRule="exact"/>
              <w:rPr>
                <w:rFonts w:ascii="Times New Roman" w:cs="Times New Roman" w:eastAsia="Times New Roman" w:hAnsi="Times New Roman"/>
                <w:sz w:val="18"/>
                <w:szCs w:val="18"/>
                <w:color w:val="0000FF"/>
                <w:w w:val="85"/>
              </w:rPr>
            </w:pPr>
            <w:hyperlink r:id="rId184">
              <w:r>
                <w:rPr>
                  <w:rFonts w:ascii="Times New Roman" w:cs="Times New Roman" w:eastAsia="Times New Roman" w:hAnsi="Times New Roman"/>
                  <w:sz w:val="18"/>
                  <w:szCs w:val="18"/>
                  <w:color w:val="0000FF"/>
                  <w:w w:val="85"/>
                </w:rPr>
                <w:t>2023).</w:t>
              </w:r>
            </w:hyperlink>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EE"/>
              </w:rPr>
              <w:t>Subsidiaries of the Company.</w:t>
            </w:r>
          </w:p>
        </w:tc>
        <w:tc>
          <w:tcPr>
            <w:tcW w:w="560" w:type="dxa"/>
            <w:vAlign w:val="bottom"/>
            <w:gridSpan w:val="17"/>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1"/>
          </w:tcPr>
          <w:p>
            <w:pPr>
              <w:spacing w:after="0" w:line="20" w:lineRule="exact"/>
              <w:rPr>
                <w:sz w:val="1"/>
                <w:szCs w:val="1"/>
                <w:color w:val="auto"/>
              </w:rPr>
            </w:pP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c>
          <w:tcPr>
            <w:tcW w:w="4080" w:type="dxa"/>
            <w:vAlign w:val="bottom"/>
            <w:gridSpan w:val="26"/>
          </w:tcPr>
          <w:p>
            <w:pPr>
              <w:spacing w:after="0"/>
              <w:rPr>
                <w:sz w:val="20"/>
                <w:szCs w:val="20"/>
                <w:color w:val="auto"/>
              </w:rPr>
            </w:pPr>
          </w:p>
        </w:tc>
      </w:tr>
      <w:tr>
        <w:trPr>
          <w:trHeight w:val="27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Annual Report on Form 10-K).</w:t>
            </w:r>
          </w:p>
        </w:tc>
      </w:tr>
      <w:tr>
        <w:trPr>
          <w:trHeight w:val="21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Rule 13a 14(a) Certification of the Chief Executive Officer.</w:t>
            </w: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Rule 13a 14(a) Certification of the Chief Financial Officer.</w:t>
            </w:r>
          </w:p>
        </w:tc>
        <w:tc>
          <w:tcPr>
            <w:tcW w:w="40" w:type="dxa"/>
            <w:vAlign w:val="bottom"/>
            <w:tcBorders>
              <w:top w:val="single" w:sz="8" w:color="0000EE"/>
            </w:tcBorders>
          </w:tcPr>
          <w:p>
            <w:pPr>
              <w:spacing w:after="0"/>
              <w:rPr>
                <w:sz w:val="20"/>
                <w:szCs w:val="20"/>
                <w:color w:val="auto"/>
              </w:rPr>
            </w:pPr>
          </w:p>
        </w:tc>
        <w:tc>
          <w:tcPr>
            <w:tcW w:w="5680" w:type="dxa"/>
            <w:vAlign w:val="bottom"/>
            <w:gridSpan w:val="28"/>
          </w:tcPr>
          <w:p>
            <w:pPr>
              <w:spacing w:after="0"/>
              <w:rPr>
                <w:sz w:val="20"/>
                <w:szCs w:val="20"/>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 Oxley Act of 2002 (18 U.S.C Section 1350).</w:t>
            </w:r>
          </w:p>
        </w:tc>
      </w:tr>
      <w:tr>
        <w:trPr>
          <w:trHeight w:val="23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Statement of the Chief Financial Officer under Section 906 of the Sarbanes Oxley Act of 2002 (18 U.S.C Section 1350).</w:t>
            </w:r>
          </w:p>
        </w:tc>
        <w:tc>
          <w:tcPr>
            <w:tcW w:w="40" w:type="dxa"/>
            <w:vAlign w:val="bottom"/>
            <w:tcBorders>
              <w:top w:val="single" w:sz="8" w:color="0000EE"/>
            </w:tcBorders>
          </w:tcPr>
          <w:p>
            <w:pPr>
              <w:spacing w:after="0"/>
              <w:rPr>
                <w:sz w:val="20"/>
                <w:szCs w:val="20"/>
                <w:color w:val="auto"/>
              </w:rPr>
            </w:pPr>
          </w:p>
        </w:tc>
        <w:tc>
          <w:tcPr>
            <w:tcW w:w="1260" w:type="dxa"/>
            <w:vAlign w:val="bottom"/>
            <w:gridSpan w:val="21"/>
          </w:tcPr>
          <w:p>
            <w:pPr>
              <w:spacing w:after="0"/>
              <w:rPr>
                <w:sz w:val="20"/>
                <w:szCs w:val="20"/>
                <w:color w:val="auto"/>
              </w:rPr>
            </w:pPr>
          </w:p>
        </w:tc>
      </w:tr>
      <w:tr>
        <w:trPr>
          <w:trHeight w:val="236"/>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Incyte Corporation Policy for Recoupment of Erroneously Awarded Compensation.</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1280" w:right="400" w:hanging="1237"/>
        <w:spacing w:after="0" w:line="266"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 the instance document does not appear in the Interactive Data File because its XBRL tags are embedded within the Inline XBRL document</w:t>
      </w:r>
    </w:p>
    <w:tbl>
      <w:tblPr>
        <w:tblLayout w:type="fixed"/>
        <w:tblInd w:w="0" w:type="dxa"/>
        <w:tblCellMar>
          <w:top w:w="0" w:type="dxa"/>
          <w:left w:w="0" w:type="dxa"/>
          <w:bottom w:w="0" w:type="dxa"/>
          <w:right w:w="0" w:type="dxa"/>
        </w:tblCellMar>
      </w:tblPr>
      <w:tr>
        <w:trPr>
          <w:trHeight w:val="234"/>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56"/>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56"/>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918"/>
        </w:trPr>
        <w:tc>
          <w:tcPr>
            <w:tcW w:w="1040" w:type="dxa"/>
            <w:vAlign w:val="bottom"/>
          </w:tcPr>
          <w:p>
            <w:pPr>
              <w:spacing w:after="0"/>
              <w:rPr>
                <w:sz w:val="24"/>
                <w:szCs w:val="24"/>
                <w:color w:val="auto"/>
              </w:rPr>
            </w:pPr>
          </w:p>
        </w:tc>
        <w:tc>
          <w:tcPr>
            <w:tcW w:w="1020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122</w:t>
            </w:r>
          </w:p>
        </w:tc>
      </w:tr>
      <w:tr>
        <w:trPr>
          <w:trHeight w:val="101"/>
        </w:trPr>
        <w:tc>
          <w:tcPr>
            <w:tcW w:w="1040" w:type="dxa"/>
            <w:vAlign w:val="bottom"/>
            <w:tcBorders>
              <w:bottom w:val="single" w:sz="8" w:color="9A9A9A"/>
            </w:tcBorders>
          </w:tcPr>
          <w:p>
            <w:pPr>
              <w:spacing w:after="0"/>
              <w:rPr>
                <w:sz w:val="8"/>
                <w:szCs w:val="8"/>
                <w:color w:val="auto"/>
              </w:rPr>
            </w:pPr>
          </w:p>
        </w:tc>
        <w:tc>
          <w:tcPr>
            <w:tcW w:w="10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0" w:type="dxa"/>
            <w:vAlign w:val="bottom"/>
          </w:tcPr>
          <w:p>
            <w:pPr>
              <w:spacing w:after="0"/>
              <w:rPr>
                <w:sz w:val="14"/>
                <w:szCs w:val="14"/>
                <w:color w:val="auto"/>
              </w:rPr>
            </w:pPr>
          </w:p>
        </w:tc>
      </w:tr>
      <w:tr>
        <w:trPr>
          <w:trHeight w:val="190"/>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0" w:type="dxa"/>
            <w:vAlign w:val="bottom"/>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Borders>
              <w:bottom w:val="single" w:sz="8" w:color="auto"/>
            </w:tcBorders>
          </w:tcPr>
          <w:p>
            <w:pPr>
              <w:spacing w:after="0"/>
              <w:rPr>
                <w:sz w:val="2"/>
                <w:szCs w:val="2"/>
                <w:color w:val="auto"/>
              </w:rPr>
            </w:pPr>
          </w:p>
        </w:tc>
      </w:tr>
      <w:tr>
        <w:trPr>
          <w:trHeight w:val="237"/>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6"/>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57"/>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bl>
    <w:p>
      <w:pPr>
        <w:spacing w:after="0" w:line="22" w:lineRule="exact"/>
        <w:rPr>
          <w:sz w:val="20"/>
          <w:szCs w:val="20"/>
          <w:color w:val="auto"/>
        </w:rPr>
      </w:pPr>
    </w:p>
    <w:p>
      <w:pPr>
        <w:ind w:left="1260" w:hanging="1217"/>
        <w:spacing w:after="0"/>
        <w:tabs>
          <w:tab w:leader="none" w:pos="1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jc w:val="both"/>
        <w:ind w:left="820" w:right="20" w:hanging="794"/>
        <w:spacing w:after="0" w:line="246"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-1064260</wp:posOffset>
            </wp:positionV>
            <wp:extent cx="19970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820" w:hanging="794"/>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these agreements.</w:t>
      </w:r>
    </w:p>
    <w:p>
      <w:pPr>
        <w:spacing w:after="0" w:line="50" w:lineRule="exact"/>
        <w:rPr>
          <w:sz w:val="20"/>
          <w:szCs w:val="20"/>
          <w:color w:val="auto"/>
        </w:rPr>
      </w:pPr>
    </w:p>
    <w:p>
      <w:pPr>
        <w:ind w:left="820" w:hanging="794"/>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50" w:lineRule="exact"/>
        <w:rPr>
          <w:sz w:val="20"/>
          <w:szCs w:val="20"/>
          <w:color w:val="auto"/>
        </w:rPr>
      </w:pPr>
    </w:p>
    <w:p>
      <w:pPr>
        <w:ind w:left="820" w:hanging="79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3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Copies of above exhibits not contained herein are available to any stockholder upon written request to: Investor Relations, Incyte Corporation, 1801 Augustine Cut-Off, Wilmington, DE 19803.</w:t>
      </w:r>
    </w:p>
    <w:p>
      <w:pPr>
        <w:spacing w:after="0" w:line="158" w:lineRule="exact"/>
        <w:rPr>
          <w:sz w:val="20"/>
          <w:szCs w:val="20"/>
          <w:color w:val="auto"/>
        </w:rPr>
      </w:pPr>
    </w:p>
    <w:p>
      <w:pPr>
        <w:ind w:left="660" w:right="7540" w:hanging="652"/>
        <w:spacing w:after="0" w:line="530" w:lineRule="auto"/>
        <w:tabs>
          <w:tab w:leader="none" w:pos="392"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and Schedules </w:t>
      </w:r>
      <w:r>
        <w:rPr>
          <w:rFonts w:ascii="Times New Roman" w:cs="Times New Roman" w:eastAsia="Times New Roman" w:hAnsi="Times New Roman"/>
          <w:sz w:val="17"/>
          <w:szCs w:val="17"/>
          <w:color w:val="auto"/>
        </w:rPr>
        <w:t>Reference is made to Item 15(a)(2)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INCYTE CORPORATION</w:t>
      </w:r>
    </w:p>
    <w:p>
      <w:pPr>
        <w:spacing w:after="0" w:line="50"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2"/>
          <w:szCs w:val="12"/>
          <w:color w:val="auto"/>
        </w:rPr>
        <w:t>ERVÉ</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0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Hervé Hoppenot, Christiana Stamoulis, and Sheila Denton, and each of them, his or her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500" w:type="dxa"/>
            <w:vAlign w:val="bottom"/>
            <w:gridSpan w:val="2"/>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353"/>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 and</w:t>
            </w:r>
          </w:p>
        </w:tc>
        <w:tc>
          <w:tcPr>
            <w:tcW w:w="2480" w:type="dxa"/>
            <w:vAlign w:val="bottom"/>
          </w:tcPr>
          <w:p>
            <w:pPr>
              <w:spacing w:after="0"/>
              <w:rPr>
                <w:sz w:val="24"/>
                <w:szCs w:val="24"/>
                <w:color w:val="auto"/>
              </w:rPr>
            </w:pPr>
          </w:p>
        </w:tc>
      </w:tr>
      <w:tr>
        <w:trPr>
          <w:trHeight w:val="24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HERVÉ HOPPENOT</w:t>
            </w:r>
          </w:p>
        </w:tc>
        <w:tc>
          <w:tcPr>
            <w:tcW w:w="100" w:type="dxa"/>
            <w:vAlign w:val="bottom"/>
          </w:tcPr>
          <w:p>
            <w:pPr>
              <w:spacing w:after="0"/>
              <w:rPr>
                <w:sz w:val="21"/>
                <w:szCs w:val="21"/>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Chairman of the Board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37"/>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Hervé Hoppenot</w:t>
            </w:r>
          </w:p>
        </w:tc>
        <w:tc>
          <w:tcPr>
            <w:tcW w:w="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 Financial</w:t>
            </w:r>
          </w:p>
        </w:tc>
        <w:tc>
          <w:tcPr>
            <w:tcW w:w="2480" w:type="dxa"/>
            <w:vAlign w:val="bottom"/>
          </w:tcPr>
          <w:p>
            <w:pPr>
              <w:spacing w:after="0"/>
              <w:rPr>
                <w:sz w:val="24"/>
                <w:szCs w:val="24"/>
                <w:color w:val="auto"/>
              </w:rPr>
            </w:pPr>
          </w:p>
        </w:tc>
      </w:tr>
      <w:tr>
        <w:trPr>
          <w:trHeight w:val="2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CHRISTIANA STAMOULIS</w:t>
            </w:r>
          </w:p>
        </w:tc>
        <w:tc>
          <w:tcPr>
            <w:tcW w:w="100" w:type="dxa"/>
            <w:vAlign w:val="bottom"/>
          </w:tcPr>
          <w:p>
            <w:pPr>
              <w:spacing w:after="0"/>
              <w:rPr>
                <w:sz w:val="20"/>
                <w:szCs w:val="20"/>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Christiana Stamoulis</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38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 and Chief Accounting Officer (Principal Accounting</w:t>
            </w:r>
          </w:p>
        </w:tc>
        <w:tc>
          <w:tcPr>
            <w:tcW w:w="2480" w:type="dxa"/>
            <w:vAlign w:val="bottom"/>
          </w:tcPr>
          <w:p>
            <w:pPr>
              <w:spacing w:after="0"/>
              <w:rPr>
                <w:sz w:val="24"/>
                <w:szCs w:val="24"/>
                <w:color w:val="auto"/>
              </w:rPr>
            </w:pPr>
          </w:p>
        </w:tc>
      </w:tr>
      <w:tr>
        <w:trPr>
          <w:trHeight w:val="24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THOMAS TRAY</w:t>
            </w:r>
          </w:p>
        </w:tc>
        <w:tc>
          <w:tcPr>
            <w:tcW w:w="100" w:type="dxa"/>
            <w:vAlign w:val="bottom"/>
          </w:tcPr>
          <w:p>
            <w:pPr>
              <w:spacing w:after="0"/>
              <w:rPr>
                <w:sz w:val="20"/>
                <w:szCs w:val="20"/>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Tray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JULIAN C. BAKER</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Julian C. Baker</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JEAN-JACQUES BIENAIMÉ</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Jean-Jacques Bienaimé</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OTIS W. BRAWLEY</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Otis W. Brawley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PAUL J. CLANCY</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Paul J. Clancy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JACQUALYN A. FOUSE</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Jacqualyn A. Fouse</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EDMUND P. HARRIGAN</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Edmund P. Harrigan</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KATHERINE A. HIGH</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Katherine A. High</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6"/>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SUSANNE SCHAFFERT</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r>
      <w:tr>
        <w:trPr>
          <w:trHeight w:val="243"/>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Susanne Schaffert</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513" w:right="33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69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35"/>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3"/>
        </w:trPr>
        <w:tc>
          <w:tcPr>
            <w:tcW w:w="42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Corporation</w:t>
            </w:r>
          </w:p>
        </w:tc>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Holdings Corporation</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Research Institute LLC</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Villaris Therapeutics Inc.</w:t>
            </w:r>
          </w:p>
        </w:tc>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International Holdings Corporation</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Canada Corporation</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International Holdings S.à 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International S.à 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Austria GmbH</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Denmark ApS</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Finland Oy</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France</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Germany GmbH</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Italy S.R.L.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Distribution B.V.</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Benelux B.V.</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Norway AS</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Iberia S.L.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Nordic AB</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UK Ltd</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Technical Operations S.à 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Australia Pty Ltd</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Japan G.K.</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Incyte Biosciences (Shanghai) Co., Ltd.</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240"/>
          </w:cols>
          <w:pgMar w:left="320" w:top="123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ind w:right="3320" w:firstLine="3318"/>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333-262591) of Incyte Corporation,</w:t>
      </w:r>
    </w:p>
    <w:p>
      <w:pPr>
        <w:spacing w:after="0" w:line="198"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333-31409 and 333-273056) pertaining to the 1997 Employee Stock Purchase Plan of Incyte Corporation, and</w:t>
      </w:r>
    </w:p>
    <w:p>
      <w:pPr>
        <w:spacing w:after="0" w:line="158"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6" w:val="left"/>
        </w:tabs>
        <w:numPr>
          <w:ilvl w:val="0"/>
          <w:numId w:val="43"/>
        </w:numPr>
        <w:rPr>
          <w:rFonts w:ascii="Calibri" w:cs="Calibri" w:eastAsia="Calibri" w:hAnsi="Calibri"/>
          <w:sz w:val="20"/>
          <w:szCs w:val="20"/>
          <w:color w:val="auto"/>
        </w:rPr>
      </w:pPr>
      <w:r>
        <w:rPr>
          <w:rFonts w:ascii="Times New Roman" w:cs="Times New Roman" w:eastAsia="Times New Roman" w:hAnsi="Times New Roman"/>
          <w:sz w:val="18"/>
          <w:szCs w:val="18"/>
          <w:color w:val="auto"/>
        </w:rPr>
        <w:t>Registration Statements (Form S-8 Nos. 333-167526, 333-174918, 333-182218, 333-189424, 333-197907, 333-212104, 333-225181, 333-231129, 333-257041 and 333-273057) pertaining to the Incyte Corporation Amended and Restated 2010 Stock Incentive Plan;</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13, 2024, with respect to the consolidated financial statements of Incyte Corporation and the effectiveness of internal control over financial reporting of Incyte Corporation, included in this Annual Report (Form 10-K) of Incyte Corporation for the year ended December 31, 2023.</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2024</w:t>
      </w:r>
    </w:p>
    <w:p>
      <w:pPr>
        <w:sectPr>
          <w:pgSz w:w="11900" w:h="16838" w:orient="portrait"/>
          <w:cols w:equalWidth="0" w:num="1">
            <w:col w:w="11240"/>
          </w:cols>
          <w:pgMar w:left="320" w:top="123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225"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Incyte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ERVÉ</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OPPENOT</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225"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Incyte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HRISTIANA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TAMOULIS</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1240"/>
          </w:cols>
          <w:pgMar w:left="320" w:top="92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reference to the Annual Report of Incyte Corporation (the “Company”) on Form 10-K for the year ended December 31, 2023, as filed with the Securities and Exchange Commission on the date hereof (the “Report”), I, Hervé Hoppenot, President and Chief Executive Officer of the Company, certify, for the purposes of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ERVÉ</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OPPENOT</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Hervé Hoppenot</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13, 2024</w:t>
      </w:r>
    </w:p>
    <w:p>
      <w:pPr>
        <w:sectPr>
          <w:pgSz w:w="11900" w:h="16838" w:orient="portrait"/>
          <w:cols w:equalWidth="0" w:num="1">
            <w:col w:w="11240"/>
          </w:cols>
          <w:pgMar w:left="320" w:top="92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reference to the Annual Report of Incyte Corporation (the “Company”) on Form 10-K for the year ended December 31, 2023, as filed with the Securities and Exchange Commission on the date hereof (the “Report”), I, Christiana Stamoulis, Executive Vice President and Chief Financial Officer of the Company, certify, for the purposes of 18 U.S.C. § 1350, as adopted pursuant to §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HRISTIANA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TAMOULIS</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13, 2024</w:t>
      </w:r>
    </w:p>
    <w:p>
      <w:pPr>
        <w:sectPr>
          <w:pgSz w:w="11900" w:h="16838" w:orient="portrait"/>
          <w:cols w:equalWidth="0" w:num="1">
            <w:col w:w="11240"/>
          </w:cols>
          <w:pgMar w:left="320" w:top="92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17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Policy for Recoupment of Incentive Compensation</w:t>
      </w:r>
    </w:p>
    <w:p>
      <w:pPr>
        <w:spacing w:after="0" w:line="1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Adopted Effective January 1, 2018</w:t>
      </w:r>
    </w:p>
    <w:p>
      <w:pPr>
        <w:jc w:val="center"/>
        <w:spacing w:after="0"/>
        <w:rPr>
          <w:sz w:val="20"/>
          <w:szCs w:val="20"/>
          <w:color w:val="auto"/>
        </w:rPr>
      </w:pPr>
      <w:r>
        <w:rPr>
          <w:rFonts w:ascii="Times New Roman" w:cs="Times New Roman" w:eastAsia="Times New Roman" w:hAnsi="Times New Roman"/>
          <w:sz w:val="22"/>
          <w:szCs w:val="22"/>
          <w:color w:val="auto"/>
        </w:rPr>
        <w:t>Amended Effective June 6, 2023</w:t>
      </w:r>
    </w:p>
    <w:p>
      <w:pPr>
        <w:spacing w:after="0" w:line="151"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INTRODUCTION</w:t>
      </w:r>
    </w:p>
    <w:p>
      <w:pPr>
        <w:spacing w:after="0" w:line="183"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1"/>
          <w:szCs w:val="21"/>
          <w:color w:val="auto"/>
        </w:rPr>
        <w:t>The Board of Directors (the “Board”) of Incyte Corporation (the “Company”) has determined that it is in the best interests of the Company to adopt a policy (the “Policy”) providing for the Company’s recoupment of certain Incentive Compensation (as defined below) paid to Covered Employees (as defined below) under certain circumstances. The Board may delegate determinations to be made under the Policy to the Compensation Committee of the Board, and the Board and the Compensation Committee are collectively referred to in this Policy as the “Board.” The Board may amend or terminate this Policy at any time.</w:t>
      </w:r>
    </w:p>
    <w:p>
      <w:pPr>
        <w:spacing w:after="0" w:line="150" w:lineRule="exact"/>
        <w:rPr>
          <w:sz w:val="20"/>
          <w:szCs w:val="20"/>
          <w:color w:val="auto"/>
        </w:rPr>
      </w:pPr>
    </w:p>
    <w:p>
      <w:pPr>
        <w:ind w:right="280"/>
        <w:spacing w:after="0" w:line="227" w:lineRule="auto"/>
        <w:rPr>
          <w:sz w:val="20"/>
          <w:szCs w:val="20"/>
          <w:color w:val="auto"/>
        </w:rPr>
      </w:pPr>
      <w:r>
        <w:rPr>
          <w:rFonts w:ascii="Times New Roman" w:cs="Times New Roman" w:eastAsia="Times New Roman" w:hAnsi="Times New Roman"/>
          <w:sz w:val="22"/>
          <w:szCs w:val="22"/>
          <w:b w:val="1"/>
          <w:bCs w:val="1"/>
          <w:color w:val="auto"/>
        </w:rPr>
        <w:t>This policy is subject to revision upon the adoption of any federal regulations implementing the provisions of the Dodd-Frank Wall Street Reform and Consumer Protection Act and/or any associated listing standards enacted by national securities exchanges on which the Company’s securities are then listed.</w:t>
      </w:r>
    </w:p>
    <w:p>
      <w:pPr>
        <w:spacing w:after="0" w:line="146"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 DATE</w:t>
      </w:r>
    </w:p>
    <w:p>
      <w:pPr>
        <w:spacing w:after="0" w:line="183"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22"/>
          <w:szCs w:val="22"/>
          <w:color w:val="auto"/>
        </w:rPr>
        <w:t>This Policy shall apply to all Incentive Compensation paid or awarded to Covered Employees with respect to fiscal years beginning on or after January 1, 2018 (the “Effective Date”), as and to the extent permitted by applicable law; provided, however, that the inclusion of equity awards in the definition of Incentive Compensation shall apply only to such awards received on or after the June 6, 2023 effective date of the amendment of this Policy.</w:t>
      </w:r>
    </w:p>
    <w:p>
      <w:pPr>
        <w:spacing w:after="0" w:line="14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Policy, the following terms shall have the meanings set forth below:</w:t>
      </w:r>
    </w:p>
    <w:p>
      <w:pPr>
        <w:spacing w:after="0" w:line="179" w:lineRule="exact"/>
        <w:rPr>
          <w:sz w:val="20"/>
          <w:szCs w:val="20"/>
          <w:color w:val="auto"/>
        </w:rPr>
      </w:pPr>
    </w:p>
    <w:p>
      <w:pPr>
        <w:ind w:right="58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Employee</w:t>
      </w:r>
      <w:r>
        <w:rPr>
          <w:rFonts w:ascii="Times New Roman" w:cs="Times New Roman" w:eastAsia="Times New Roman" w:hAnsi="Times New Roman"/>
          <w:sz w:val="21"/>
          <w:szCs w:val="21"/>
          <w:color w:val="auto"/>
        </w:rPr>
        <w:t>” shall mean a current or former executive officer of the Company who was at the relevant time designated by the Board as an officer for purposes of Section 16 of the Securities Exchange Act of 1934, as amended.</w:t>
      </w:r>
    </w:p>
    <w:p>
      <w:pPr>
        <w:spacing w:after="0" w:line="135" w:lineRule="exact"/>
        <w:rPr>
          <w:sz w:val="20"/>
          <w:szCs w:val="20"/>
          <w:color w:val="auto"/>
        </w:rPr>
      </w:pPr>
    </w:p>
    <w:p>
      <w:pPr>
        <w:ind w:right="700"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shall mean cash bonuses or awards under the Company’s annual or long-term incentive compensation plans or equity awards under the Company’s stock incentive plans to the extent such bonuses or awards are granted, earned or vested based on the attainment of a financial reporting measure presented in the Company’s financial statements or derived in whole or in part from the Company’s accounting records.</w:t>
      </w:r>
    </w:p>
    <w:p>
      <w:pPr>
        <w:sectPr>
          <w:pgSz w:w="11900" w:h="16838" w:orient="portrait"/>
          <w:cols w:equalWidth="0" w:num="1">
            <w:col w:w="11240"/>
          </w:cols>
          <w:pgMar w:left="320" w:top="1391" w:right="339" w:bottom="1440" w:gutter="0" w:footer="0" w:header="0"/>
        </w:sectPr>
      </w:pPr>
    </w:p>
    <w:bookmarkStart w:id="132" w:name="page133"/>
    <w:bookmarkEnd w:id="132"/>
    <w:p>
      <w:pPr>
        <w:ind w:left="340" w:hanging="332"/>
        <w:spacing w:after="0"/>
        <w:tabs>
          <w:tab w:leader="none" w:pos="3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RECOUPMENT</w:t>
      </w:r>
    </w:p>
    <w:p>
      <w:pPr>
        <w:spacing w:after="0" w:line="183"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22"/>
          <w:szCs w:val="22"/>
          <w:color w:val="auto"/>
        </w:rPr>
        <w:t>In the event that, on account of fraud or other intentional misconduct, the Company is required to restate its financial statements for any fiscal quarter or year commencing on or after the Effective Date due to the Company’s material noncompliance with any financial reporting requirement under the securities laws, the Board may require that each Covered Employee repay to the Company the compensation described in the following paragraph that was received by the Covered Employee during the three fiscal year period preceding the date on which the Company is required to prepare the accounting restatement or, if shorter, the period beginning on the Effective Date and ending on such restatement date (the “Lookback Period”), in each case as and to the extent permitted by applicable law. For the avoidance of doubt, restatements resulting solely from the retrospective application of a change in generally accepted accounting principles shall not result in the Company’s right of recoupment hereunder.</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Board may require that the Covered Employee repay to the Company up to the full amount of the difference between</w:t>
      </w:r>
    </w:p>
    <w:p>
      <w:pPr>
        <w:ind w:firstLine="8"/>
        <w:spacing w:after="0" w:line="218" w:lineRule="auto"/>
        <w:tabs>
          <w:tab w:leader="none" w:pos="3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Incentive Compensation received by the Covered Employee during the Lookback Period that was calculated based on the financial statements that were subsequently restated, and (2) the lower amount of such Incentive Compensation to which the Covered Employee would have been entitled had the financial statements been properly reported.</w:t>
      </w:r>
    </w:p>
    <w:p>
      <w:pPr>
        <w:spacing w:after="0" w:line="147"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SOURCES OF RECOUPMENT</w:t>
      </w:r>
    </w:p>
    <w:p>
      <w:pPr>
        <w:spacing w:after="0" w:line="183"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22"/>
          <w:szCs w:val="22"/>
          <w:color w:val="auto"/>
        </w:rPr>
        <w:t>The Board may seek recoupment from Covered Employees from any of the following sources: prior Incentive Compensation payments; future payments of Incentive Compensation; cancellation of outstanding equity awards; future equity awards; and direct payment. To the extent permitted by applicable law, the Company may offset such amount against any compensation or other amounts owed by the Company to the Covered Employee.</w:t>
      </w:r>
    </w:p>
    <w:p>
      <w:pPr>
        <w:spacing w:after="0" w:line="152"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22"/>
          <w:szCs w:val="22"/>
          <w:color w:val="auto"/>
        </w:rPr>
        <w:t>If an amount repaid to the Company under this Policy will not be fully deductible by the Covered Employee, the Board may, in its discretion, reduce the amount to be repaid by the amount determined by the Board to reasonably take into account the adverse tax consequences of such repayment to the Covered Employee.</w:t>
      </w:r>
    </w:p>
    <w:p>
      <w:pPr>
        <w:spacing w:after="0" w:line="14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183"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any Covered Employee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48"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IMPAIRMENT OF OTHER REMEDIES</w:t>
      </w:r>
    </w:p>
    <w:p>
      <w:pPr>
        <w:spacing w:after="0" w:line="183" w:lineRule="exact"/>
        <w:rPr>
          <w:sz w:val="20"/>
          <w:szCs w:val="20"/>
          <w:color w:val="auto"/>
        </w:rPr>
      </w:pPr>
    </w:p>
    <w:p>
      <w:pPr>
        <w:ind w:right="460" w:firstLine="648"/>
        <w:spacing w:after="0" w:line="225" w:lineRule="auto"/>
        <w:rPr>
          <w:sz w:val="20"/>
          <w:szCs w:val="20"/>
          <w:color w:val="auto"/>
        </w:rPr>
      </w:pPr>
      <w:r>
        <w:rPr>
          <w:rFonts w:ascii="Times New Roman" w:cs="Times New Roman" w:eastAsia="Times New Roman" w:hAnsi="Times New Roman"/>
          <w:sz w:val="22"/>
          <w:szCs w:val="22"/>
          <w:color w:val="auto"/>
        </w:rPr>
        <w:t>This Policy does not preclude the Company from taking any other action to enforce an employee’s obligations to the Company, including termination of employment and institution of civil proceedings, or reporting of any misconduct to appropriate government authorities.</w:t>
      </w:r>
    </w:p>
    <w:p>
      <w:pPr>
        <w:spacing w:after="0" w:line="15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This Policy is in addition to the requirements of Section 304 of the Sarbanes-Oxley Act of 2002 that are applicable to the Company’s Chief Executive Officer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390" w:right="399" w:bottom="1440" w:gutter="0" w:footer="0" w:header="0"/>
        </w:sectPr>
      </w:pPr>
    </w:p>
    <w:bookmarkStart w:id="133" w:name="page134"/>
    <w:bookmarkEnd w:id="133"/>
    <w:p>
      <w:pPr>
        <w:spacing w:after="0" w:line="22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EMPLOYEE ACKNOWLEDGEMENT</w:t>
      </w:r>
    </w:p>
    <w:p>
      <w:pPr>
        <w:spacing w:after="0" w:line="183"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From and after the Effective Date, each Covered Employee will be required to sign a Recoupment Policy Acknowledgement and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 condition to receiving awards or payments of Incentive Compensation with respect to fiscal years beginning on or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80"/>
          </w:cols>
          <w:pgMar w:left="320" w:top="1440" w:right="699" w:bottom="1440" w:gutter="0" w:footer="0" w:header="0"/>
        </w:sectPr>
      </w:pPr>
    </w:p>
    <w:bookmarkStart w:id="134" w:name="page135"/>
    <w:bookmarkEnd w:id="134"/>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RECOUPMENT POLICY ACKNOWLEDGEMENT AND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Recoupment Policy Acknowledgement and Agreement (this “Agreement”) is entered into as of the [●] day of</w:t>
      </w:r>
    </w:p>
    <w:p>
      <w:pPr>
        <w:spacing w:after="0"/>
        <w:rPr>
          <w:sz w:val="20"/>
          <w:szCs w:val="20"/>
          <w:color w:val="auto"/>
        </w:rPr>
      </w:pPr>
      <w:r>
        <w:rPr>
          <w:rFonts w:ascii="Times New Roman" w:cs="Times New Roman" w:eastAsia="Times New Roman" w:hAnsi="Times New Roman"/>
          <w:sz w:val="22"/>
          <w:szCs w:val="22"/>
          <w:color w:val="auto"/>
        </w:rPr>
        <w:t>___________, ____, between Incyte Corporation (the “Company”) and ([●]) (“Employee”)</w:t>
      </w:r>
    </w:p>
    <w:p>
      <w:pPr>
        <w:spacing w:after="0" w:line="15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Employee has been designated as an officer for purposes of Section 16 of the Securities Exchange Act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1934, as amended, or has otherwise been designated as an employee who is subject to the Recoupment Policy (as defined below);</w:t>
      </w:r>
    </w:p>
    <w:p>
      <w:pPr>
        <w:spacing w:after="0" w:line="127"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Company’s Board of Directors and its Compensation Committee (separately and collectively,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maintains the Incyte Corporation Policy for Recoupment of Incentive Compensation, originally effective on January 1, 2018, and as amended and restated from time to time (the “Recoupment Policy”), and</w:t>
      </w:r>
    </w:p>
    <w:p>
      <w:pPr>
        <w:spacing w:after="0" w:line="146"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consideration of, and as a condition to the receipt of, future “Incentive Compensation” as defined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Employee and the Company are entering in this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Company and Employee hereby agree as follows:</w:t>
      </w:r>
    </w:p>
    <w:p>
      <w:pPr>
        <w:spacing w:after="0" w:line="183" w:lineRule="exact"/>
        <w:rPr>
          <w:sz w:val="20"/>
          <w:szCs w:val="20"/>
          <w:color w:val="auto"/>
        </w:rPr>
      </w:pPr>
    </w:p>
    <w:p>
      <w:pPr>
        <w:ind w:right="140" w:firstLine="980"/>
        <w:spacing w:after="0" w:line="225"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acknowledges receipt of the Recoupment Policy, a copy of which is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and is incorporated into this Agreement by reference. Employee has read and understands the Recoupment Policy and has had the opportunity to ask questions to the Company regarding the Recoupment Policy.</w:t>
      </w:r>
    </w:p>
    <w:p>
      <w:pPr>
        <w:spacing w:after="0" w:line="152" w:lineRule="exact"/>
        <w:rPr>
          <w:rFonts w:ascii="Times New Roman" w:cs="Times New Roman" w:eastAsia="Times New Roman" w:hAnsi="Times New Roman"/>
          <w:sz w:val="22"/>
          <w:szCs w:val="22"/>
          <w:color w:val="auto"/>
        </w:rPr>
      </w:pPr>
    </w:p>
    <w:p>
      <w:pPr>
        <w:ind w:right="160" w:firstLine="980"/>
        <w:spacing w:after="0" w:line="220"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hereby acknowledges and agrees that the Recoupment Policy shall apply to any Incentive Compensation awarded or paid with respect to fiscal years beginning on or after January 1, 2018 (provided, however, that in the case of equity awards, the Recoupment Policy applies only to equity awards received on or after June 6, 2023), and all such Incentive Compensation shall be subject to repayment or forfeiture under the Recoupment Policy.</w:t>
      </w:r>
    </w:p>
    <w:p>
      <w:pPr>
        <w:spacing w:after="0" w:line="152" w:lineRule="exact"/>
        <w:rPr>
          <w:rFonts w:ascii="Times New Roman" w:cs="Times New Roman" w:eastAsia="Times New Roman" w:hAnsi="Times New Roman"/>
          <w:sz w:val="22"/>
          <w:szCs w:val="22"/>
          <w:color w:val="auto"/>
        </w:rPr>
      </w:pPr>
    </w:p>
    <w:p>
      <w:pPr>
        <w:ind w:right="160" w:firstLine="980"/>
        <w:spacing w:after="0" w:line="225"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provisions of the Recoupment Policy and another agreement or other document setting forth the terms and conditions of any Incentive Compensation, the terms of the Recoupment Policy shall govern.</w:t>
      </w:r>
    </w:p>
    <w:p>
      <w:pPr>
        <w:spacing w:after="0" w:line="152" w:lineRule="exact"/>
        <w:rPr>
          <w:rFonts w:ascii="Times New Roman" w:cs="Times New Roman" w:eastAsia="Times New Roman" w:hAnsi="Times New Roman"/>
          <w:sz w:val="22"/>
          <w:szCs w:val="22"/>
          <w:color w:val="auto"/>
        </w:rPr>
      </w:pPr>
    </w:p>
    <w:p>
      <w:pPr>
        <w:ind w:firstLine="980"/>
        <w:spacing w:after="0" w:line="217"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repayment or forfeiture of Incentive Compensation pursuant to the Recoupment Policy and this Agreement shall not in any way limit or affect the Company’s right to pursue disciplinary action or dismissal, take legal action or pursue any other available remedies available to the Company. This Agreement and the Recoupment Policy shall not replace, and shall be in addition to, any rights of the Company to recover Incentive Compensation, or any other compensation, from its executive officers under applicable laws and regulations, including but not limited to the Sarbanes-Oxley Act of 2002.</w:t>
      </w:r>
    </w:p>
    <w:p>
      <w:pPr>
        <w:spacing w:after="0" w:line="152" w:lineRule="exact"/>
        <w:rPr>
          <w:rFonts w:ascii="Times New Roman" w:cs="Times New Roman" w:eastAsia="Times New Roman" w:hAnsi="Times New Roman"/>
          <w:sz w:val="22"/>
          <w:szCs w:val="22"/>
          <w:color w:val="auto"/>
        </w:rPr>
      </w:pPr>
    </w:p>
    <w:p>
      <w:pPr>
        <w:ind w:right="20" w:firstLine="980"/>
        <w:spacing w:after="0" w:line="225"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acknowledges that Employee’s execution of this Agreement is in consideration of, and is a condition to, the receipt by Employee of any Incentive Compensation,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in this Agreement shall be deemed to obligate the Company to make any such awards or payments.</w:t>
      </w:r>
    </w:p>
    <w:p>
      <w:pPr>
        <w:sectPr>
          <w:pgSz w:w="11900" w:h="16838" w:orient="portrait"/>
          <w:cols w:equalWidth="0" w:num="1">
            <w:col w:w="11220"/>
          </w:cols>
          <w:pgMar w:left="320" w:top="1390" w:right="359" w:bottom="1440" w:gutter="0" w:footer="0" w:header="0"/>
        </w:sectPr>
      </w:pPr>
    </w:p>
    <w:bookmarkStart w:id="135" w:name="page136"/>
    <w:bookmarkEnd w:id="135"/>
    <w:p>
      <w:pPr>
        <w:ind w:firstLine="980"/>
        <w:spacing w:after="0" w:line="236"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two or more counterparts, and by facsimile or electronic transmission, each of which will be deemed to be an original but all of which, taken together, shall constitute one and the same Agreement.</w:t>
      </w:r>
    </w:p>
    <w:p>
      <w:pPr>
        <w:spacing w:after="0" w:line="150" w:lineRule="exact"/>
        <w:rPr>
          <w:rFonts w:ascii="Times New Roman" w:cs="Times New Roman" w:eastAsia="Times New Roman" w:hAnsi="Times New Roman"/>
          <w:sz w:val="22"/>
          <w:szCs w:val="22"/>
          <w:color w:val="auto"/>
        </w:rPr>
      </w:pPr>
    </w:p>
    <w:p>
      <w:pPr>
        <w:ind w:firstLine="980"/>
        <w:spacing w:after="0" w:line="213"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preempted by federal law, this Agreement shall be governed by and construed in accordance with the laws of the State of Delaware, without reference to principles of conflict of laws. No modifications, waivers or amendments of the terms of the Agreement shall be effective unless in writing and signed by the parties or their respective duly authorized agents. Each of this Agreement and the Recoupment Policy shall survive and continue in full force in accordance its terms notwithstanding any termination of Employee’s employment with the Company and its affiliates. The provisions of this Agreement shall inure to the benefit of, and be binding upon, the successors, administrations, heirs, legal representatives and assigns of Employee, and the successors and assigns of the Company.</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INCYTE CORPORATION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858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-151130</wp:posOffset>
            </wp:positionV>
            <wp:extent cx="8229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20"/>
      </w:cols>
      <w:pgMar w:left="320" w:top="139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2"/>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2"/>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lowerLetter"/>
      <w:start w:val="2"/>
    </w:lvl>
  </w:abstractNum>
  <w:abstractNum w:abstractNumId="34">
    <w:nsid w:val="542289EC"/>
    <w:multiLevelType w:val="hybridMultilevel"/>
    <w:lvl w:ilvl="0">
      <w:lvlJc w:val="left"/>
      <w:lvlText w:val="(%1)"/>
      <w:numFmt w:val="lowerLetter"/>
      <w:start w:val="1"/>
    </w:lvl>
    <w:lvl w:ilvl="1">
      <w:lvlJc w:val="left"/>
      <w:lvlText w:val="(%2)"/>
      <w:numFmt w:val="decimal"/>
      <w:start w:val="1"/>
    </w:lvl>
  </w:abstractNum>
  <w:abstractNum w:abstractNumId="35">
    <w:nsid w:val="6DE91B18"/>
    <w:multiLevelType w:val="hybridMultilevel"/>
    <w:lvl w:ilvl="0">
      <w:lvlJc w:val="left"/>
      <w:lvlText w:val="%1"/>
      <w:numFmt w:val="decimal"/>
      <w:start w:val="101"/>
    </w:lvl>
  </w:abstractNum>
  <w:abstractNum w:abstractNumId="36">
    <w:nsid w:val="38437FDB"/>
    <w:multiLevelType w:val="hybridMultilevel"/>
    <w:lvl w:ilvl="0">
      <w:lvlJc w:val="left"/>
      <w:lvlText w:val="*"/>
      <w:numFmt w:val="bullet"/>
      <w:start w:val="1"/>
    </w:lvl>
    <w:lvl w:ilvl="1">
      <w:lvlJc w:val="left"/>
      <w:lvlText w:val="%2"/>
      <w:numFmt w:val="decimal"/>
      <w:start w:val="104"/>
    </w:lvl>
  </w:abstractNum>
  <w:abstractNum w:abstractNumId="37">
    <w:nsid w:val="7644A45C"/>
    <w:multiLevelType w:val="hybridMultilevel"/>
    <w:lvl w:ilvl="0">
      <w:lvlJc w:val="left"/>
      <w:lvlText w:val="**"/>
      <w:numFmt w:val="bullet"/>
      <w:start w:val="1"/>
    </w:lvl>
    <w:lvl w:ilvl="1">
      <w:lvlJc w:val="left"/>
      <w:lvlText w:val="%2"/>
      <w:numFmt w:val="decimal"/>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lowerLetter"/>
      <w:start w:val="3"/>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lvl w:ilvl="1">
      <w:lvlJc w:val="left"/>
      <w:lvlText w:val="%2)"/>
      <w:numFmt w:val="lowerLetter"/>
      <w:start w:val="1"/>
    </w:lvl>
  </w:abstractNum>
  <w:abstractNum w:abstractNumId="44">
    <w:nsid w:val="79A1DEAA"/>
    <w:multiLevelType w:val="hybridMultilevel"/>
    <w:lvl w:ilvl="0">
      <w:lvlJc w:val="left"/>
      <w:lvlText w:val="%1."/>
      <w:numFmt w:val="decimal"/>
      <w:start w:val="1"/>
    </w:lvl>
    <w:lvl w:ilvl="1">
      <w:lvlJc w:val="left"/>
      <w:lvlText w:val="%2)"/>
      <w:numFmt w:val="lowerLetter"/>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decimal"/>
      <w:start w:val="3"/>
    </w:lvl>
  </w:abstractNum>
  <w:abstractNum w:abstractNumId="50">
    <w:nsid w:val="4F4EF005"/>
    <w:multiLevelType w:val="hybridMultilevel"/>
    <w:lvl w:ilvl="0">
      <w:lvlJc w:val="left"/>
      <w:lvlText w:val="%1."/>
      <w:numFmt w:val="decimal"/>
      <w:start w:val="4"/>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5"/>
    </w:lvl>
  </w:abstractNum>
  <w:abstractNum w:abstractNumId="53">
    <w:nsid w:val="275AC794"/>
    <w:multiLevelType w:val="hybridMultilevel"/>
    <w:lvl w:ilvl="0">
      <w:lvlJc w:val="left"/>
      <w:lvlText w:val="%1."/>
      <w:numFmt w:val="decimal"/>
      <w:start w:val="6"/>
    </w:lvl>
  </w:abstractNum>
  <w:abstractNum w:abstractNumId="54">
    <w:nsid w:val="39386575"/>
    <w:multiLevelType w:val="hybridMultilevel"/>
    <w:lvl w:ilvl="0">
      <w:lvlJc w:val="left"/>
      <w:lvlText w:val="%1."/>
      <w:numFmt w:val="decimal"/>
      <w:start w:val="7"/>
    </w:lvl>
  </w:abstractNum>
  <w:abstractNum w:abstractNumId="55">
    <w:nsid w:val="1CF10FD8"/>
    <w:multiLevelType w:val="hybridMultilevel"/>
    <w:lvl w:ilvl="0">
      <w:lvlJc w:val="left"/>
      <w:lvlText w:val="%1."/>
      <w:numFmt w:val="decimal"/>
      <w:start w:val="8"/>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52" Type="http://schemas.openxmlformats.org/officeDocument/2006/relationships/hyperlink" Target="http://www.sec.gov/Archives/edgar/data/879169/000104746910001834/a2196849zex-3_i.htm" TargetMode="External"/><Relationship Id="rId153" Type="http://schemas.openxmlformats.org/officeDocument/2006/relationships/hyperlink" Target="https://www.sec.gov/Archives/edgar/data/879169/000087916923000025/exhibit31-bylawsasamended0.htm" TargetMode="External"/><Relationship Id="rId154" Type="http://schemas.openxmlformats.org/officeDocument/2006/relationships/hyperlink" Target="http://www.sec.gov/Archives/edgar/data/879169/000102140803005282/dex41.htm" TargetMode="External"/><Relationship Id="rId155" Type="http://schemas.openxmlformats.org/officeDocument/2006/relationships/hyperlink" Target="https://www.sec.gov/Archives/edgar/data/879169/000155837020000774/ex-4d3.htm" TargetMode="External"/><Relationship Id="rId156" Type="http://schemas.openxmlformats.org/officeDocument/2006/relationships/hyperlink" Target="https://www.sec.gov/Archives/edgar/data/879169/000110465923071561/tm2318718d1_ex10-1.htm" TargetMode="External"/><Relationship Id="rId159" Type="http://schemas.openxmlformats.org/officeDocument/2006/relationships/hyperlink" Target="https://www.sec.gov/Archives/edgar/data/879169/000155837020012834/incy-20200930xex10d1.htm" TargetMode="External"/><Relationship Id="rId160" Type="http://schemas.openxmlformats.org/officeDocument/2006/relationships/hyperlink" Target="https://www.sec.gov/Archives/edgar/data/879169/000155837020012834/incy-20200930xex10d2.htm" TargetMode="External"/><Relationship Id="rId161" Type="http://schemas.openxmlformats.org/officeDocument/2006/relationships/hyperlink" Target="https://www.sec.gov/Archives/edgar/data/879169/000155837020012834/incy-20200930xex10d3.htm" TargetMode="External"/><Relationship Id="rId162" Type="http://schemas.openxmlformats.org/officeDocument/2006/relationships/hyperlink" Target="http://www.sec.gov/Archives/edgar/data/879169/000104746914001174/a2218324zex-10_24.htm" TargetMode="External"/><Relationship Id="rId163" Type="http://schemas.openxmlformats.org/officeDocument/2006/relationships/hyperlink" Target="http://www.sec.gov/Archives/edgar/data/879169/000155837019006550/incy-20190630ex101dc8f47.htm" TargetMode="External"/><Relationship Id="rId164" Type="http://schemas.openxmlformats.org/officeDocument/2006/relationships/hyperlink" Target="https://www.sec.gov/Archives/edgar/data/879169/000110465923071561/tm2318718d1_ex10-2.htm" TargetMode="External"/><Relationship Id="rId165" Type="http://schemas.openxmlformats.org/officeDocument/2006/relationships/hyperlink" Target="http://www.sec.gov/Archives/edgar/data/879169/000104746913001393/a2212845zex-10_14.htm" TargetMode="External"/><Relationship Id="rId166" Type="http://schemas.openxmlformats.org/officeDocument/2006/relationships/hyperlink" Target="http://www.sec.gov/Archives/edgar/data/879169/000110465912029092/a12-6693_1ex10d14.htm" TargetMode="External"/><Relationship Id="rId167" Type="http://schemas.openxmlformats.org/officeDocument/2006/relationships/hyperlink" Target="https://www.sec.gov/Archives/edgar/data/879169/000155837019003610/incy-20190331ex102573f77.htm" TargetMode="External"/><Relationship Id="rId168" Type="http://schemas.openxmlformats.org/officeDocument/2006/relationships/hyperlink" Target="http://www.sec.gov/Archives/edgar/data/879169/000155837019009326/incy-20190930ex10388737b.htm" TargetMode="External"/><Relationship Id="rId169" Type="http://schemas.openxmlformats.org/officeDocument/2006/relationships/hyperlink" Target="https://www.sec.gov/Archives/edgar/data/879169/000087916923000025/exhibit101-cagnoniofferlet.htm" TargetMode="External"/><Relationship Id="rId170" Type="http://schemas.openxmlformats.org/officeDocument/2006/relationships/hyperlink" Target="http://www.sec.gov/Archives/edgar/data/879169/000155837019009326/incy-20190930ex101e8f74d.htm" TargetMode="External"/><Relationship Id="rId171" Type="http://schemas.openxmlformats.org/officeDocument/2006/relationships/hyperlink" Target="http://www.sec.gov/Archives/edgar/data/879169/000155837019009326/incy-20190930ex10117002c.htm" TargetMode="External"/><Relationship Id="rId172" Type="http://schemas.openxmlformats.org/officeDocument/2006/relationships/hyperlink" Target="https://www.sec.gov/Archives/edgar/data/879169/000155837020005185/incy-20200331xex10d2.htm" TargetMode="External"/><Relationship Id="rId173" Type="http://schemas.openxmlformats.org/officeDocument/2006/relationships/hyperlink" Target="http://www.sec.gov/Archives/edgar/data/879169/000155837019009326/incy-20190930ex1020eebfd.htm" TargetMode="External"/><Relationship Id="rId176" Type="http://schemas.openxmlformats.org/officeDocument/2006/relationships/hyperlink" Target="http://www.sec.gov/Archives/edgar/data/879169/000155837019009326/incy-20190930ex1021f3558.htm" TargetMode="External"/><Relationship Id="rId177" Type="http://schemas.openxmlformats.org/officeDocument/2006/relationships/hyperlink" Target="http://www.sec.gov/Archives/edgar/data/879169/000155837019009326/incy-20190930ex10225e24a.htm" TargetMode="External"/><Relationship Id="rId178" Type="http://schemas.openxmlformats.org/officeDocument/2006/relationships/hyperlink" Target="http://www.sec.gov/Archives/edgar/data/879169/000110465917043033/a17-15971_1ex10d21d4.htm" TargetMode="External"/><Relationship Id="rId179" Type="http://schemas.openxmlformats.org/officeDocument/2006/relationships/hyperlink" Target="https://www.sec.gov/Archives/edgar/data/879169/000155837020009164/incy-20200630xex10d1.htm" TargetMode="External"/><Relationship Id="rId180" Type="http://schemas.openxmlformats.org/officeDocument/2006/relationships/hyperlink" Target="http://www.sec.gov/Archives/edgar/data/879169/000110465915032614/a15-7158_1ex10d1.htm" TargetMode="External"/><Relationship Id="rId181" Type="http://schemas.openxmlformats.org/officeDocument/2006/relationships/hyperlink" Target="http://www.sec.gov/Archives/edgar/data/879169/000155837017003529/incy-20170331ex1018c8960.htm" TargetMode="External"/><Relationship Id="rId182" Type="http://schemas.openxmlformats.org/officeDocument/2006/relationships/hyperlink" Target="http://www.sec.gov/Archives/edgar/data/879169/000155837016003196/incy-20151231ex10283b05a.htm" TargetMode="External"/><Relationship Id="rId183" Type="http://schemas.openxmlformats.org/officeDocument/2006/relationships/hyperlink" Target="https://www.sec.gov/Archives/edgar/data/0000879169/000155837021014131/incy-20210930xex10d1.htm" TargetMode="External"/><Relationship Id="rId184" Type="http://schemas.openxmlformats.org/officeDocument/2006/relationships/hyperlink" Target="https://www.sec.gov/Archives/edgar/data/879169/000087916923000025/exhibit103-amendedcredit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2024-02-13T15:19:32Z</dcterms:created>
  <dcterms:modified xsi:type="dcterms:W3CDTF">2024-02-13T15:19:32Z</dcterms:modified>
</cp:coreProperties>
</file>