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8131.xml.htm"/>
      <w:bookmarkStart w:id="1" w:name="kswkform4_17845781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Basi Ramitpal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Human Resources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4,991</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11,497</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12,479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21,548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award of restricted stock units ("RSUs") that will vest 25% annually over four years. The RSUs may be settled only for shares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Including the July 16, 2026 grant, this includes an aggregate of 11,497 shares of common stock issuable pursuant to previously reported restricted stock units that have not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share represents the right to receive up to 200% of one share of common stock. Such shares may be earned based upon the issuer's relative total shareholder return ("TSR") over a three-year performance period beginning on January 1, 2026 as compared to the TSR of companies in a fixed peer group, as set forth in the Performance Share Award Agreement. The earned shares will vest on the third anniversary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July 16, 2026 options become exercisable in 37 installments, with the first 25% vesting after one year and the remainder vesting monthly over three years. Remarks: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asi-incytesection16powe.htm"/>
      <w:bookmarkStart w:id="3" w:name="ksbasiincytesection16powe"/>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Richard Hoffman, Suketu Upadhyay, Elizabeth Feeney and Thomas Tray, signing singly, the undersigned’s true and lawful attorney-in-fact to: (1) execute for and on behalf of the undersigned, in the undersigned ’s capacity as an officer and/or director of Incyte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 ’s responsibilities to comply with Section 16 of the Securities Exchange Act of 1934. This Power of Attorney shall remain in full force and effect until the undersigned is no longer required to file Forms 3, 4, and 5 with respect to the undersigned ’s holdings of and transactions in securities issued by the Company, unless (a) earlier revoked by the undersigned in a signed writing delivered to the foregoing attorneys-in-fact or (b) superseded by a new power of attorney regarding the purposes outlined in the first paragraph hereof dated as of a later date . IN WITNESS WHEREOF, the undersigned has caused this Power of Attorney to be executed as of May 5, 2026. /s/ Ramitpal K. Basi Ramitpal K. Basi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591"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1237</Words>
  <Characters>6507</Characters>
  <CharactersWithSpaces>7651</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basi-incytesection16powe</dc:title>
</cp:coreProperties>
</file>