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rFonts w:ascii="Arial" w:cs="Arial" w:eastAsia="Arial" w:hAnsi="Arial"/>
          <w:sz w:val="22"/>
          <w:szCs w:val="22"/>
          <w:u w:val="single" w:color="auto"/>
          <w:color w:val="0563C1"/>
        </w:rPr>
      </w:pPr>
      <w:hyperlink w:anchor="page2">
        <w:r>
          <w:rPr>
            <w:rFonts w:ascii="Arial" w:cs="Arial" w:eastAsia="Arial" w:hAnsi="Arial"/>
            <w:sz w:val="22"/>
            <w:szCs w:val="22"/>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255905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72" w:lineRule="exact"/>
        <w:rPr>
          <w:sz w:val="24"/>
          <w:szCs w:val="24"/>
          <w:color w:val="auto"/>
        </w:rPr>
      </w:pPr>
    </w:p>
    <w:p>
      <w:pPr>
        <w:ind w:left="640" w:right="300" w:hanging="325"/>
        <w:spacing w:after="0" w:line="267" w:lineRule="auto"/>
        <w:tabs>
          <w:tab w:leader="none" w:pos="816"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2018</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72" w:lineRule="exact"/>
        <w:rPr>
          <w:sz w:val="24"/>
          <w:szCs w:val="24"/>
          <w:color w:val="auto"/>
        </w:rPr>
      </w:pPr>
    </w:p>
    <w:p>
      <w:pPr>
        <w:ind w:left="640" w:right="280" w:hanging="325"/>
        <w:spacing w:after="0" w:line="267" w:lineRule="auto"/>
        <w:tabs>
          <w:tab w:leader="none" w:pos="816"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105" w:lineRule="exact"/>
        <w:rPr>
          <w:sz w:val="24"/>
          <w:szCs w:val="24"/>
          <w:color w:val="auto"/>
        </w:rPr>
      </w:pPr>
    </w:p>
    <w:p>
      <w:pPr>
        <w:ind w:left="3580"/>
        <w:spacing w:after="0"/>
        <w:tabs>
          <w:tab w:leader="none" w:pos="61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001-12400</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INCYTE CORPORATION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17" w:lineRule="exact"/>
        <w:rPr>
          <w:sz w:val="24"/>
          <w:szCs w:val="24"/>
          <w:color w:val="auto"/>
        </w:rPr>
      </w:pPr>
    </w:p>
    <w:tbl>
      <w:tblPr>
        <w:tblLayout w:type="fixed"/>
        <w:tblInd w:w="1260" w:type="dxa"/>
        <w:tblCellMar>
          <w:top w:w="0" w:type="dxa"/>
          <w:left w:w="0" w:type="dxa"/>
          <w:bottom w:w="0" w:type="dxa"/>
          <w:right w:w="0" w:type="dxa"/>
        </w:tblCellMar>
      </w:tblPr>
      <w:tr>
        <w:trPr>
          <w:trHeight w:val="207"/>
        </w:trPr>
        <w:tc>
          <w:tcPr>
            <w:tcW w:w="5820" w:type="dxa"/>
            <w:vAlign w:val="bottom"/>
          </w:tcPr>
          <w:p>
            <w:pPr>
              <w:jc w:val="center"/>
              <w:ind w:right="3159"/>
              <w:spacing w:after="0"/>
              <w:rPr>
                <w:sz w:val="20"/>
                <w:szCs w:val="20"/>
                <w:color w:val="auto"/>
              </w:rPr>
            </w:pPr>
            <w:r>
              <w:rPr>
                <w:rFonts w:ascii="Arial" w:cs="Arial" w:eastAsia="Arial" w:hAnsi="Arial"/>
                <w:sz w:val="16"/>
                <w:szCs w:val="16"/>
                <w:b w:val="1"/>
                <w:bCs w:val="1"/>
                <w:color w:val="auto"/>
                <w:w w:val="93"/>
              </w:rPr>
              <w:t>Delaware</w:t>
            </w:r>
          </w:p>
        </w:tc>
        <w:tc>
          <w:tcPr>
            <w:tcW w:w="1380" w:type="dxa"/>
            <w:vAlign w:val="bottom"/>
          </w:tcPr>
          <w:p>
            <w:pPr>
              <w:jc w:val="right"/>
              <w:ind w:right="139"/>
              <w:spacing w:after="0"/>
              <w:rPr>
                <w:sz w:val="20"/>
                <w:szCs w:val="20"/>
                <w:color w:val="auto"/>
              </w:rPr>
            </w:pPr>
            <w:r>
              <w:rPr>
                <w:rFonts w:ascii="Arial" w:cs="Arial" w:eastAsia="Arial" w:hAnsi="Arial"/>
                <w:sz w:val="16"/>
                <w:szCs w:val="16"/>
                <w:b w:val="1"/>
                <w:bCs w:val="1"/>
                <w:color w:val="auto"/>
              </w:rPr>
              <w:t>94-3136539</w:t>
            </w:r>
          </w:p>
        </w:tc>
      </w:tr>
      <w:tr>
        <w:trPr>
          <w:trHeight w:val="203"/>
        </w:trPr>
        <w:tc>
          <w:tcPr>
            <w:tcW w:w="5820" w:type="dxa"/>
            <w:vAlign w:val="bottom"/>
          </w:tcPr>
          <w:p>
            <w:pPr>
              <w:jc w:val="center"/>
              <w:ind w:right="3179"/>
              <w:spacing w:after="0"/>
              <w:rPr>
                <w:sz w:val="20"/>
                <w:szCs w:val="20"/>
                <w:color w:val="auto"/>
              </w:rPr>
            </w:pPr>
            <w:r>
              <w:rPr>
                <w:rFonts w:ascii="Arial" w:cs="Arial" w:eastAsia="Arial" w:hAnsi="Arial"/>
                <w:sz w:val="16"/>
                <w:szCs w:val="16"/>
                <w:color w:val="auto"/>
                <w:w w:val="93"/>
              </w:rPr>
              <w:t>(State or other jurisdiction of</w:t>
            </w:r>
          </w:p>
        </w:tc>
        <w:tc>
          <w:tcPr>
            <w:tcW w:w="1380" w:type="dxa"/>
            <w:vAlign w:val="bottom"/>
          </w:tcPr>
          <w:p>
            <w:pPr>
              <w:jc w:val="center"/>
              <w:ind w:left="79"/>
              <w:spacing w:after="0"/>
              <w:rPr>
                <w:sz w:val="20"/>
                <w:szCs w:val="20"/>
                <w:color w:val="auto"/>
              </w:rPr>
            </w:pPr>
            <w:r>
              <w:rPr>
                <w:rFonts w:ascii="Arial" w:cs="Arial" w:eastAsia="Arial" w:hAnsi="Arial"/>
                <w:sz w:val="16"/>
                <w:szCs w:val="16"/>
                <w:color w:val="auto"/>
                <w:w w:val="94"/>
              </w:rPr>
              <w:t>(IRS Employer</w:t>
            </w:r>
          </w:p>
        </w:tc>
      </w:tr>
      <w:tr>
        <w:trPr>
          <w:trHeight w:val="206"/>
        </w:trPr>
        <w:tc>
          <w:tcPr>
            <w:tcW w:w="5820" w:type="dxa"/>
            <w:vAlign w:val="bottom"/>
          </w:tcPr>
          <w:p>
            <w:pPr>
              <w:jc w:val="center"/>
              <w:ind w:right="3159"/>
              <w:spacing w:after="0"/>
              <w:rPr>
                <w:sz w:val="20"/>
                <w:szCs w:val="20"/>
                <w:color w:val="auto"/>
              </w:rPr>
            </w:pPr>
            <w:r>
              <w:rPr>
                <w:rFonts w:ascii="Arial" w:cs="Arial" w:eastAsia="Arial" w:hAnsi="Arial"/>
                <w:sz w:val="16"/>
                <w:szCs w:val="16"/>
                <w:color w:val="auto"/>
                <w:w w:val="93"/>
              </w:rPr>
              <w:t>incorporation or organization)</w:t>
            </w:r>
          </w:p>
        </w:tc>
        <w:tc>
          <w:tcPr>
            <w:tcW w:w="1380" w:type="dxa"/>
            <w:vAlign w:val="bottom"/>
          </w:tcPr>
          <w:p>
            <w:pPr>
              <w:jc w:val="center"/>
              <w:ind w:left="79"/>
              <w:spacing w:after="0"/>
              <w:rPr>
                <w:sz w:val="20"/>
                <w:szCs w:val="20"/>
                <w:color w:val="auto"/>
              </w:rPr>
            </w:pPr>
            <w:r>
              <w:rPr>
                <w:rFonts w:ascii="Arial" w:cs="Arial" w:eastAsia="Arial" w:hAnsi="Arial"/>
                <w:sz w:val="16"/>
                <w:szCs w:val="16"/>
                <w:color w:val="auto"/>
                <w:w w:val="97"/>
              </w:rPr>
              <w:t>Identification No.)</w:t>
            </w:r>
          </w:p>
        </w:tc>
      </w:tr>
      <w:tr>
        <w:trPr>
          <w:trHeight w:val="397"/>
        </w:trPr>
        <w:tc>
          <w:tcPr>
            <w:tcW w:w="5820" w:type="dxa"/>
            <w:vAlign w:val="bottom"/>
          </w:tcPr>
          <w:p>
            <w:pPr>
              <w:jc w:val="center"/>
              <w:ind w:right="3159"/>
              <w:spacing w:after="0"/>
              <w:rPr>
                <w:sz w:val="20"/>
                <w:szCs w:val="20"/>
                <w:color w:val="auto"/>
              </w:rPr>
            </w:pPr>
            <w:r>
              <w:rPr>
                <w:rFonts w:ascii="Arial" w:cs="Arial" w:eastAsia="Arial" w:hAnsi="Arial"/>
                <w:sz w:val="16"/>
                <w:szCs w:val="16"/>
                <w:b w:val="1"/>
                <w:bCs w:val="1"/>
                <w:color w:val="auto"/>
                <w:w w:val="93"/>
              </w:rPr>
              <w:t>1801 Augustine Cut-Off</w:t>
            </w:r>
          </w:p>
        </w:tc>
        <w:tc>
          <w:tcPr>
            <w:tcW w:w="1380" w:type="dxa"/>
            <w:vAlign w:val="bottom"/>
          </w:tcPr>
          <w:p>
            <w:pPr>
              <w:spacing w:after="0"/>
              <w:rPr>
                <w:sz w:val="24"/>
                <w:szCs w:val="24"/>
                <w:color w:val="auto"/>
              </w:rPr>
            </w:pPr>
          </w:p>
        </w:tc>
      </w:tr>
      <w:tr>
        <w:trPr>
          <w:trHeight w:val="207"/>
        </w:trPr>
        <w:tc>
          <w:tcPr>
            <w:tcW w:w="5820" w:type="dxa"/>
            <w:vAlign w:val="bottom"/>
          </w:tcPr>
          <w:p>
            <w:pPr>
              <w:jc w:val="center"/>
              <w:ind w:right="3159"/>
              <w:spacing w:after="0"/>
              <w:rPr>
                <w:sz w:val="20"/>
                <w:szCs w:val="20"/>
                <w:color w:val="auto"/>
              </w:rPr>
            </w:pPr>
            <w:r>
              <w:rPr>
                <w:rFonts w:ascii="Arial" w:cs="Arial" w:eastAsia="Arial" w:hAnsi="Arial"/>
                <w:sz w:val="16"/>
                <w:szCs w:val="16"/>
                <w:b w:val="1"/>
                <w:bCs w:val="1"/>
                <w:color w:val="auto"/>
                <w:w w:val="96"/>
              </w:rPr>
              <w:t>Wilmington, DE 19803</w:t>
            </w:r>
          </w:p>
        </w:tc>
        <w:tc>
          <w:tcPr>
            <w:tcW w:w="1380" w:type="dxa"/>
            <w:vAlign w:val="bottom"/>
          </w:tcPr>
          <w:p>
            <w:pPr>
              <w:jc w:val="right"/>
              <w:ind w:right="319"/>
              <w:spacing w:after="0"/>
              <w:rPr>
                <w:sz w:val="20"/>
                <w:szCs w:val="20"/>
                <w:color w:val="auto"/>
              </w:rPr>
            </w:pPr>
            <w:r>
              <w:rPr>
                <w:rFonts w:ascii="Arial" w:cs="Arial" w:eastAsia="Arial" w:hAnsi="Arial"/>
                <w:sz w:val="16"/>
                <w:szCs w:val="16"/>
                <w:b w:val="1"/>
                <w:bCs w:val="1"/>
                <w:color w:val="auto"/>
              </w:rPr>
              <w:t>19803</w:t>
            </w:r>
          </w:p>
        </w:tc>
      </w:tr>
      <w:tr>
        <w:trPr>
          <w:trHeight w:val="206"/>
        </w:trPr>
        <w:tc>
          <w:tcPr>
            <w:tcW w:w="5820" w:type="dxa"/>
            <w:vAlign w:val="bottom"/>
          </w:tcPr>
          <w:p>
            <w:pPr>
              <w:jc w:val="center"/>
              <w:ind w:right="3159"/>
              <w:spacing w:after="0"/>
              <w:rPr>
                <w:sz w:val="20"/>
                <w:szCs w:val="20"/>
                <w:color w:val="auto"/>
              </w:rPr>
            </w:pPr>
            <w:r>
              <w:rPr>
                <w:rFonts w:ascii="Arial" w:cs="Arial" w:eastAsia="Arial" w:hAnsi="Arial"/>
                <w:sz w:val="16"/>
                <w:szCs w:val="16"/>
                <w:color w:val="auto"/>
                <w:w w:val="94"/>
              </w:rPr>
              <w:t>(Address of principal executive offices)</w:t>
            </w:r>
          </w:p>
        </w:tc>
        <w:tc>
          <w:tcPr>
            <w:tcW w:w="1380" w:type="dxa"/>
            <w:vAlign w:val="bottom"/>
          </w:tcPr>
          <w:p>
            <w:pPr>
              <w:jc w:val="center"/>
              <w:ind w:left="59"/>
              <w:spacing w:after="0"/>
              <w:rPr>
                <w:sz w:val="20"/>
                <w:szCs w:val="20"/>
                <w:color w:val="auto"/>
              </w:rPr>
            </w:pPr>
            <w:r>
              <w:rPr>
                <w:rFonts w:ascii="Arial" w:cs="Arial" w:eastAsia="Arial" w:hAnsi="Arial"/>
                <w:sz w:val="16"/>
                <w:szCs w:val="16"/>
                <w:color w:val="auto"/>
                <w:w w:val="95"/>
              </w:rPr>
              <w:t>(Zip Code)</w:t>
            </w:r>
          </w:p>
        </w:tc>
      </w:tr>
      <w:tr>
        <w:trPr>
          <w:trHeight w:val="347"/>
        </w:trPr>
        <w:tc>
          <w:tcPr>
            <w:tcW w:w="5820" w:type="dxa"/>
            <w:vAlign w:val="bottom"/>
          </w:tcPr>
          <w:p>
            <w:pPr>
              <w:jc w:val="right"/>
              <w:ind w:right="1299"/>
              <w:spacing w:after="0"/>
              <w:rPr>
                <w:sz w:val="20"/>
                <w:szCs w:val="20"/>
                <w:color w:val="auto"/>
              </w:rPr>
            </w:pPr>
            <w:r>
              <w:rPr>
                <w:rFonts w:ascii="Arial" w:cs="Arial" w:eastAsia="Arial" w:hAnsi="Arial"/>
                <w:sz w:val="16"/>
                <w:szCs w:val="16"/>
                <w:b w:val="1"/>
                <w:bCs w:val="1"/>
                <w:color w:val="auto"/>
              </w:rPr>
              <w:t>(302) 498-6700</w:t>
            </w:r>
          </w:p>
        </w:tc>
        <w:tc>
          <w:tcPr>
            <w:tcW w:w="1380" w:type="dxa"/>
            <w:vAlign w:val="bottom"/>
          </w:tcPr>
          <w:p>
            <w:pPr>
              <w:spacing w:after="0"/>
              <w:rPr>
                <w:sz w:val="24"/>
                <w:szCs w:val="24"/>
                <w:color w:val="auto"/>
              </w:rPr>
            </w:pPr>
          </w:p>
        </w:tc>
      </w:tr>
      <w:tr>
        <w:trPr>
          <w:trHeight w:val="206"/>
        </w:trPr>
        <w:tc>
          <w:tcPr>
            <w:tcW w:w="5820" w:type="dxa"/>
            <w:vAlign w:val="bottom"/>
          </w:tcPr>
          <w:p>
            <w:pPr>
              <w:jc w:val="center"/>
              <w:ind w:left="1979"/>
              <w:spacing w:after="0"/>
              <w:rPr>
                <w:sz w:val="20"/>
                <w:szCs w:val="20"/>
                <w:color w:val="auto"/>
              </w:rPr>
            </w:pPr>
            <w:r>
              <w:rPr>
                <w:rFonts w:ascii="Arial" w:cs="Arial" w:eastAsia="Arial" w:hAnsi="Arial"/>
                <w:sz w:val="16"/>
                <w:szCs w:val="16"/>
                <w:color w:val="auto"/>
                <w:w w:val="91"/>
              </w:rPr>
              <w:t>(Registrant’s telephone number, including area code)</w:t>
            </w:r>
          </w:p>
        </w:tc>
        <w:tc>
          <w:tcPr>
            <w:tcW w:w="1380" w:type="dxa"/>
            <w:vAlign w:val="bottom"/>
          </w:tcPr>
          <w:p>
            <w:pPr>
              <w:spacing w:after="0"/>
              <w:rPr>
                <w:sz w:val="17"/>
                <w:szCs w:val="17"/>
                <w:color w:val="auto"/>
              </w:rPr>
            </w:pPr>
          </w:p>
        </w:tc>
      </w:tr>
    </w:tbl>
    <w:p>
      <w:pPr>
        <w:spacing w:after="0" w:line="145" w:lineRule="exact"/>
        <w:rPr>
          <w:sz w:val="24"/>
          <w:szCs w:val="24"/>
          <w:color w:val="auto"/>
        </w:rPr>
      </w:pPr>
    </w:p>
    <w:p>
      <w:pPr>
        <w:jc w:val="both"/>
        <w:ind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28" w:lineRule="exact"/>
        <w:rPr>
          <w:sz w:val="24"/>
          <w:szCs w:val="24"/>
          <w:color w:val="auto"/>
        </w:rPr>
      </w:pPr>
    </w:p>
    <w:p>
      <w:pPr>
        <w:jc w:val="both"/>
        <w:ind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28" w:lineRule="exact"/>
        <w:rPr>
          <w:sz w:val="24"/>
          <w:szCs w:val="24"/>
          <w:color w:val="auto"/>
        </w:rPr>
      </w:pPr>
    </w:p>
    <w:p>
      <w:pPr>
        <w:jc w:val="both"/>
        <w:ind w:firstLine="32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400"/>
          </w:cols>
          <w:pgMar w:left="760" w:top="226" w:right="739" w:bottom="1440" w:gutter="0" w:footer="0" w:header="0"/>
        </w:sectPr>
      </w:pPr>
    </w:p>
    <w:p>
      <w:pPr>
        <w:spacing w:after="0" w:line="100" w:lineRule="exact"/>
        <w:rPr>
          <w:sz w:val="24"/>
          <w:szCs w:val="24"/>
          <w:color w:val="auto"/>
        </w:rPr>
      </w:pPr>
    </w:p>
    <w:p>
      <w:pPr>
        <w:ind w:left="172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6500" w:space="720"/>
            <w:col w:w="3180"/>
          </w:cols>
          <w:pgMar w:left="760" w:top="226" w:right="739" w:bottom="1440" w:gutter="0" w:footer="0" w:header="0"/>
          <w:type w:val="continuous"/>
        </w:sectPr>
      </w:pPr>
    </w:p>
    <w:p>
      <w:pPr>
        <w:spacing w:after="0" w:line="44" w:lineRule="exact"/>
        <w:rPr>
          <w:sz w:val="24"/>
          <w:szCs w:val="24"/>
          <w:color w:val="auto"/>
        </w:rPr>
      </w:pPr>
    </w:p>
    <w:p>
      <w:pPr>
        <w:ind w:left="176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6140" w:space="720"/>
            <w:col w:w="3540"/>
          </w:cols>
          <w:pgMar w:left="760" w:top="226" w:right="739" w:bottom="1440" w:gutter="0" w:footer="0" w:header="0"/>
          <w:type w:val="continuous"/>
        </w:sectPr>
      </w:pPr>
    </w:p>
    <w:p>
      <w:pPr>
        <w:spacing w:after="0" w:line="44" w:lineRule="exact"/>
        <w:rPr>
          <w:sz w:val="24"/>
          <w:szCs w:val="24"/>
          <w:color w:val="auto"/>
        </w:rPr>
      </w:pPr>
    </w:p>
    <w:p>
      <w:pPr>
        <w:ind w:left="68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0400"/>
          </w:cols>
          <w:pgMar w:left="760" w:top="226" w:right="739" w:bottom="1440" w:gutter="0" w:footer="0" w:header="0"/>
          <w:type w:val="continuous"/>
        </w:sectPr>
      </w:pPr>
    </w:p>
    <w:p>
      <w:pPr>
        <w:spacing w:after="0" w:line="234" w:lineRule="exact"/>
        <w:rPr>
          <w:sz w:val="24"/>
          <w:szCs w:val="24"/>
          <w:color w:val="auto"/>
        </w:rPr>
      </w:pPr>
    </w:p>
    <w:p>
      <w:pPr>
        <w:ind w:right="120" w:firstLine="32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7" w:lineRule="exact"/>
        <w:rPr>
          <w:sz w:val="24"/>
          <w:szCs w:val="24"/>
          <w:color w:val="auto"/>
        </w:rPr>
      </w:pPr>
    </w:p>
    <w:p>
      <w:pPr>
        <w:ind w:left="320" w:right="1760"/>
        <w:spacing w:after="0" w:line="29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The number of outstanding shares of the registrant’s Common Stock, $.001 par value, was 212,808,148 as of October 23,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141605</wp:posOffset>
            </wp:positionV>
            <wp:extent cx="66122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536575</wp:posOffset>
            </wp:positionV>
            <wp:extent cx="6612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0"/>
          </w:cols>
          <w:pgMar w:left="760" w:top="226" w:right="7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060" w:type="dxa"/>
            <w:vAlign w:val="bottom"/>
            <w:gridSpan w:val="2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3"/>
        </w:trPr>
        <w:tc>
          <w:tcPr>
            <w:tcW w:w="54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480" w:type="dxa"/>
            <w:vAlign w:val="bottom"/>
            <w:tcBorders>
              <w:top w:val="single" w:sz="8" w:color="0563C1"/>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40" w:type="dxa"/>
            <w:vAlign w:val="bottom"/>
            <w:gridSpan w:val="8"/>
          </w:tcPr>
          <w:p>
            <w:pPr>
              <w:jc w:val="center"/>
              <w:ind w:right="2120"/>
              <w:spacing w:after="0"/>
              <w:rPr>
                <w:sz w:val="20"/>
                <w:szCs w:val="20"/>
                <w:color w:val="auto"/>
              </w:rPr>
            </w:pPr>
            <w:r>
              <w:rPr>
                <w:rFonts w:ascii="Arial" w:cs="Arial" w:eastAsia="Arial" w:hAnsi="Arial"/>
                <w:sz w:val="18"/>
                <w:szCs w:val="18"/>
                <w:b w:val="1"/>
                <w:bCs w:val="1"/>
                <w:color w:val="auto"/>
              </w:rPr>
              <w:t>INCYTE CORPORATION</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60" w:type="dxa"/>
            <w:vAlign w:val="bottom"/>
            <w:gridSpan w:val="7"/>
          </w:tcPr>
          <w:p>
            <w:pPr>
              <w:jc w:val="center"/>
              <w:ind w:right="2700"/>
              <w:spacing w:after="0"/>
              <w:rPr>
                <w:sz w:val="20"/>
                <w:szCs w:val="20"/>
                <w:color w:val="auto"/>
              </w:rPr>
            </w:pPr>
            <w:r>
              <w:rPr>
                <w:rFonts w:ascii="Arial" w:cs="Arial" w:eastAsia="Arial" w:hAnsi="Arial"/>
                <w:sz w:val="18"/>
                <w:szCs w:val="18"/>
                <w:b w:val="1"/>
                <w:bCs w:val="1"/>
                <w:color w:val="auto"/>
              </w:rPr>
              <w:t>INDEX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60" w:type="dxa"/>
            <w:vAlign w:val="bottom"/>
            <w:gridSpan w:val="2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r>
              <w:rPr>
                <w:rFonts w:ascii="Arial" w:cs="Arial" w:eastAsia="Arial" w:hAnsi="Arial"/>
                <w:sz w:val="18"/>
                <w:szCs w:val="18"/>
                <w:b w:val="1"/>
                <w:bCs w:val="1"/>
                <w:color w:val="000000"/>
              </w:rPr>
              <w:t>:</w:t>
            </w:r>
            <w:r>
              <w:rPr>
                <w:rFonts w:ascii="Arial" w:cs="Arial" w:eastAsia="Arial" w:hAnsi="Arial"/>
                <w:sz w:val="18"/>
                <w:szCs w:val="18"/>
                <w:b w:val="1"/>
                <w:bCs w:val="1"/>
                <w:color w:val="0000EE"/>
              </w:rPr>
              <w:t xml:space="preserve"> </w:t>
            </w:r>
            <w:hyperlink w:anchor="page3">
              <w:r>
                <w:rPr>
                  <w:rFonts w:ascii="Arial" w:cs="Arial" w:eastAsia="Arial" w:hAnsi="Arial"/>
                  <w:sz w:val="18"/>
                  <w:szCs w:val="18"/>
                  <w:b w:val="1"/>
                  <w:bCs w:val="1"/>
                  <w:color w:val="0000EE"/>
                </w:rPr>
                <w:t>FINANCIAL INFORMATION</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80" w:type="dxa"/>
            <w:vAlign w:val="bottom"/>
            <w:tcBorders>
              <w:top w:val="single" w:sz="8" w:color="0000EE"/>
            </w:tcBorders>
            <w:gridSpan w:val="2"/>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Item 1.</w:t>
              </w:r>
            </w:hyperlink>
          </w:p>
        </w:tc>
        <w:tc>
          <w:tcPr>
            <w:tcW w:w="160" w:type="dxa"/>
            <w:vAlign w:val="bottom"/>
            <w:gridSpan w:val="3"/>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320" w:type="dxa"/>
            <w:vAlign w:val="bottom"/>
            <w:tcBorders>
              <w:top w:val="single" w:sz="8" w:color="0000EE"/>
            </w:tcBorders>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940" w:type="dxa"/>
            <w:vAlign w:val="bottom"/>
            <w:gridSpan w:val="8"/>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6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4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w:t>
              </w:r>
            </w:hyperlink>
          </w:p>
        </w:tc>
        <w:tc>
          <w:tcPr>
            <w:tcW w:w="3620" w:type="dxa"/>
            <w:vAlign w:val="bottom"/>
            <w:gridSpan w:val="6"/>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6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Income (Loss)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60" w:type="dxa"/>
            <w:vAlign w:val="bottom"/>
            <w:tcBorders>
              <w:top w:val="single" w:sz="8" w:color="0000EE"/>
            </w:tcBorders>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2200" w:type="dxa"/>
            <w:vAlign w:val="bottom"/>
            <w:gridSpan w:val="2"/>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6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40" w:type="dxa"/>
            <w:vAlign w:val="bottom"/>
            <w:gridSpan w:val="5"/>
            <w:vMerge w:val="restart"/>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Item 2.</w:t>
              </w:r>
            </w:hyperlink>
          </w:p>
        </w:tc>
        <w:tc>
          <w:tcPr>
            <w:tcW w:w="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gridSpan w:val="5"/>
            <w:vMerge w:val="continue"/>
          </w:tcPr>
          <w:p>
            <w:pPr>
              <w:spacing w:after="0"/>
              <w:rPr>
                <w:sz w:val="24"/>
                <w:szCs w:val="24"/>
                <w:color w:val="auto"/>
              </w:rPr>
            </w:pPr>
          </w:p>
        </w:tc>
        <w:tc>
          <w:tcPr>
            <w:tcW w:w="60" w:type="dxa"/>
            <w:vAlign w:val="bottom"/>
          </w:tcPr>
          <w:p>
            <w:pPr>
              <w:spacing w:after="0"/>
              <w:rPr>
                <w:sz w:val="24"/>
                <w:szCs w:val="24"/>
                <w:color w:val="auto"/>
              </w:rPr>
            </w:pPr>
          </w:p>
        </w:tc>
        <w:tc>
          <w:tcPr>
            <w:tcW w:w="7260" w:type="dxa"/>
            <w:vAlign w:val="bottom"/>
            <w:gridSpan w:val="1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Management’s Discussion and Analysis of Financial Condition and Results of Operations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60" w:type="dxa"/>
            <w:vAlign w:val="bottom"/>
            <w:gridSpan w:val="6"/>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gridSpan w:val="5"/>
          </w:tcPr>
          <w:p>
            <w:pPr>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Item 3.</w:t>
              </w:r>
            </w:hyperlink>
          </w:p>
        </w:tc>
        <w:tc>
          <w:tcPr>
            <w:tcW w:w="60" w:type="dxa"/>
            <w:vAlign w:val="bottom"/>
          </w:tcPr>
          <w:p>
            <w:pPr>
              <w:spacing w:after="0"/>
              <w:rPr>
                <w:sz w:val="24"/>
                <w:szCs w:val="24"/>
                <w:color w:val="auto"/>
              </w:rPr>
            </w:pPr>
          </w:p>
        </w:tc>
        <w:tc>
          <w:tcPr>
            <w:tcW w:w="7260" w:type="dxa"/>
            <w:vAlign w:val="bottom"/>
            <w:gridSpan w:val="16"/>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Quantitative and Qualitative Disclosures about Market Risk</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60" w:type="dxa"/>
            <w:vAlign w:val="bottom"/>
            <w:gridSpan w:val="6"/>
            <w:shd w:val="clear" w:color="auto" w:fill="0000EE"/>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gridSpan w:val="5"/>
          </w:tcPr>
          <w:p>
            <w:pPr>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Item 4.</w:t>
              </w:r>
            </w:hyperlink>
          </w:p>
        </w:tc>
        <w:tc>
          <w:tcPr>
            <w:tcW w:w="60" w:type="dxa"/>
            <w:vAlign w:val="bottom"/>
          </w:tcPr>
          <w:p>
            <w:pPr>
              <w:spacing w:after="0"/>
              <w:rPr>
                <w:sz w:val="24"/>
                <w:szCs w:val="24"/>
                <w:color w:val="auto"/>
              </w:rPr>
            </w:pPr>
          </w:p>
        </w:tc>
        <w:tc>
          <w:tcPr>
            <w:tcW w:w="7260" w:type="dxa"/>
            <w:vAlign w:val="bottom"/>
            <w:gridSpan w:val="16"/>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Controls and Procedures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EE"/>
            </w:tcBorders>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40" w:type="dxa"/>
            <w:vAlign w:val="bottom"/>
            <w:gridSpan w:val="9"/>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60" w:type="dxa"/>
            <w:vAlign w:val="bottom"/>
            <w:gridSpan w:val="22"/>
          </w:tcPr>
          <w:p>
            <w:pPr>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PART II</w:t>
              </w:r>
            </w:hyperlink>
            <w:r>
              <w:rPr>
                <w:rFonts w:ascii="Arial" w:cs="Arial" w:eastAsia="Arial" w:hAnsi="Arial"/>
                <w:sz w:val="18"/>
                <w:szCs w:val="18"/>
                <w:b w:val="1"/>
                <w:bCs w:val="1"/>
                <w:color w:val="000000"/>
              </w:rPr>
              <w:t>:</w:t>
            </w:r>
            <w:r>
              <w:rPr>
                <w:rFonts w:ascii="Arial" w:cs="Arial" w:eastAsia="Arial" w:hAnsi="Arial"/>
                <w:sz w:val="18"/>
                <w:szCs w:val="18"/>
                <w:b w:val="1"/>
                <w:bCs w:val="1"/>
                <w:color w:val="0000EE"/>
              </w:rPr>
              <w:t xml:space="preserve"> </w:t>
            </w:r>
            <w:hyperlink w:anchor="page66">
              <w:r>
                <w:rPr>
                  <w:rFonts w:ascii="Arial" w:cs="Arial" w:eastAsia="Arial" w:hAnsi="Arial"/>
                  <w:sz w:val="18"/>
                  <w:szCs w:val="18"/>
                  <w:b w:val="1"/>
                  <w:bCs w:val="1"/>
                  <w:color w:val="0000EE"/>
                </w:rPr>
                <w:t>OTHER INFORMATION</w:t>
              </w:r>
            </w:hyperlink>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5240" w:type="dxa"/>
            <w:vAlign w:val="bottom"/>
            <w:gridSpan w:val="9"/>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gridSpan w:val="4"/>
          </w:tcPr>
          <w:p>
            <w:pPr>
              <w:spacing w:after="0"/>
              <w:rPr>
                <w:rFonts w:ascii="Arial" w:cs="Arial" w:eastAsia="Arial" w:hAnsi="Arial"/>
                <w:sz w:val="18"/>
                <w:szCs w:val="18"/>
                <w:b w:val="1"/>
                <w:bCs w:val="1"/>
                <w:color w:val="0000EE"/>
                <w:w w:val="94"/>
              </w:rPr>
            </w:pPr>
            <w:hyperlink w:anchor="page66">
              <w:r>
                <w:rPr>
                  <w:rFonts w:ascii="Arial" w:cs="Arial" w:eastAsia="Arial" w:hAnsi="Arial"/>
                  <w:sz w:val="18"/>
                  <w:szCs w:val="18"/>
                  <w:b w:val="1"/>
                  <w:bCs w:val="1"/>
                  <w:color w:val="0000EE"/>
                  <w:w w:val="94"/>
                </w:rPr>
                <w:t>Item 1A.</w:t>
              </w:r>
            </w:hyperlink>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66">
              <w:r>
                <w:rPr>
                  <w:rFonts w:ascii="Arial" w:cs="Arial" w:eastAsia="Arial" w:hAnsi="Arial"/>
                  <w:sz w:val="18"/>
                  <w:szCs w:val="18"/>
                  <w:color w:val="0000EE"/>
                  <w:w w:val="85"/>
                </w:rPr>
                <w:t>Risk Factors</w:t>
              </w:r>
            </w:hyperlink>
          </w:p>
        </w:tc>
        <w:tc>
          <w:tcPr>
            <w:tcW w:w="6380" w:type="dxa"/>
            <w:vAlign w:val="bottom"/>
            <w:gridSpan w:val="12"/>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412"/>
        </w:trPr>
        <w:tc>
          <w:tcPr>
            <w:tcW w:w="740" w:type="dxa"/>
            <w:vAlign w:val="bottom"/>
            <w:gridSpan w:val="5"/>
          </w:tcPr>
          <w:p>
            <w:pPr>
              <w:spacing w:after="0"/>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Item 6.</w:t>
              </w:r>
            </w:hyperlink>
          </w:p>
        </w:tc>
        <w:tc>
          <w:tcPr>
            <w:tcW w:w="60" w:type="dxa"/>
            <w:vAlign w:val="bottom"/>
          </w:tcPr>
          <w:p>
            <w:pPr>
              <w:spacing w:after="0"/>
              <w:rPr>
                <w:sz w:val="24"/>
                <w:szCs w:val="24"/>
                <w:color w:val="auto"/>
              </w:rPr>
            </w:pPr>
          </w:p>
        </w:tc>
        <w:tc>
          <w:tcPr>
            <w:tcW w:w="7260" w:type="dxa"/>
            <w:vAlign w:val="bottom"/>
            <w:gridSpan w:val="16"/>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Exhibits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20" w:type="dxa"/>
            <w:vAlign w:val="bottom"/>
            <w:gridSpan w:val="1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8"/>
                <w:szCs w:val="18"/>
                <w:color w:val="0000EE"/>
                <w:w w:val="83"/>
              </w:rPr>
            </w:pPr>
            <w:hyperlink w:anchor="page89">
              <w:r>
                <w:rPr>
                  <w:rFonts w:ascii="Arial" w:cs="Arial" w:eastAsia="Arial" w:hAnsi="Arial"/>
                  <w:sz w:val="18"/>
                  <w:szCs w:val="18"/>
                  <w:color w:val="0000EE"/>
                  <w:w w:val="83"/>
                </w:rPr>
                <w:t>Signatures</w:t>
              </w:r>
            </w:hyperlink>
          </w:p>
        </w:tc>
        <w:tc>
          <w:tcPr>
            <w:tcW w:w="6520" w:type="dxa"/>
            <w:vAlign w:val="bottom"/>
            <w:gridSpan w:val="13"/>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PART I:</w:t>
        <w:tab/>
        <w:t>FINANCIAL INFORMATION</w:t>
      </w: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number of shares and par value)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September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22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r>
      <w:tr>
        <w:trPr>
          <w:trHeight w:val="142"/>
        </w:trPr>
        <w:tc>
          <w:tcPr>
            <w:tcW w:w="22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1,112,179</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899,509</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Marketable securities—available-for-sale</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263,134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270,136</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247,736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266,299</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Inventory</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5,993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6,482</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71,317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62,428</w:t>
            </w:r>
          </w:p>
        </w:tc>
        <w:tc>
          <w:tcPr>
            <w:tcW w:w="180" w:type="dxa"/>
            <w:vAlign w:val="bottom"/>
            <w:shd w:val="clear" w:color="auto" w:fill="CCEEFF"/>
          </w:tcPr>
          <w:p>
            <w:pPr>
              <w:spacing w:after="0"/>
              <w:rPr>
                <w:sz w:val="18"/>
                <w:szCs w:val="18"/>
                <w:color w:val="auto"/>
              </w:rPr>
            </w:pPr>
          </w:p>
        </w:tc>
      </w:tr>
      <w:tr>
        <w:trPr>
          <w:trHeight w:val="210"/>
        </w:trPr>
        <w:tc>
          <w:tcPr>
            <w:tcW w:w="6600" w:type="dxa"/>
            <w:vAlign w:val="bottom"/>
            <w:gridSpan w:val="2"/>
          </w:tcPr>
          <w:p>
            <w:pPr>
              <w:ind w:left="32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1,700,359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1,504,854</w:t>
            </w:r>
          </w:p>
        </w:tc>
        <w:tc>
          <w:tcPr>
            <w:tcW w:w="18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925</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investments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121,381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134,356</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5,425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7,966</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300,767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259,763</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Other intangible assets, net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220,748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236,901</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155,593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155,593</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assets, net</w:t>
            </w: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w:t>
            </w:r>
          </w:p>
        </w:tc>
        <w:tc>
          <w:tcPr>
            <w:tcW w:w="180" w:type="dxa"/>
            <w:vAlign w:val="bottom"/>
            <w:tcBorders>
              <w:bottom w:val="single" w:sz="8" w:color="CCEEFF"/>
            </w:tcBorders>
          </w:tcPr>
          <w:p>
            <w:pPr>
              <w:spacing w:after="0"/>
              <w:rPr>
                <w:sz w:val="18"/>
                <w:szCs w:val="18"/>
                <w:color w:val="auto"/>
              </w:rPr>
            </w:pPr>
          </w:p>
        </w:tc>
      </w:tr>
      <w:tr>
        <w:trPr>
          <w:trHeight w:val="217"/>
        </w:trPr>
        <w:tc>
          <w:tcPr>
            <w:tcW w:w="66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2,519,947</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2,302,582</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95,478</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67,671</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Accrued compensation</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58,027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74,550</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payable</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Accrued and other current liabilities</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231,571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198,901</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Convertible senior notes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Acquisition-related contingent consideration</w:t>
            </w: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26,848</w:t>
            </w:r>
          </w:p>
        </w:tc>
        <w:tc>
          <w:tcPr>
            <w:tcW w:w="180" w:type="dxa"/>
            <w:vAlign w:val="bottom"/>
            <w:tcBorders>
              <w:bottom w:val="single" w:sz="8" w:color="CCEEFF"/>
            </w:tcBorders>
          </w:tcPr>
          <w:p>
            <w:pPr>
              <w:spacing w:after="0"/>
              <w:rPr>
                <w:sz w:val="18"/>
                <w:szCs w:val="18"/>
                <w:color w:val="auto"/>
              </w:rPr>
            </w:pPr>
          </w:p>
        </w:tc>
      </w:tr>
      <w:tr>
        <w:trPr>
          <w:trHeight w:val="210"/>
        </w:trPr>
        <w:tc>
          <w:tcPr>
            <w:tcW w:w="6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422,489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375,396</w:t>
            </w:r>
          </w:p>
        </w:tc>
        <w:tc>
          <w:tcPr>
            <w:tcW w:w="180" w:type="dxa"/>
            <w:vAlign w:val="bottom"/>
            <w:shd w:val="clear" w:color="auto" w:fill="CCEEFF"/>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16,608</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Acquisition-related contingent consideration</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256,335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260,152</w:t>
            </w:r>
          </w:p>
        </w:tc>
        <w:tc>
          <w:tcPr>
            <w:tcW w:w="18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19,797</w:t>
            </w:r>
          </w:p>
        </w:tc>
        <w:tc>
          <w:tcPr>
            <w:tcW w:w="180" w:type="dxa"/>
            <w:vAlign w:val="bottom"/>
            <w:shd w:val="clear" w:color="auto" w:fill="CCEEFF"/>
          </w:tcPr>
          <w:p>
            <w:pPr>
              <w:spacing w:after="0"/>
              <w:rPr>
                <w:sz w:val="18"/>
                <w:szCs w:val="18"/>
                <w:color w:val="auto"/>
              </w:rPr>
            </w:pPr>
          </w:p>
        </w:tc>
      </w:tr>
      <w:tr>
        <w:trPr>
          <w:trHeight w:val="210"/>
        </w:trPr>
        <w:tc>
          <w:tcPr>
            <w:tcW w:w="660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717,048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671,953</w:t>
            </w:r>
          </w:p>
        </w:tc>
        <w:tc>
          <w:tcPr>
            <w:tcW w:w="180" w:type="dxa"/>
            <w:vAlign w:val="bottom"/>
            <w:tcBorders>
              <w:bottom w:val="single" w:sz="8" w:color="CCEEFF"/>
            </w:tcBorders>
          </w:tcPr>
          <w:p>
            <w:pPr>
              <w:spacing w:after="0"/>
              <w:rPr>
                <w:sz w:val="18"/>
                <w:szCs w:val="18"/>
                <w:color w:val="auto"/>
              </w:rPr>
            </w:pPr>
          </w:p>
        </w:tc>
      </w:tr>
      <w:tr>
        <w:trPr>
          <w:trHeight w:val="210"/>
        </w:trPr>
        <w:tc>
          <w:tcPr>
            <w:tcW w:w="22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2"/>
        </w:trPr>
        <w:tc>
          <w:tcPr>
            <w:tcW w:w="66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Preferred stock, $0.001 par value; 5,000,000 shares authorized; none issued or</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outstanding as of September 30, 2018 and December 31, 2017</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660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5"/>
              </w:rPr>
              <w:t>Common stock, $0.001 par value; 400,000,000 shares authorized; 212,754,024 and</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211,262,906 shares issued and outstanding as of September 30, 2018 and</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December 31, 2017, respectively</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20"/>
                <w:szCs w:val="20"/>
                <w:color w:val="auto"/>
              </w:rPr>
            </w:pPr>
          </w:p>
        </w:tc>
      </w:tr>
      <w:tr>
        <w:trPr>
          <w:trHeight w:val="216"/>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3,759,030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3,627,433</w:t>
            </w:r>
          </w:p>
        </w:tc>
        <w:tc>
          <w:tcPr>
            <w:tcW w:w="18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(9,522)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(7,010)</w:t>
            </w:r>
          </w:p>
        </w:tc>
      </w:tr>
      <w:tr>
        <w:trPr>
          <w:trHeight w:val="216"/>
        </w:trPr>
        <w:tc>
          <w:tcPr>
            <w:tcW w:w="6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(1,946,822)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(1,990,005)</w:t>
            </w:r>
          </w:p>
        </w:tc>
        <w:tc>
          <w:tcPr>
            <w:tcW w:w="180" w:type="dxa"/>
            <w:vAlign w:val="bottom"/>
            <w:shd w:val="clear" w:color="auto" w:fill="CCEEFF"/>
          </w:tcPr>
          <w:p>
            <w:pPr>
              <w:spacing w:after="0"/>
              <w:rPr>
                <w:sz w:val="18"/>
                <w:szCs w:val="18"/>
                <w:color w:val="auto"/>
              </w:rPr>
            </w:pPr>
          </w:p>
        </w:tc>
      </w:tr>
      <w:tr>
        <w:trPr>
          <w:trHeight w:val="210"/>
        </w:trPr>
        <w:tc>
          <w:tcPr>
            <w:tcW w:w="660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1,802,899</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1,630,629</w:t>
            </w:r>
          </w:p>
        </w:tc>
        <w:tc>
          <w:tcPr>
            <w:tcW w:w="180" w:type="dxa"/>
            <w:vAlign w:val="bottom"/>
            <w:tcBorders>
              <w:bottom w:val="single" w:sz="8" w:color="CCEEFF"/>
            </w:tcBorders>
          </w:tcPr>
          <w:p>
            <w:pPr>
              <w:spacing w:after="0"/>
              <w:rPr>
                <w:sz w:val="18"/>
                <w:szCs w:val="18"/>
                <w:color w:val="auto"/>
              </w:rPr>
            </w:pPr>
          </w:p>
        </w:tc>
      </w:tr>
      <w:tr>
        <w:trPr>
          <w:trHeight w:val="217"/>
        </w:trPr>
        <w:tc>
          <w:tcPr>
            <w:tcW w:w="66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2,519,947</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2,302,582</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3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85" w:lineRule="exact"/>
        <w:rPr>
          <w:sz w:val="20"/>
          <w:szCs w:val="20"/>
          <w:color w:val="auto"/>
        </w:rPr>
      </w:pPr>
    </w:p>
    <w:p>
      <w:pPr>
        <w:ind w:left="200" w:hanging="197"/>
        <w:spacing w:after="0"/>
        <w:tabs>
          <w:tab w:leader="none" w:pos="2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condensed consolidated balance sheet at December 31, 2017 has been derived from the audited financial statements at that date.</w:t>
      </w:r>
    </w:p>
    <w:p>
      <w:pPr>
        <w:spacing w:after="0" w:line="42" w:lineRule="exact"/>
        <w:rPr>
          <w:rFonts w:ascii="Arial" w:cs="Arial" w:eastAsia="Arial" w:hAnsi="Arial"/>
          <w:sz w:val="14"/>
          <w:szCs w:val="14"/>
          <w:color w:val="auto"/>
        </w:rPr>
      </w:pPr>
    </w:p>
    <w:p>
      <w:pPr>
        <w:ind w:left="3720"/>
        <w:spacing w:after="0" w:line="230" w:lineRule="auto"/>
        <w:rPr>
          <w:rFonts w:ascii="Arial" w:cs="Arial" w:eastAsia="Arial" w:hAnsi="Arial"/>
          <w:sz w:val="14"/>
          <w:szCs w:val="14"/>
          <w:color w:val="auto"/>
        </w:rPr>
      </w:pPr>
      <w:r>
        <w:rPr>
          <w:rFonts w:ascii="Arial" w:cs="Arial" w:eastAsia="Arial" w:hAnsi="Arial"/>
          <w:sz w:val="16"/>
          <w:szCs w:val="16"/>
          <w:color w:val="auto"/>
        </w:rPr>
        <w:t>See accompanying notes</w:t>
      </w:r>
      <w:r>
        <w:rPr>
          <w:rFonts w:ascii="Arial" w:cs="Arial" w:eastAsia="Arial" w:hAnsi="Arial"/>
          <w:sz w:val="18"/>
          <w:szCs w:val="18"/>
          <w:color w:val="auto"/>
        </w:rPr>
        <w: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9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9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9"/>
              </w:rPr>
              <w:t>September 30,</w:t>
            </w:r>
          </w:p>
        </w:tc>
      </w:tr>
      <w:tr>
        <w:trPr>
          <w:trHeight w:val="142"/>
        </w:trPr>
        <w:tc>
          <w:tcPr>
            <w:tcW w:w="50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Product revenues,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367,715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322,029</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1,067,744</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878,503</w:t>
            </w:r>
          </w:p>
        </w:tc>
        <w:tc>
          <w:tcPr>
            <w:tcW w:w="60" w:type="dxa"/>
            <w:vAlign w:val="bottom"/>
          </w:tcPr>
          <w:p>
            <w:pPr>
              <w:spacing w:after="0"/>
              <w:rPr>
                <w:sz w:val="18"/>
                <w:szCs w:val="18"/>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royalty revenues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165,592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108,477</w:t>
            </w:r>
          </w:p>
        </w:tc>
        <w:tc>
          <w:tcPr>
            <w:tcW w:w="60" w:type="dxa"/>
            <w:vAlign w:val="bottom"/>
            <w:shd w:val="clear" w:color="auto" w:fill="CCEEFF"/>
          </w:tcPr>
          <w:p>
            <w:pPr>
              <w:spacing w:after="0"/>
              <w:rPr>
                <w:sz w:val="18"/>
                <w:szCs w:val="18"/>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Milestone revenues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105,000</w:t>
            </w:r>
          </w:p>
        </w:tc>
        <w:tc>
          <w:tcPr>
            <w:tcW w:w="60" w:type="dxa"/>
            <w:vAlign w:val="bottom"/>
          </w:tcPr>
          <w:p>
            <w:pPr>
              <w:spacing w:after="0"/>
              <w:rPr>
                <w:sz w:val="18"/>
                <w:szCs w:val="18"/>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revenues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r>
      <w:tr>
        <w:trPr>
          <w:trHeight w:val="210"/>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449,683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381,534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1,353,481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1,092,060</w:t>
            </w:r>
          </w:p>
        </w:tc>
        <w:tc>
          <w:tcPr>
            <w:tcW w:w="60" w:type="dxa"/>
            <w:vAlign w:val="bottom"/>
            <w:shd w:val="clear" w:color="auto" w:fill="CCEEFF"/>
          </w:tcPr>
          <w:p>
            <w:pPr>
              <w:spacing w:after="0"/>
              <w:rPr>
                <w:sz w:val="18"/>
                <w:szCs w:val="18"/>
                <w:color w:val="auto"/>
              </w:rPr>
            </w:pPr>
          </w:p>
        </w:tc>
      </w:tr>
      <w:tr>
        <w:trPr>
          <w:trHeight w:val="210"/>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2"/>
        </w:trPr>
        <w:tc>
          <w:tcPr>
            <w:tcW w:w="5080" w:type="dxa"/>
            <w:vAlign w:val="bottom"/>
          </w:tcPr>
          <w:p>
            <w:pPr>
              <w:ind w:left="220"/>
              <w:spacing w:after="0" w:line="201" w:lineRule="exact"/>
              <w:rPr>
                <w:sz w:val="20"/>
                <w:szCs w:val="20"/>
                <w:color w:val="auto"/>
              </w:rPr>
            </w:pPr>
            <w:r>
              <w:rPr>
                <w:rFonts w:ascii="Arial" w:cs="Arial" w:eastAsia="Arial" w:hAnsi="Arial"/>
                <w:sz w:val="18"/>
                <w:szCs w:val="18"/>
                <w:color w:val="auto"/>
              </w:rPr>
              <w:t>Cost of product revenues (including definite-lived intangible</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24,795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22,036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67,757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57,120</w:t>
            </w:r>
          </w:p>
        </w:tc>
        <w:tc>
          <w:tcPr>
            <w:tcW w:w="60" w:type="dxa"/>
            <w:vAlign w:val="bottom"/>
          </w:tcPr>
          <w:p>
            <w:pPr>
              <w:spacing w:after="0"/>
              <w:rPr>
                <w:sz w:val="20"/>
                <w:szCs w:val="20"/>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292,527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269,557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893,719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879,263</w:t>
            </w:r>
          </w:p>
        </w:tc>
        <w:tc>
          <w:tcPr>
            <w:tcW w:w="60" w:type="dxa"/>
            <w:vAlign w:val="bottom"/>
            <w:shd w:val="clear" w:color="auto" w:fill="CCEEFF"/>
          </w:tcPr>
          <w:p>
            <w:pPr>
              <w:spacing w:after="0"/>
              <w:rPr>
                <w:sz w:val="18"/>
                <w:szCs w:val="18"/>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96,522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91,265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326,049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268,560</w:t>
            </w:r>
          </w:p>
        </w:tc>
        <w:tc>
          <w:tcPr>
            <w:tcW w:w="60" w:type="dxa"/>
            <w:vAlign w:val="bottom"/>
          </w:tcPr>
          <w:p>
            <w:pPr>
              <w:spacing w:after="0"/>
              <w:rPr>
                <w:sz w:val="18"/>
                <w:szCs w:val="18"/>
                <w:color w:val="auto"/>
              </w:rPr>
            </w:pPr>
          </w:p>
        </w:tc>
      </w:tr>
      <w:tr>
        <w:trPr>
          <w:trHeight w:val="202"/>
        </w:trPr>
        <w:tc>
          <w:tcPr>
            <w:tcW w:w="50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Change in fair value of acquisition-related contingent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consideration</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(16,343)</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18,708</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(1,914)</w:t>
            </w:r>
          </w:p>
        </w:tc>
      </w:tr>
      <w:tr>
        <w:trPr>
          <w:trHeight w:val="210"/>
        </w:trPr>
        <w:tc>
          <w:tcPr>
            <w:tcW w:w="50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418,564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366,515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1,306,233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1,203,029</w:t>
            </w:r>
          </w:p>
        </w:tc>
        <w:tc>
          <w:tcPr>
            <w:tcW w:w="60" w:type="dxa"/>
            <w:vAlign w:val="bottom"/>
            <w:shd w:val="clear" w:color="auto" w:fill="CCEEFF"/>
          </w:tcPr>
          <w:p>
            <w:pPr>
              <w:spacing w:after="0"/>
              <w:rPr>
                <w:sz w:val="18"/>
                <w:szCs w:val="18"/>
                <w:color w:val="auto"/>
              </w:rPr>
            </w:pPr>
          </w:p>
        </w:tc>
      </w:tr>
      <w:tr>
        <w:trPr>
          <w:trHeight w:val="210"/>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(110,969)</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20,481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10,707</w:t>
            </w:r>
          </w:p>
        </w:tc>
        <w:tc>
          <w:tcPr>
            <w:tcW w:w="6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(6,527)</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Unrealized gain (loss) on long term investments</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(9,949)</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23,045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(21,911)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(2,343)</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Expense related to senior note conversions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(54,881)</w:t>
            </w:r>
          </w:p>
        </w:tc>
      </w:tr>
      <w:tr>
        <w:trPr>
          <w:trHeight w:val="210"/>
        </w:trPr>
        <w:tc>
          <w:tcPr>
            <w:tcW w:w="50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before provision (benefit) for income taxes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(164,013)</w:t>
            </w: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r>
      <w:tr>
        <w:trPr>
          <w:trHeight w:val="210"/>
        </w:trPr>
        <w:tc>
          <w:tcPr>
            <w:tcW w:w="50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40,430</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(163,513)</w:t>
            </w:r>
          </w:p>
        </w:tc>
      </w:tr>
      <w:tr>
        <w:trPr>
          <w:trHeight w:val="216"/>
        </w:trPr>
        <w:tc>
          <w:tcPr>
            <w:tcW w:w="50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0.19</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(0.81)</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(0.81)</w:t>
            </w: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income (loss) per share: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212,627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206,796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212,172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202,399</w:t>
            </w:r>
          </w:p>
        </w:tc>
        <w:tc>
          <w:tcPr>
            <w:tcW w:w="6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215,964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212,610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215,516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202,399</w:t>
            </w:r>
          </w:p>
        </w:tc>
        <w:tc>
          <w:tcPr>
            <w:tcW w:w="6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COMPREHENSIVE INCOME (LOSS)</w:t>
      </w:r>
    </w:p>
    <w:p>
      <w:pPr>
        <w:jc w:val="center"/>
        <w:spacing w:after="0" w:line="204" w:lineRule="auto"/>
        <w:rPr>
          <w:sz w:val="20"/>
          <w:szCs w:val="20"/>
          <w:color w:val="auto"/>
        </w:rPr>
      </w:pPr>
      <w:r>
        <w:rPr>
          <w:rFonts w:ascii="Arial" w:cs="Arial" w:eastAsia="Arial" w:hAnsi="Arial"/>
          <w:sz w:val="18"/>
          <w:szCs w:val="18"/>
          <w:b w:val="1"/>
          <w:bCs w:val="1"/>
          <w:color w:val="auto"/>
        </w:rPr>
        <w:t>(in thousands)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7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7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460" w:type="dxa"/>
            <w:vAlign w:val="bottom"/>
          </w:tcPr>
          <w:p>
            <w:pPr>
              <w:spacing w:after="0"/>
              <w:rPr>
                <w:sz w:val="14"/>
                <w:szCs w:val="14"/>
                <w:color w:val="auto"/>
              </w:rPr>
            </w:pPr>
          </w:p>
        </w:tc>
        <w:tc>
          <w:tcPr>
            <w:tcW w:w="17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4"/>
                <w:szCs w:val="14"/>
                <w:color w:val="auto"/>
              </w:rPr>
            </w:pPr>
          </w:p>
        </w:tc>
        <w:tc>
          <w:tcPr>
            <w:tcW w:w="17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5460" w:type="dxa"/>
            <w:vAlign w:val="bottom"/>
          </w:tcPr>
          <w:p>
            <w:pPr>
              <w:spacing w:after="0"/>
              <w:rPr>
                <w:sz w:val="12"/>
                <w:szCs w:val="12"/>
                <w:color w:val="auto"/>
              </w:rPr>
            </w:pPr>
          </w:p>
        </w:tc>
        <w:tc>
          <w:tcPr>
            <w:tcW w:w="72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$ 29,176</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$ 36,054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40,430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(163,513)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Foreign currency translation</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(loss) on marketable securities, net of tax</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Unrealized gain on long term investment, net of tax (Note 2)</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15,484</w:t>
            </w: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Defined benefit pension obligations, net of tax</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r>
      <w:tr>
        <w:trPr>
          <w:trHeight w:val="210"/>
        </w:trPr>
        <w:tc>
          <w:tcPr>
            <w:tcW w:w="5460" w:type="dxa"/>
            <w:vAlign w:val="bottom"/>
          </w:tcPr>
          <w:p>
            <w:pPr>
              <w:ind w:left="220"/>
              <w:spacing w:after="0"/>
              <w:rPr>
                <w:sz w:val="20"/>
                <w:szCs w:val="20"/>
                <w:color w:val="auto"/>
              </w:rPr>
            </w:pPr>
            <w:r>
              <w:rPr>
                <w:rFonts w:ascii="Arial" w:cs="Arial" w:eastAsia="Arial" w:hAnsi="Arial"/>
                <w:sz w:val="18"/>
                <w:szCs w:val="18"/>
                <w:color w:val="auto"/>
              </w:rPr>
              <w:t>Other comprehensive income</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15,398</w:t>
            </w: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720" w:type="dxa"/>
            <w:vAlign w:val="bottom"/>
          </w:tcPr>
          <w:p>
            <w:pPr>
              <w:jc w:val="right"/>
              <w:spacing w:after="0"/>
              <w:rPr>
                <w:sz w:val="20"/>
                <w:szCs w:val="20"/>
                <w:color w:val="auto"/>
              </w:rPr>
            </w:pPr>
            <w:r>
              <w:rPr>
                <w:rFonts w:ascii="Arial" w:cs="Arial" w:eastAsia="Arial" w:hAnsi="Arial"/>
                <w:sz w:val="18"/>
                <w:szCs w:val="18"/>
                <w:color w:val="auto"/>
                <w:w w:val="91"/>
              </w:rPr>
              <w:t>$ 29,463</w:t>
            </w:r>
          </w:p>
        </w:tc>
        <w:tc>
          <w:tcPr>
            <w:tcW w:w="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$ 37,598</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40,671</w:t>
            </w: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(148,115)</w:t>
            </w:r>
          </w:p>
        </w:tc>
      </w:tr>
      <w:tr>
        <w:trPr>
          <w:trHeight w:val="378"/>
        </w:trPr>
        <w:tc>
          <w:tcPr>
            <w:tcW w:w="5460" w:type="dxa"/>
            <w:vAlign w:val="bottom"/>
          </w:tcPr>
          <w:p>
            <w:pPr>
              <w:ind w:left="3620"/>
              <w:spacing w:after="0"/>
              <w:rPr>
                <w:sz w:val="20"/>
                <w:szCs w:val="20"/>
                <w:color w:val="auto"/>
              </w:rPr>
            </w:pPr>
            <w:r>
              <w:rPr>
                <w:rFonts w:ascii="Arial" w:cs="Arial" w:eastAsia="Arial" w:hAnsi="Arial"/>
                <w:sz w:val="18"/>
                <w:szCs w:val="18"/>
                <w:color w:val="auto"/>
                <w:w w:val="87"/>
              </w:rPr>
              <w:t>See accompanying notes.</w:t>
            </w:r>
          </w:p>
        </w:tc>
        <w:tc>
          <w:tcPr>
            <w:tcW w:w="7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621"/>
        </w:trPr>
        <w:tc>
          <w:tcPr>
            <w:tcW w:w="5460" w:type="dxa"/>
            <w:vAlign w:val="bottom"/>
          </w:tcPr>
          <w:p>
            <w:pPr>
              <w:ind w:left="4480"/>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54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04" w:lineRule="auto"/>
        <w:rPr>
          <w:sz w:val="20"/>
          <w:szCs w:val="20"/>
          <w:color w:val="auto"/>
        </w:rPr>
      </w:pPr>
      <w:r>
        <w:rPr>
          <w:rFonts w:ascii="Arial" w:cs="Arial" w:eastAsia="Arial" w:hAnsi="Arial"/>
          <w:sz w:val="18"/>
          <w:szCs w:val="18"/>
          <w:b w:val="1"/>
          <w:bCs w:val="1"/>
          <w:color w:val="auto"/>
        </w:rPr>
        <w:t>(in thousands)</w:t>
      </w:r>
    </w:p>
    <w:p>
      <w:pPr>
        <w:jc w:val="center"/>
        <w:spacing w:after="0" w:line="225" w:lineRule="auto"/>
        <w:rPr>
          <w:sz w:val="20"/>
          <w:szCs w:val="20"/>
          <w:color w:val="auto"/>
        </w:rPr>
      </w:pPr>
      <w:r>
        <w:rPr>
          <w:rFonts w:ascii="Arial" w:cs="Arial" w:eastAsia="Arial" w:hAnsi="Arial"/>
          <w:sz w:val="18"/>
          <w:szCs w:val="18"/>
          <w:b w:val="1"/>
          <w:bCs w:val="1"/>
          <w:color w:val="auto"/>
        </w:rPr>
        <w:t>(unaudited)</w:t>
      </w:r>
    </w:p>
    <w:p>
      <w:pPr>
        <w:jc w:val="center"/>
        <w:ind w:left="6920"/>
        <w:spacing w:after="0" w:line="221" w:lineRule="auto"/>
        <w:rPr>
          <w:sz w:val="20"/>
          <w:szCs w:val="20"/>
          <w:color w:val="auto"/>
        </w:rPr>
      </w:pPr>
      <w:r>
        <w:rPr>
          <w:rFonts w:ascii="Arial" w:cs="Arial" w:eastAsia="Arial" w:hAnsi="Arial"/>
          <w:sz w:val="14"/>
          <w:szCs w:val="14"/>
          <w:b w:val="1"/>
          <w:bCs w:val="1"/>
          <w:color w:val="auto"/>
        </w:rPr>
        <w:t>Nine Months Ended</w:t>
      </w:r>
    </w:p>
    <w:p>
      <w:pPr>
        <w:jc w:val="center"/>
        <w:ind w:left="6920"/>
        <w:spacing w:after="0" w:line="232"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69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40,430</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(163,513)</w:t>
            </w:r>
          </w:p>
        </w:tc>
      </w:tr>
      <w:tr>
        <w:trPr>
          <w:trHeight w:val="202"/>
        </w:trPr>
        <w:tc>
          <w:tcPr>
            <w:tcW w:w="6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income (loss) to net cash provided by (used in) operating</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69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40,743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39,319</w:t>
            </w:r>
          </w:p>
        </w:tc>
        <w:tc>
          <w:tcPr>
            <w:tcW w:w="60" w:type="dxa"/>
            <w:vAlign w:val="bottom"/>
          </w:tcPr>
          <w:p>
            <w:pPr>
              <w:spacing w:after="0"/>
              <w:rPr>
                <w:sz w:val="18"/>
                <w:szCs w:val="18"/>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In-process research and development impairment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60" w:type="dxa"/>
            <w:vAlign w:val="bottom"/>
            <w:shd w:val="clear" w:color="auto" w:fill="CCEEFF"/>
          </w:tcPr>
          <w:p>
            <w:pPr>
              <w:spacing w:after="0"/>
              <w:rPr>
                <w:sz w:val="18"/>
                <w:szCs w:val="18"/>
                <w:color w:val="auto"/>
              </w:rPr>
            </w:pPr>
          </w:p>
        </w:tc>
      </w:tr>
      <w:tr>
        <w:trPr>
          <w:trHeight w:val="216"/>
        </w:trPr>
        <w:tc>
          <w:tcPr>
            <w:tcW w:w="698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110,830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99,287</w:t>
            </w:r>
          </w:p>
        </w:tc>
        <w:tc>
          <w:tcPr>
            <w:tcW w:w="60" w:type="dxa"/>
            <w:vAlign w:val="bottom"/>
          </w:tcPr>
          <w:p>
            <w:pPr>
              <w:spacing w:after="0"/>
              <w:rPr>
                <w:sz w:val="18"/>
                <w:szCs w:val="18"/>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 related to senior note conversions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54,881</w:t>
            </w:r>
          </w:p>
        </w:tc>
        <w:tc>
          <w:tcPr>
            <w:tcW w:w="60" w:type="dxa"/>
            <w:vAlign w:val="bottom"/>
            <w:shd w:val="clear" w:color="auto" w:fill="CCEEFF"/>
          </w:tcPr>
          <w:p>
            <w:pPr>
              <w:spacing w:after="0"/>
              <w:rPr>
                <w:sz w:val="18"/>
                <w:szCs w:val="18"/>
                <w:color w:val="auto"/>
              </w:rPr>
            </w:pPr>
          </w:p>
        </w:tc>
      </w:tr>
      <w:tr>
        <w:trPr>
          <w:trHeight w:val="216"/>
        </w:trPr>
        <w:tc>
          <w:tcPr>
            <w:tcW w:w="698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8"/>
                <w:szCs w:val="18"/>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 on long term investments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60" w:type="dxa"/>
            <w:vAlign w:val="bottom"/>
            <w:shd w:val="clear" w:color="auto" w:fill="CCEEFF"/>
          </w:tcPr>
          <w:p>
            <w:pPr>
              <w:spacing w:after="0"/>
              <w:rPr>
                <w:sz w:val="18"/>
                <w:szCs w:val="18"/>
                <w:color w:val="auto"/>
              </w:rPr>
            </w:pPr>
          </w:p>
        </w:tc>
      </w:tr>
      <w:tr>
        <w:trPr>
          <w:trHeight w:val="216"/>
        </w:trPr>
        <w:tc>
          <w:tcPr>
            <w:tcW w:w="6980" w:type="dxa"/>
            <w:vAlign w:val="bottom"/>
          </w:tcPr>
          <w:p>
            <w:pPr>
              <w:ind w:left="220"/>
              <w:spacing w:after="0"/>
              <w:rPr>
                <w:sz w:val="20"/>
                <w:szCs w:val="20"/>
                <w:color w:val="auto"/>
              </w:rPr>
            </w:pPr>
            <w:r>
              <w:rPr>
                <w:rFonts w:ascii="Arial" w:cs="Arial" w:eastAsia="Arial" w:hAnsi="Arial"/>
                <w:sz w:val="18"/>
                <w:szCs w:val="18"/>
                <w:color w:val="auto"/>
              </w:rPr>
              <w:t>Change in fair value of acquisition-related contingent consideration</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18,708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(1,914)</w:t>
            </w: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98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18,563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(49,587)</w:t>
            </w:r>
          </w:p>
        </w:tc>
      </w:tr>
      <w:tr>
        <w:trPr>
          <w:trHeight w:val="216"/>
        </w:trPr>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(21,330)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(32,051)</w:t>
            </w:r>
          </w:p>
        </w:tc>
      </w:tr>
      <w:tr>
        <w:trPr>
          <w:trHeight w:val="216"/>
        </w:trPr>
        <w:tc>
          <w:tcPr>
            <w:tcW w:w="6980" w:type="dxa"/>
            <w:vAlign w:val="bottom"/>
          </w:tcPr>
          <w:p>
            <w:pPr>
              <w:ind w:left="32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3,030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4,741</w:t>
            </w:r>
          </w:p>
        </w:tc>
        <w:tc>
          <w:tcPr>
            <w:tcW w:w="60" w:type="dxa"/>
            <w:vAlign w:val="bottom"/>
          </w:tcPr>
          <w:p>
            <w:pPr>
              <w:spacing w:after="0"/>
              <w:rPr>
                <w:sz w:val="18"/>
                <w:szCs w:val="18"/>
                <w:color w:val="auto"/>
              </w:rPr>
            </w:pPr>
          </w:p>
        </w:tc>
      </w:tr>
      <w:tr>
        <w:trPr>
          <w:trHeight w:val="216"/>
        </w:trPr>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(5,666)</w:t>
            </w:r>
          </w:p>
        </w:tc>
      </w:tr>
      <w:tr>
        <w:trPr>
          <w:trHeight w:val="216"/>
        </w:trPr>
        <w:tc>
          <w:tcPr>
            <w:tcW w:w="6980" w:type="dxa"/>
            <w:vAlign w:val="bottom"/>
          </w:tcPr>
          <w:p>
            <w:pPr>
              <w:ind w:left="320"/>
              <w:spacing w:after="0"/>
              <w:rPr>
                <w:sz w:val="20"/>
                <w:szCs w:val="20"/>
                <w:color w:val="auto"/>
              </w:rPr>
            </w:pPr>
            <w:r>
              <w:rPr>
                <w:rFonts w:ascii="Arial" w:cs="Arial" w:eastAsia="Arial" w:hAnsi="Arial"/>
                <w:sz w:val="18"/>
                <w:szCs w:val="18"/>
                <w:color w:val="auto"/>
              </w:rPr>
              <w:t>Accrued and other liabilities</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(8,561)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36,223</w:t>
            </w:r>
          </w:p>
        </w:tc>
        <w:tc>
          <w:tcPr>
            <w:tcW w:w="60" w:type="dxa"/>
            <w:vAlign w:val="bottom"/>
          </w:tcPr>
          <w:p>
            <w:pPr>
              <w:spacing w:after="0"/>
              <w:rPr>
                <w:sz w:val="18"/>
                <w:szCs w:val="18"/>
                <w:color w:val="auto"/>
              </w:rPr>
            </w:pPr>
          </w:p>
        </w:tc>
      </w:tr>
      <w:tr>
        <w:trPr>
          <w:trHeight w:val="210"/>
        </w:trPr>
        <w:tc>
          <w:tcPr>
            <w:tcW w:w="69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252,389</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69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Purchase of long term investments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(123,891)</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(48,202)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(85,770)</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(104,228)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(131,919)</w:t>
            </w:r>
          </w:p>
        </w:tc>
      </w:tr>
      <w:tr>
        <w:trPr>
          <w:trHeight w:val="216"/>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Sale and maturities of marketable securities</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111,040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134,604</w:t>
            </w:r>
          </w:p>
        </w:tc>
        <w:tc>
          <w:tcPr>
            <w:tcW w:w="60" w:type="dxa"/>
            <w:vAlign w:val="bottom"/>
            <w:tcBorders>
              <w:bottom w:val="single" w:sz="8" w:color="CCEEFF"/>
            </w:tcBorders>
          </w:tcPr>
          <w:p>
            <w:pPr>
              <w:spacing w:after="0"/>
              <w:rPr>
                <w:sz w:val="18"/>
                <w:szCs w:val="18"/>
                <w:color w:val="auto"/>
              </w:rPr>
            </w:pPr>
          </w:p>
        </w:tc>
      </w:tr>
      <w:tr>
        <w:trPr>
          <w:trHeight w:val="210"/>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(50,326)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(206,976)</w:t>
            </w:r>
          </w:p>
        </w:tc>
        <w:tc>
          <w:tcPr>
            <w:tcW w:w="60" w:type="dxa"/>
            <w:vAlign w:val="bottom"/>
            <w:shd w:val="clear" w:color="auto" w:fill="CCEEFF"/>
          </w:tcPr>
          <w:p>
            <w:pPr>
              <w:spacing w:after="0"/>
              <w:rPr>
                <w:sz w:val="18"/>
                <w:szCs w:val="18"/>
                <w:color w:val="auto"/>
              </w:rPr>
            </w:pPr>
          </w:p>
        </w:tc>
      </w:tr>
      <w:tr>
        <w:trPr>
          <w:trHeight w:val="210"/>
        </w:trPr>
        <w:tc>
          <w:tcPr>
            <w:tcW w:w="69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under stock plans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58,554</w:t>
            </w:r>
          </w:p>
        </w:tc>
        <w:tc>
          <w:tcPr>
            <w:tcW w:w="6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Proceeds from issuance of common stock, net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649,387</w:t>
            </w:r>
          </w:p>
        </w:tc>
        <w:tc>
          <w:tcPr>
            <w:tcW w:w="6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paid in connection with senior note conversions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(8,934)</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Payment of contingent consideration</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(9,886)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(12,521)</w:t>
            </w:r>
          </w:p>
        </w:tc>
      </w:tr>
      <w:tr>
        <w:trPr>
          <w:trHeight w:val="210"/>
        </w:trPr>
        <w:tc>
          <w:tcPr>
            <w:tcW w:w="69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686,486</w:t>
            </w: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698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cash equivalents, restricted cash and investments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212,754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475,743</w:t>
            </w:r>
          </w:p>
        </w:tc>
        <w:tc>
          <w:tcPr>
            <w:tcW w:w="60" w:type="dxa"/>
            <w:vAlign w:val="bottom"/>
            <w:shd w:val="clear" w:color="auto" w:fill="CCEEFF"/>
          </w:tcPr>
          <w:p>
            <w:pPr>
              <w:spacing w:after="0"/>
              <w:rPr>
                <w:sz w:val="18"/>
                <w:szCs w:val="18"/>
                <w:color w:val="auto"/>
              </w:rPr>
            </w:pPr>
          </w:p>
        </w:tc>
      </w:tr>
      <w:tr>
        <w:trPr>
          <w:trHeight w:val="216"/>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restricted cash and investments at beginning of period</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900,434</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653,229</w:t>
            </w:r>
          </w:p>
        </w:tc>
        <w:tc>
          <w:tcPr>
            <w:tcW w:w="60" w:type="dxa"/>
            <w:vAlign w:val="bottom"/>
            <w:tcBorders>
              <w:bottom w:val="single" w:sz="8" w:color="CCEEFF"/>
            </w:tcBorders>
          </w:tcPr>
          <w:p>
            <w:pPr>
              <w:spacing w:after="0"/>
              <w:rPr>
                <w:sz w:val="18"/>
                <w:szCs w:val="18"/>
                <w:color w:val="auto"/>
              </w:rPr>
            </w:pPr>
          </w:p>
        </w:tc>
      </w:tr>
      <w:tr>
        <w:trPr>
          <w:trHeight w:val="230"/>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restricted cash and investments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1,113,188</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1,128,972</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3"/>
        </w:trPr>
        <w:tc>
          <w:tcPr>
            <w:tcW w:w="6980" w:type="dxa"/>
            <w:vAlign w:val="bottom"/>
          </w:tcPr>
          <w:p>
            <w:pPr>
              <w:spacing w:after="0" w:line="203" w:lineRule="exact"/>
              <w:rPr>
                <w:sz w:val="20"/>
                <w:szCs w:val="20"/>
                <w:color w:val="auto"/>
              </w:rPr>
            </w:pPr>
            <w:r>
              <w:rPr>
                <w:rFonts w:ascii="Arial" w:cs="Arial" w:eastAsia="Arial" w:hAnsi="Arial"/>
                <w:sz w:val="18"/>
                <w:szCs w:val="18"/>
                <w:b w:val="1"/>
                <w:bCs w:val="1"/>
                <w:color w:val="auto"/>
              </w:rPr>
              <w:t>Supplemental Schedule of Cash Flow Information</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Income taxes paid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2,932</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6,187</w:t>
            </w:r>
          </w:p>
        </w:tc>
        <w:tc>
          <w:tcPr>
            <w:tcW w:w="60" w:type="dxa"/>
            <w:vAlign w:val="bottom"/>
          </w:tcPr>
          <w:p>
            <w:pPr>
              <w:spacing w:after="0"/>
              <w:rPr>
                <w:sz w:val="18"/>
                <w:szCs w:val="18"/>
                <w:color w:val="auto"/>
              </w:rPr>
            </w:pPr>
          </w:p>
        </w:tc>
      </w:tr>
      <w:tr>
        <w:trPr>
          <w:trHeight w:val="202"/>
        </w:trPr>
        <w:tc>
          <w:tcPr>
            <w:tcW w:w="6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Reclassification to common stock and additional paid in capital in connection with</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conversions of 0.375% convertible senior notes due 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351,041</w:t>
            </w:r>
          </w:p>
        </w:tc>
        <w:tc>
          <w:tcPr>
            <w:tcW w:w="60" w:type="dxa"/>
            <w:vAlign w:val="bottom"/>
            <w:shd w:val="clear" w:color="auto" w:fill="CCEEFF"/>
          </w:tcPr>
          <w:p>
            <w:pPr>
              <w:spacing w:after="0"/>
              <w:rPr>
                <w:sz w:val="20"/>
                <w:szCs w:val="20"/>
                <w:color w:val="auto"/>
              </w:rPr>
            </w:pPr>
          </w:p>
        </w:tc>
      </w:tr>
      <w:tr>
        <w:trPr>
          <w:trHeight w:val="202"/>
        </w:trPr>
        <w:tc>
          <w:tcPr>
            <w:tcW w:w="6980" w:type="dxa"/>
            <w:vAlign w:val="bottom"/>
          </w:tcPr>
          <w:p>
            <w:pPr>
              <w:spacing w:after="0" w:line="201" w:lineRule="exact"/>
              <w:rPr>
                <w:sz w:val="20"/>
                <w:szCs w:val="20"/>
                <w:color w:val="auto"/>
              </w:rPr>
            </w:pPr>
            <w:r>
              <w:rPr>
                <w:rFonts w:ascii="Arial" w:cs="Arial" w:eastAsia="Arial" w:hAnsi="Arial"/>
                <w:sz w:val="18"/>
                <w:szCs w:val="18"/>
                <w:color w:val="auto"/>
              </w:rPr>
              <w:t>Reclassification to common stock and additional paid in capital in connection with</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conversions of 1.25% convertible senior notes due 2020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330,011</w:t>
            </w:r>
          </w:p>
        </w:tc>
        <w:tc>
          <w:tcPr>
            <w:tcW w:w="60" w:type="dxa"/>
            <w:vAlign w:val="bottom"/>
          </w:tcPr>
          <w:p>
            <w:pPr>
              <w:spacing w:after="0"/>
              <w:rPr>
                <w:sz w:val="20"/>
                <w:szCs w:val="20"/>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Unpaid purchases of property and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10,774</w:t>
            </w:r>
          </w:p>
        </w:tc>
        <w:tc>
          <w:tcPr>
            <w:tcW w:w="6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jc w:val="center"/>
        <w:spacing w:after="0" w:line="203" w:lineRule="auto"/>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line="204" w:lineRule="auto"/>
        <w:rPr>
          <w:sz w:val="20"/>
          <w:szCs w:val="20"/>
          <w:color w:val="auto"/>
        </w:rPr>
      </w:pPr>
      <w:r>
        <w:rPr>
          <w:rFonts w:ascii="Arial" w:cs="Arial" w:eastAsia="Arial" w:hAnsi="Arial"/>
          <w:sz w:val="18"/>
          <w:szCs w:val="18"/>
          <w:b w:val="1"/>
          <w:bCs w:val="1"/>
          <w:color w:val="auto"/>
        </w:rPr>
        <w:t>September 30, 2018</w:t>
      </w:r>
    </w:p>
    <w:p>
      <w:pPr>
        <w:jc w:val="center"/>
        <w:spacing w:after="0"/>
        <w:rPr>
          <w:sz w:val="20"/>
          <w:szCs w:val="20"/>
          <w:color w:val="auto"/>
        </w:rPr>
      </w:pPr>
      <w:r>
        <w:rPr>
          <w:rFonts w:ascii="Arial" w:cs="Arial" w:eastAsia="Arial" w:hAnsi="Arial"/>
          <w:sz w:val="18"/>
          <w:szCs w:val="18"/>
          <w:color w:val="auto"/>
        </w:rPr>
        <w:t>(Unaudited)</w:t>
      </w:r>
    </w:p>
    <w:p>
      <w:pPr>
        <w:spacing w:after="0" w:line="138" w:lineRule="exact"/>
        <w:rPr>
          <w:sz w:val="20"/>
          <w:szCs w:val="20"/>
          <w:color w:val="auto"/>
        </w:rPr>
      </w:pPr>
    </w:p>
    <w:p>
      <w:pPr>
        <w:ind w:left="360" w:hanging="357"/>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Incyte Corporation (including its subsidiaries, “Incyte,” “we,” “us,” or “our”) is a biopharmaceutical company focused on developing and commercializing proprietary therapeutics. Our portfolio includes compounds in various stages, ranging from preclinical to late stage development, and commercialized products JAKAFI® (ruxolitinib) and ICLUSIG® (ponatinib). Our operations are treated as one operating segment.</w:t>
      </w:r>
    </w:p>
    <w:p>
      <w:pPr>
        <w:spacing w:after="0" w:line="183" w:lineRule="exact"/>
        <w:rPr>
          <w:sz w:val="20"/>
          <w:szCs w:val="20"/>
          <w:color w:val="auto"/>
        </w:rPr>
      </w:pPr>
    </w:p>
    <w:p>
      <w:pPr>
        <w:ind w:left="660" w:right="5400" w:hanging="657"/>
        <w:spacing w:after="0" w:line="503" w:lineRule="auto"/>
        <w:tabs>
          <w:tab w:leader="none" w:pos="37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The condensed consolidated balance sheet as of September 30, 2018, the condensed consolidated statements of operations and comprehensive income (loss) for the three and nine months ended September 30, 2018 and 2017, and the condensed consolidated statements of cash flows for the nine months ended September 30, 2018 and 2017 are unaudited, but include all adjustments, consisting only of normal recurring adjustments, which we consider necessary for a fair presentation of the financial position, operating results and cash flows for the periods presented. The condensed consolidated balance sheet at December 31, 2017 has been derived from audited financial statements.</w:t>
      </w:r>
    </w:p>
    <w:p>
      <w:pPr>
        <w:spacing w:after="0" w:line="18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Although we believe that the disclosures in these financial statements are adequate to make the information presented not misleading, certain information and footnote information normally included in financial statements prepared in accordance with accounting principles generally accepted in the United States (“U.S. GAAP”) have been condensed or omitted pursuant to the rules and regulations of the Securities and Exchange Commission.</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Results for any interim period are not necessarily indicative of results for any future interim period or for the entire year. The accompanying financial statements should be read in conjunction with the financial statements and notes thereto included in our Annual Report on Form 10-K for the year ended December 31, 2017.</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The condensed consolidated financial statements include the accounts of Incyte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and our wholly owned subsidiaries. All inter-company accounts, transactions, and profits have been eliminated in consolidation.</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Foreign Currency Translation</w:t>
      </w:r>
      <w:r>
        <w:rPr>
          <w:rFonts w:ascii="Arial" w:cs="Arial" w:eastAsia="Arial" w:hAnsi="Arial"/>
          <w:sz w:val="17"/>
          <w:szCs w:val="17"/>
          <w:color w:val="auto"/>
        </w:rPr>
        <w:t>. Operations in non-U.S. entities are recorded in the functional currency of each entity.</w:t>
      </w:r>
      <w:r>
        <w:rPr>
          <w:rFonts w:ascii="Arial" w:cs="Arial" w:eastAsia="Arial" w:hAnsi="Arial"/>
          <w:sz w:val="17"/>
          <w:szCs w:val="17"/>
          <w:i w:val="1"/>
          <w:iCs w:val="1"/>
          <w:color w:val="auto"/>
        </w:rPr>
        <w:t xml:space="preserve"> </w:t>
      </w:r>
      <w:r>
        <w:rPr>
          <w:rFonts w:ascii="Arial" w:cs="Arial" w:eastAsia="Arial" w:hAnsi="Arial"/>
          <w:sz w:val="17"/>
          <w:szCs w:val="17"/>
          <w:color w:val="auto"/>
        </w:rPr>
        <w:t>For financial reporting purposes, the functional currency of an entity is determined by a review of the source of an entity's most predominant cash flows. The results of operations for any non-U.S. dollar functional currency entities are translated from functional currencies into U.S. dollars using the average currency rate during each month. Assets and liabilities are translated using currency rates at the end of the period. Adjustments resulting from translating the financial statements of our foreign entities that use their local currency as the functional currency into U.S. dollars are reflected as a component of other comprehensive income (loss). Transaction gains and losses are recorded in other income (expense), net on the condensed consolidated statements of operations.</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accepted in the United States requires management to make estimates and assumptions that affect the amounts reported in the financial statements and accompanying notes. Actual results could differ from those estimates.</w:t>
      </w:r>
    </w:p>
    <w:p>
      <w:pPr>
        <w:spacing w:after="0" w:line="1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Concentrations of Credit Risk. </w:t>
      </w:r>
      <w:r>
        <w:rPr>
          <w:rFonts w:ascii="Arial" w:cs="Arial" w:eastAsia="Arial" w:hAnsi="Arial"/>
          <w:sz w:val="16"/>
          <w:szCs w:val="16"/>
          <w:color w:val="auto"/>
        </w:rPr>
        <w:t>Cash, cash equivalents, marketable securities, and trade receivables are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which potentially subject us to concentrations of credit risk. The estimated fair value of financial instruments approximates the carrying value based on available market information. We primarily invest our excess available funds in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debt securities and, by policy, limit the amount of credit exposure to any one issuer and to any one type of investment, other than securities issued or guaranteed by the U.S. government and money market funds that meet certain guidelines. Our receivables mainly relate to our product sales of JAKAFI, ICLUSIG and collaborative agreements with pharmaceutical companies. We have not experienced any significant credit losses on cash, cash equivalents, marketable securities or trade receivables to date and do not require collateral on receivables.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Cash and cash equivalents are held in banks or in custodial accounts with banks.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are defined as all liquid investments and money market funds with maturity from date of purchase of 90 days or less that are readily convertible into cash.</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Marketable Securities—Available-for-Sale. </w:t>
      </w:r>
      <w:r>
        <w:rPr>
          <w:rFonts w:ascii="Arial" w:cs="Arial" w:eastAsia="Arial" w:hAnsi="Arial"/>
          <w:sz w:val="16"/>
          <w:szCs w:val="16"/>
          <w:color w:val="auto"/>
        </w:rPr>
        <w:t>Our marketable securities consist of investments in corporate debt</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and U.S. government securities that are classified as available-for-sale. Available-for-sale securities are carried at fair value, based on quoted market prices and observable inputs, with unrealized gains and losses, net of tax, reported as a separate component of stockholders’ equity. We classify marketable securities that are available for use in current operations as current assets on the condensed consolidated balance sheets. Realized gains and losses and declines in value judged to be other than temporary for available-for-sale securities are included in other income (expense), net on the condensed consolidated statements of operations. The cost of securities sold is based on the specific identification method.</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As of September 30, 2018 and December 31, 2017, we had no allowance for doubtful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We provide an allowance for doubtful accounts based on experience and specifically identified risks. Accounts receivable are carried at fair value and charged off against the allowance for doubtful accounts when we determine that recovery is unlikely and we cease collection efforts.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Inventories are determined at the lower of cost and net realizable value with cost determined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identification method and may consist of raw materials, work in process and finished goods.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JAKAFI raw materials and work-in-process inventory is not subject to expiration and the shelf life of finished goods inventory is 36 months from the start of manufacturing of the finished goods. ICLUSIG raw materials and work-in-process inventory is not subject to expiration and finished goods inventory has a shelf life of 24 months from the start of manufacturing of the finished goods. We evaluate for potential excess inventory by analyzing current and future product demand relative to the remaining product shelf life. We build demand forecasts by considering factors such as, but not limited to, overall market potential, market share, market acceptance and patient usage. We classify inventory as current on the condensed consolidated balance sheets when we expect inventory to be consumed for commercial use within the next twelve months.</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Variable Interest Entities</w:t>
      </w:r>
      <w:r>
        <w:rPr>
          <w:rFonts w:ascii="Arial" w:cs="Arial" w:eastAsia="Arial" w:hAnsi="Arial"/>
          <w:sz w:val="17"/>
          <w:szCs w:val="17"/>
          <w:color w:val="auto"/>
        </w:rPr>
        <w:t>. We perform an initial and ongoing evaluation of the entities with which we have variable</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such as equity ownership, in order to identify entities (i) that do not have sufficient equity investment at risk to permit the entity to finance its activities without additional subordinated financial support or (ii) in which the equity investors lack an essential characteristic of a controlling financial interest as variable interest entities (“VIE” or “VIEs”). If an entity is identified as a VIE, we perform an assessment to determine whether we have both (i) the power to direct activities that most significantly impact the VIE’s economic performance and (ii) have the obligation to absorb losses from or the right to receive benefits of the VIE that could potentially be significant to the VIE. If both of these criteria are satisfied, we are identified as the primary beneficiary of the VIE. As of September 30, 2018, there were no entities in which we held a variable interest which we determined to be VIEs.</w:t>
      </w:r>
    </w:p>
    <w:p>
      <w:pPr>
        <w:spacing w:after="0" w:line="18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Long Term Equity Investments. </w:t>
      </w:r>
      <w:r>
        <w:rPr>
          <w:rFonts w:ascii="Arial" w:cs="Arial" w:eastAsia="Arial" w:hAnsi="Arial"/>
          <w:sz w:val="17"/>
          <w:szCs w:val="17"/>
          <w:color w:val="auto"/>
        </w:rPr>
        <w:t>Our long term equity investments consist of investments in common stock of</w:t>
      </w:r>
      <w:r>
        <w:rPr>
          <w:rFonts w:ascii="Arial" w:cs="Arial" w:eastAsia="Arial" w:hAnsi="Arial"/>
          <w:sz w:val="17"/>
          <w:szCs w:val="17"/>
          <w:i w:val="1"/>
          <w:iCs w:val="1"/>
          <w:color w:val="auto"/>
        </w:rPr>
        <w:t xml:space="preserve"> </w:t>
      </w:r>
      <w:r>
        <w:rPr>
          <w:rFonts w:ascii="Arial" w:cs="Arial" w:eastAsia="Arial" w:hAnsi="Arial"/>
          <w:sz w:val="17"/>
          <w:szCs w:val="17"/>
          <w:color w:val="auto"/>
        </w:rPr>
        <w:t>publicly-held companies with whom we have entered into collaboration and license agreements. We classify all of our equity investments in common stock of publicly-held companies as long term investments on our condensed consolidated balance sheets. Our equity investments are accounted for at fair value using readily determinable pricing available on a securities exchange on our condensed consolidated balance sheets. All changes in fair value are reported in our condensed consolidated statements of operations as an unrealized gain (loss) on long term investments.</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assessing whether we exercise significant influence over any of the companies in which we hold equity investments, we consider the nature and magnitude of our investment, any voting and protective rights we hold, any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participation in the governance of the other company, and other relevant factors such as the presence of a collaboration or other business relationship. Currently, none of our equity investments in publicly-held companies are considered relationships in which we are able to assert control.</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Property and Equipment. </w:t>
      </w:r>
      <w:r>
        <w:rPr>
          <w:rFonts w:ascii="Arial" w:cs="Arial" w:eastAsia="Arial" w:hAnsi="Arial"/>
          <w:sz w:val="17"/>
          <w:szCs w:val="17"/>
          <w:color w:val="auto"/>
        </w:rPr>
        <w:t>Property and equipment is stated at cost, less accumulated depreciation and amortization.</w:t>
      </w:r>
      <w:r>
        <w:rPr>
          <w:rFonts w:ascii="Arial" w:cs="Arial" w:eastAsia="Arial" w:hAnsi="Arial"/>
          <w:sz w:val="17"/>
          <w:szCs w:val="17"/>
          <w:i w:val="1"/>
          <w:iCs w:val="1"/>
          <w:color w:val="auto"/>
        </w:rPr>
        <w:t xml:space="preserve"> </w:t>
      </w:r>
      <w:r>
        <w:rPr>
          <w:rFonts w:ascii="Arial" w:cs="Arial" w:eastAsia="Arial" w:hAnsi="Arial"/>
          <w:sz w:val="17"/>
          <w:szCs w:val="17"/>
          <w:color w:val="auto"/>
        </w:rPr>
        <w:t>Depreciation is recorded using the straight-line method over the estimated useful lives of the respective assets. Leasehold improvements are amortized over the shorter of the estimated useful life of the assets or lease term.</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continually reviews the estimated useful lives of technologically sensitive equipment and believes that those estimates appropriately reflect the current useful life of our assets. In the event that a currently unknown significantly advanced technology became commercially available, we would re-evaluate the value and estimated useful lives of our existing equipment, possibly having a material impact on the financial statements.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Lease Accounting. </w:t>
      </w:r>
      <w:r>
        <w:rPr>
          <w:rFonts w:ascii="Arial" w:cs="Arial" w:eastAsia="Arial" w:hAnsi="Arial"/>
          <w:sz w:val="18"/>
          <w:szCs w:val="18"/>
          <w:color w:val="auto"/>
        </w:rPr>
        <w:t>We account for operating leases by recording rent expense on a straight-line basis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life of the lease, commencing on the date we gain possession of leased property. We include tenant improvement allowances and rent holidays received from landlords and the effect of any rent escalation clauses to determine the straight-line rent expense over the expected life of the lease.</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Capital leases are reflected as a liability at the inception of the lease based on the present value of the minimum lease payments or, if lower, the fair value of the property. Assets under capital leases are recorded in property and equipment, net on the condensed consolidated balance sheets and depreciated in a manner similar to other property and equipment.</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Other Intangible Assets, net. </w:t>
      </w:r>
      <w:r>
        <w:rPr>
          <w:rFonts w:ascii="Arial" w:cs="Arial" w:eastAsia="Arial" w:hAnsi="Arial"/>
          <w:sz w:val="17"/>
          <w:szCs w:val="17"/>
          <w:color w:val="auto"/>
        </w:rPr>
        <w:t>Other intangible assets, net consist of licensed intellectual property rights acquired in</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combinations, which are reported at acquisition date fair value, less accumulated amortization. Intangible assets with finite lives are amortized over their estimated useful lives using the straight-line method.</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Long-lived assets with finite lives are tested for impairment whenever events or</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circumstances indicate that the carrying value of an asset may not be recoverable. If indicators of impairment are present, the asset is tested for recoverability by comparing the carrying value of the asset to the related estimated undiscounted future cash flows expected to be derived from the asset. If the expected cash flows are less than the carrying value of the asset, then the asset is considered to be impaired and its carrying value is written down to fair value, based on the related estimated discounted future cash flows.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calculated as the difference between the acquisition date fair value of the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and the values assigned to the assets acquired and liabilities assumed. Goodwill is not amortized but is tested for impairment at the reporting unit level at least annually as of October 1 or when a triggering event occurs that could indicate a potential impairment by assessing qualitative factors or performing a quantitative analysis in determining whether it is more likely than not that the fair value of net assets are below their carrying amounts. A reporting unit is the same as, or one level below, an operating segment. Our operations are currently comprised of a single, entity wide reporting unit. We completed our most recent annual impairment assessment as of October 1, 2017 and determined that the carrying value of our reporting unit was not impaired.</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We account for income taxes using the asset and liability approach which requires the recognition of</w:t>
      </w:r>
      <w:r>
        <w:rPr>
          <w:rFonts w:ascii="Arial" w:cs="Arial" w:eastAsia="Arial" w:hAnsi="Arial"/>
          <w:sz w:val="17"/>
          <w:szCs w:val="17"/>
          <w:i w:val="1"/>
          <w:iCs w:val="1"/>
          <w:color w:val="auto"/>
        </w:rPr>
        <w:t xml:space="preserve"> </w:t>
      </w:r>
      <w:r>
        <w:rPr>
          <w:rFonts w:ascii="Arial" w:cs="Arial" w:eastAsia="Arial" w:hAnsi="Arial"/>
          <w:sz w:val="17"/>
          <w:szCs w:val="17"/>
          <w:color w:val="auto"/>
        </w:rPr>
        <w:t>deferred tax assets and liabilities for the expected future tax consequences of temporary differences between the carrying amount of assets and liabilities for financial reporting purposes and amounts reportable for income tax purposes. Deferred tax assets are reduced by a valuation allowance when, in the opinion of management, it is more-likely-than-not that some portion or all of the deferred tax assets will not be realized.</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we follow the guidance related to accounting for uncertainty in income taxes. This guidance creates a single model to address uncertainty in tax positions and clarifies the accounting for income taxes by prescribing the minimum recognition threshold a tax position is required to meet before it is recognized in the financial statements.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Financing Costs Related to Long-term Debt. </w:t>
      </w:r>
      <w:r>
        <w:rPr>
          <w:rFonts w:ascii="Arial" w:cs="Arial" w:eastAsia="Arial" w:hAnsi="Arial"/>
          <w:sz w:val="18"/>
          <w:szCs w:val="18"/>
          <w:color w:val="auto"/>
        </w:rPr>
        <w:t>Costs associated with obtaining long-term debt are deferred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over the term of the related debt using the effective interest method. Such costs are presented as a direct deduction from the carrying amount of the long-term debt liability, consistent with debt discounts, on the condensed consolidated balance sheets.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Grant Accounting. </w:t>
      </w:r>
      <w:r>
        <w:rPr>
          <w:rFonts w:ascii="Arial" w:cs="Arial" w:eastAsia="Arial" w:hAnsi="Arial"/>
          <w:sz w:val="18"/>
          <w:szCs w:val="18"/>
          <w:color w:val="auto"/>
        </w:rPr>
        <w:t>Grant amounts received from government agencies for operations are deferred and are amortized</w:t>
      </w:r>
      <w:r>
        <w:rPr>
          <w:rFonts w:ascii="Arial" w:cs="Arial" w:eastAsia="Arial" w:hAnsi="Arial"/>
          <w:sz w:val="18"/>
          <w:szCs w:val="18"/>
          <w:i w:val="1"/>
          <w:iCs w:val="1"/>
          <w:color w:val="auto"/>
        </w:rPr>
        <w:t xml:space="preserve"> </w:t>
      </w:r>
      <w:r>
        <w:rPr>
          <w:rFonts w:ascii="Arial" w:cs="Arial" w:eastAsia="Arial" w:hAnsi="Arial"/>
          <w:sz w:val="18"/>
          <w:szCs w:val="18"/>
          <w:color w:val="auto"/>
        </w:rPr>
        <w:t>into income over the service period of the grant. Grant amounts received for purchases of capital assets are deferred and amortized into other income (expense), net over the useful life of the related capital assets. Such amounts are recorded in other liabilities on the condensed consolidated balance sheets.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Net Income (Loss) Per Share. </w:t>
      </w:r>
      <w:r>
        <w:rPr>
          <w:rFonts w:ascii="Arial" w:cs="Arial" w:eastAsia="Arial" w:hAnsi="Arial"/>
          <w:sz w:val="17"/>
          <w:szCs w:val="17"/>
          <w:color w:val="auto"/>
        </w:rPr>
        <w:t>Our basic and diluted net income (loss) per share is calculated by dividing the net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(loss) by the weighted average number of shares of common stock outstanding during all periods presented. Options to purchase stock, restricted stock units, performance stock units and shares issuable upon the conversion of convertible debt are included in diluted earnings per share calculations, unless the effects are anti-dilutive.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Accumulated Other Comprehensive Income (Loss). </w:t>
      </w:r>
      <w:r>
        <w:rPr>
          <w:rFonts w:ascii="Arial" w:cs="Arial" w:eastAsia="Arial" w:hAnsi="Arial"/>
          <w:sz w:val="18"/>
          <w:szCs w:val="18"/>
          <w:color w:val="auto"/>
        </w:rPr>
        <w:t>Accumulated other comprehensive income (loss) consists of</w:t>
      </w:r>
      <w:r>
        <w:rPr>
          <w:rFonts w:ascii="Arial" w:cs="Arial" w:eastAsia="Arial" w:hAnsi="Arial"/>
          <w:sz w:val="18"/>
          <w:szCs w:val="18"/>
          <w:i w:val="1"/>
          <w:iCs w:val="1"/>
          <w:color w:val="auto"/>
        </w:rPr>
        <w:t xml:space="preserve"> </w:t>
      </w:r>
      <w:r>
        <w:rPr>
          <w:rFonts w:ascii="Arial" w:cs="Arial" w:eastAsia="Arial" w:hAnsi="Arial"/>
          <w:sz w:val="18"/>
          <w:szCs w:val="18"/>
          <w:color w:val="auto"/>
        </w:rPr>
        <w:t>unrealized gains or losses on marketable securities that are classified as available-for-sale, foreign currency translation gains or losses and defined benefit pension obligations. For the year ended December 31, 2017 and interim periods therein, accumulated other comprehensive income (loss) included unrealized gains and losses on our long-term investment classified as available-for-sale in Calithera Biosciences, Inc. Upon adoption of ASU No. 2016-01, we recorded a $2.8 million adjustment to retained earnings as of January 1, 2018 which is further described below under “Recent Accounting Pronouncements.”</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The new accounting standard for the recognition of revenue, ASC 606,</w:t>
      </w:r>
      <w:r>
        <w:rPr>
          <w:rFonts w:ascii="Arial" w:cs="Arial" w:eastAsia="Arial" w:hAnsi="Arial"/>
          <w:sz w:val="17"/>
          <w:szCs w:val="17"/>
          <w:i w:val="1"/>
          <w:iCs w:val="1"/>
          <w:color w:val="auto"/>
        </w:rPr>
        <w:t xml:space="preserve"> Revenue from Contracts with Customers</w:t>
      </w:r>
      <w:r>
        <w:rPr>
          <w:rFonts w:ascii="Arial" w:cs="Arial" w:eastAsia="Arial" w:hAnsi="Arial"/>
          <w:sz w:val="17"/>
          <w:szCs w:val="17"/>
          <w:color w:val="auto"/>
        </w:rPr>
        <w:t>, was adopted for the fiscal year beginning on January 1, 2018. Per the new standard, revenue-generating contracts are assessed to identify distinct performance obligations, allocating transaction prices to those performance obligations, and criteria for satisfaction of a performance obligation. The new standard allows for recognition of revenue only when we have satisfied a performance obligation through transferring control of the promised good or service to a customer. Control, in this instance, may mean the ability to prevent other entities from directing the use of, and receiving benefit from, a good or service. The standard indicates that an entity must determine at contract inception whether it will transfer control of a promised good or service over time or satisfy the performance obligation at a point in time through analysis of the following criteria: (i) the entity has a present right to payment, (ii) the customer has legal title, (iii) the customer has physical possession, (iv) the customer has the significant risks and rewards of ownership and (v) the customer has accepted the asset. We assess collectability based primarily on the customer’s payment history and on the creditworthiness of the customer. Overall, the adoption of the new standard did not significantly alter our methodology for recognition of revenue.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Product Revenues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product revenues consist of U.S. sales of JAKAFI and European sales of ICLUSIG. Product revenues are recognized once we meet the revenue recognition criteria described above. In November 2011, we began shipping JAKAFI to our customers in the U.S., which include specialty pharmacies and wholesalers. In June 2016, we acquired the right to and began shipping ICLUSIG to our customers in the European Union and certain other jurisdictions, which include retail pharmacies, hospital pharmacies and distributors.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U.S. At September 30, 2018 and December 31, 2017, $39.8 million and $34.7 million, respectively, of accrued sales allowances were included in accrued and other current liabilities on the condensed consolidated balance sheets. Product shipping and handling costs are included in cost of product revenues.</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Customer Credits: </w:t>
      </w:r>
      <w:r>
        <w:rPr>
          <w:rFonts w:ascii="Arial" w:cs="Arial" w:eastAsia="Arial" w:hAnsi="Arial"/>
          <w:sz w:val="17"/>
          <w:szCs w:val="17"/>
          <w:color w:val="auto"/>
        </w:rPr>
        <w:t>Our customers are offered various forms of consideration, including allowances, service fees and</w:t>
      </w:r>
      <w:r>
        <w:rPr>
          <w:rFonts w:ascii="Arial" w:cs="Arial" w:eastAsia="Arial" w:hAnsi="Arial"/>
          <w:sz w:val="17"/>
          <w:szCs w:val="17"/>
          <w:i w:val="1"/>
          <w:iCs w:val="1"/>
          <w:color w:val="auto"/>
        </w:rPr>
        <w:t xml:space="preserve"> </w:t>
      </w:r>
      <w:r>
        <w:rPr>
          <w:rFonts w:ascii="Arial" w:cs="Arial" w:eastAsia="Arial" w:hAnsi="Arial"/>
          <w:sz w:val="17"/>
          <w:szCs w:val="17"/>
          <w:color w:val="auto"/>
        </w:rPr>
        <w:t>prompt payment discounts. We expect our customers will earn prompt payment discounts and, therefore, we deduct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full amount of these discounts from total product sales when revenues are recognized. Service fees are also deducted from total product sales as they are earned.</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Rebates and Discounts: </w:t>
      </w:r>
      <w:r>
        <w:rPr>
          <w:rFonts w:ascii="Arial" w:cs="Arial" w:eastAsia="Arial" w:hAnsi="Arial"/>
          <w:sz w:val="17"/>
          <w:szCs w:val="17"/>
          <w:color w:val="auto"/>
        </w:rPr>
        <w:t>Allowances for rebates include mandated discounts under the Medicaid Drug Rebate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in the U.S. and mandated discounts in Europe in markets where government-sponsored healthcare systems are the primary payers for healthcare. Rebates are amounts owed after the final dispensing of the product to a benefit plan participant and are based upon contractual agreements or legal requirements with public sector benefit providers. The accrual for rebates is based on statutory discount rates and expected utilization as well as historical data we have accumulated since product launches. Our estimates for expected utilization of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Chargebacks: </w:t>
      </w:r>
      <w:r>
        <w:rPr>
          <w:rFonts w:ascii="Arial" w:cs="Arial" w:eastAsia="Arial" w:hAnsi="Arial"/>
          <w:sz w:val="17"/>
          <w:szCs w:val="17"/>
          <w:color w:val="auto"/>
        </w:rPr>
        <w:t>Chargebacks are discounts that occur when certain contracted customers, which currently consist</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of group purchasing organizations, Public Health Service institutions, non-profit clinics, and Federal government entities purchasing via the Federal Supply Schedule, purchase directly from our wholesalers. Contracted customers generally purchase the product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Medicare Part D Coverage Gap: </w:t>
      </w:r>
      <w:r>
        <w:rPr>
          <w:rFonts w:ascii="Arial" w:cs="Arial" w:eastAsia="Arial" w:hAnsi="Arial"/>
          <w:sz w:val="18"/>
          <w:szCs w:val="18"/>
          <w:color w:val="auto"/>
        </w:rPr>
        <w:t>Medicare Part D prescription drug benefit mandates manufacturers to fund 50%</w:t>
      </w:r>
      <w:r>
        <w:rPr>
          <w:rFonts w:ascii="Arial" w:cs="Arial" w:eastAsia="Arial" w:hAnsi="Arial"/>
          <w:sz w:val="18"/>
          <w:szCs w:val="18"/>
          <w:i w:val="1"/>
          <w:iCs w:val="1"/>
          <w:color w:val="auto"/>
        </w:rPr>
        <w:t xml:space="preserve"> </w:t>
      </w:r>
      <w:r>
        <w:rPr>
          <w:rFonts w:ascii="Arial" w:cs="Arial" w:eastAsia="Arial" w:hAnsi="Arial"/>
          <w:sz w:val="18"/>
          <w:szCs w:val="18"/>
          <w:color w:val="auto"/>
        </w:rPr>
        <w:t>of 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Co-payment Assistance: </w:t>
      </w:r>
      <w:r>
        <w:rPr>
          <w:rFonts w:ascii="Arial" w:cs="Arial" w:eastAsia="Arial" w:hAnsi="Arial"/>
          <w:sz w:val="17"/>
          <w:szCs w:val="17"/>
          <w:color w:val="auto"/>
        </w:rPr>
        <w:t>Patients who have commercial insurance and meet certain eligibility requirements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co-payment assistance. We accrue a liability for co-payment assistance based on actual program participation and estimates of program redemption using data provided by third-party administrators.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Product Royalty Revenues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Royalty revenues on commercial sales for ruxolitinib (marketed as JAKAVI® outside the United States) by Novartis Pharmaceutical International Ltd. (“Novartis”) are based on net sales of licensed products in licensed territories as provided by Novartis. Royalty revenues on commercial sales for baricitinib (marketed as OLUMIANT) by Eli Lilly and Company (“Lilly”) are based on net sales of licensed products in licensed territories as provided by Lilly. We recognize royalty revenues in the period the sales occur.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Cost of Product Revenues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Cost of product revenues includes all JAKAFI related product costs as well as ICLUSIG related product costs. The ICLUSIG inventories were recorded at fair value less costs to sell in connection with our June 2016 acquisition of ARIAD Pharmaceuticals (Luxembourg) S.à.r.l., since renamed Incyte Biosciences Luxembourg S.à.r.l. (the “Acquisition”). In addition, cost of product revenues include low single-digit royalties under our collaboration and license agreement to Novartis on all future sales of JAKAFI in the United States. Subsequent to the Acquisition on June 1, 2016, cost of product revenues also includes the amortization of our licensed intellectual property for ICLUSIG using the straight-line method over the estimated useful life of 12.5 years.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Contract and License Revenues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Our typical customer arrangements, which fall within the scope of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include distinct drug compound out-licensing, collection of upfront payments, milestones or royalty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from a counterparty, and provision of commercially available products to suppliers. Our agreements often include contractual milestones, which typically relate to the achievement of pre-specified development, regulatory and commercialization events outside of our control, such as regulatory approval of a compound, first patient dosing or achievement of sales-based thresholds. For such cases, we believe that revenue related to these events should not be recognized until the milestone has been achieved.</w:t>
      </w:r>
    </w:p>
    <w:p>
      <w:pPr>
        <w:spacing w:after="0" w:line="1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Some contracts form collaborative arrangements of various types with third-parties. We assess whether the nature of the arrangement is within the scope of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in conjunction with the new revenue guidance to determine the nature of the performance obligations and associated transaction prices. A collaborative relationship may exist when we participate in an activity or process with another party, such as performance of research and development services or the exchange of intellectual property for use in clinical trials, when both parties share in the risks and rewards that result from the activity or participate and govern contract activities through a joint steering committee.</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regulatory review and approval process, which includes preclinical testing and clinical trials of each drug candidate, is lengthy, expensive and uncertain. Securing approval by the U.S. Food and Drug Administration (the “FDA”) requires the submission of extensive preclinical and clinical data and supporting information to the FDA for each indication to establish a drug candidate’s safety and efficacy. The approval process takes many years, requires the expenditure of substantial resources, involves post-marketing surveillance and may involve ongoing requirements for post-marketing studies. Before commencing clinical investigations of a drug candidate in humans, we must submit an Investigational New Drug application (“IND”), which must be reviewed by the FDA.</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steps generally required before a drug may be marketed in the United States include preclinical laboratory tests, animal studies and formulation studies, submission to the FDA of an IND for human clinical testing, performance of adequate and well-controlled clinical trials in three phases, as described below, to establish the safety and efficacy of the drug for each indication, submission of a new drug application (“NDA”) or biologics license application (“BLA”) to the FDA for review and FDA approval of the NDA or BLA.</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Similar requirements exist within foreign regulatory agencies as well. The time required satisfying the FDA requirements or similar requirements of foreign regulatory agencies may vary substantially based on the type, complexity and novelty of the product or the targeted disease.</w:t>
      </w:r>
    </w:p>
    <w:p>
      <w:pPr>
        <w:spacing w:after="0" w:line="18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Preclinical testing includes laboratory evaluation of product pharmacology, drug metabolism and toxicity, which includes animal studies, to assess potential safety and efficacy as well as product chemistry, stability, formulation, development, and testing. The results of the preclinical tests, together with manufacturing information and analytical data, are submitted to the FDA as part of an IND. The FDA may raise safety concerns or questions about the conduct of the clinical trials included in the IND, and any of these concerns or questions must be resolved before clinical trials can proceed. We cannot be sure that submission of an IND will result in the FDA allowing clinical trials to commence. Clinical trials involve the administration of the investigational drug or the marketed drug to human subjects under the supervision of qualified investigators and in accordance with good clinical practices regulations covering the protection of human subjects. Clinical trials typically are conducted in three sequential phases, but the phases may overlap or be combined. Phase I usually involves the initial introduction of the investigational drug into healthy volunteers to evaluate its safety, dosage tolerance, absorption, metabolism, distribution and excretion. Phase II usually involves clinical trials in a limited patient population to evaluate dosage tolerance and optimal dosage, identify possible adverse effects and safety risks, and evaluate and gain preliminary evidence of the efficacy of the drug for specific indications. Phase III clinical trials usually further evaluate clinical efficacy and safety by testing the drug in its final form in an expanded patient population, providing statistical evidence of efficacy and safety, and providing an adequate basis for labeling. We cannot guarantee that Phase I, Phase II or Phase III testing will be completed successfully within any specified period of time, if at all. Furthermore, we, the institutional review board for a trial, or the FDA may suspend clinical trials at any time on various grounds, including a finding that the subjects or patients are being exposed to an unacceptable health risk.</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Generally, the milestone events contained in our collaboration agreements coincide with the progression of our drugs from development, to regulatory approval and then to commercialization. The process of successfully discovering a new development candidate, having it approved and successfully commercialized is highly uncertain. As such, the milestone payments we may earn from our partners involve a significant degree of risk to achieve. Therefore, as a drug candidate progresses through the stages of its life-cycle, the value of the drug candidate generally increases.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Research and Development Costs. </w:t>
      </w:r>
      <w:r>
        <w:rPr>
          <w:rFonts w:ascii="Arial" w:cs="Arial" w:eastAsia="Arial" w:hAnsi="Arial"/>
          <w:sz w:val="17"/>
          <w:szCs w:val="17"/>
          <w:color w:val="auto"/>
        </w:rPr>
        <w:t>Our policy is to expense research and development costs as incurred. We often</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with clinical research organizations (“CROs”) to facilitate, coordinate and perform agreed upon research and development of a new drug. To ensure that research and development costs are expensed as incurred, we record monthly accruals for clinical trials and preclinical testing costs based on the work performed under the contract.</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These CRO contracts typically call for the payment of fees for services at the initiation of the contract and/or upon the achievement of certain clinical trial milestones. In the event that we prepay CRO fees, we record the prepayment as a prepaid asset and amortize the asset into research and development expense over the period of time the contracted research and development services are performed. Most professional fees, including project and clinical management, data management, monitoring, and medical writing fees are incurred throughout the contract period. These professional fees are expensed based on their percentage of completion at a particular date. Our CRO contracts generally include pass through fees. Pass through fees include, but are not limited to, regulatory expenses, investigator fees, travel costs, and other miscellaneous costs, including shipping and printing fees. We expense the costs of pass through fees under our CRO contracts as they are incurred, based on the best information available to us at the time. The estimates of the pass through fees incurred are based on the amount of work completed for the clinical trial and are monitored through correspondence with the CROs, internal reviews and a review of contractual terms. The factors utilized to derive the estimates include the number of patients enrolled, duration of the clinical trial, estimated patient attrition, screening rate and length of the dosing regimen. CRO fees incurred to set up the clinical trial are expensed during the setup period. At September 30, 2018 and December 31, 2017, $115.0 million and $110.0 million, respectively, of accrued clinical research and development costs were included in accrued and other current liabilities on the condensed consolidated balance sheets.</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our clinical trial collaboration agreements we may be reimbursed for certain development costs incurred. Such costs are recorded as a reduction of research and development expense in the period in which the related expense is incurred.</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Stock Compensation. </w:t>
      </w:r>
      <w:r>
        <w:rPr>
          <w:rFonts w:ascii="Arial" w:cs="Arial" w:eastAsia="Arial" w:hAnsi="Arial"/>
          <w:sz w:val="17"/>
          <w:szCs w:val="17"/>
          <w:color w:val="auto"/>
        </w:rPr>
        <w:t>Share-based payment transactions with employees, which include stock options,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units (“RSUs”) and performance shares (“PSUs”), are recognized as compensation expense over the requisite service period based on their estimated fair values as well as expected forfeiture rates.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which we assess at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Long term Incentive Plans. </w:t>
      </w:r>
      <w:r>
        <w:rPr>
          <w:rFonts w:ascii="Arial" w:cs="Arial" w:eastAsia="Arial" w:hAnsi="Arial"/>
          <w:sz w:val="17"/>
          <w:szCs w:val="17"/>
          <w:color w:val="auto"/>
        </w:rPr>
        <w:t>We have long term incentive plans which provide eligible employees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opportunity to receive performance and service-based incentive compensation, which may be comprised of cash, stock options, restricted stock units and/or performance shares. The payment of cash and the grant or vesting of equity may be contingent upon the achievement of pre-determined regulatory, sales and internal performance milestones.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Acquisition-Related Contingent Consideration. </w:t>
      </w:r>
      <w:r>
        <w:rPr>
          <w:rFonts w:ascii="Arial" w:cs="Arial" w:eastAsia="Arial" w:hAnsi="Arial"/>
          <w:sz w:val="18"/>
          <w:szCs w:val="18"/>
          <w:color w:val="auto"/>
        </w:rPr>
        <w:t>Acquisition-related contingent consideration, which consists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future royalty and certain potential milestone obligations to Takeda Pharmaceutical Company Limited, which acquired ARIAD Pharmaceuticals, Inc. (“Takeda”), is recorded on the acquisition date at the estimated fair value of the obligation, in accordance with the acquisition method of accounting. The fair value measurement is based on significant inputs that are unobservable in the market and thus represents a Level 3 measurement. The fair value of the acquisition-related contingent consideration is remeasured each reporting period, with changes in fair value recorded in the condensed consolidated statements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which replaced numerous requirements in U.S. GAAP, including industry-specific requirements. This guidance provides a five step model to be applied to all contracts with customers, with an underlying principle that an entity will recognize revenue to depict the transfer of goods or services to customers at an amount that the entity expects to be entitled to in exchange for those goods or services.</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performed an impact assessment which consisted of a review of a representative sample of contracts, discussions with key stakeholders, and cataloging of potential impacts on our financial statements, accounting policies, financial controls, and operations. The guidance did not have a material impact on our revenue recognition practices for product and royalty revenues. The adoption only impacted two areas in our recognition methodology for milestone and contract revenues generated by our collaborative research and license agreements:</w:t>
      </w:r>
    </w:p>
    <w:p>
      <w:pPr>
        <w:spacing w:after="0" w:line="173" w:lineRule="exact"/>
        <w:rPr>
          <w:sz w:val="20"/>
          <w:szCs w:val="20"/>
          <w:color w:val="auto"/>
        </w:rPr>
      </w:pPr>
    </w:p>
    <w:p>
      <w:pPr>
        <w:jc w:val="both"/>
        <w:ind w:left="660" w:hanging="9"/>
        <w:spacing w:after="0" w:line="302" w:lineRule="auto"/>
        <w:tabs>
          <w:tab w:leader="none" w:pos="1478"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in the model for distinct licenses of functional intellectual property which may result in a timing difference of revenue recognition. Whereas revenue from these arrangements was previously recognized over a period of time pursuant to revenue recognition guidance that was in place for our arrangements at the time such arrangements commenced, revenue from new arrangements we enter into may now be recognized at a point in time.</w:t>
      </w:r>
    </w:p>
    <w:p>
      <w:pPr>
        <w:spacing w:after="0" w:line="154" w:lineRule="exact"/>
        <w:rPr>
          <w:rFonts w:ascii="Arial" w:cs="Arial" w:eastAsia="Arial" w:hAnsi="Arial"/>
          <w:sz w:val="16"/>
          <w:szCs w:val="16"/>
          <w:color w:val="auto"/>
        </w:rPr>
      </w:pPr>
    </w:p>
    <w:p>
      <w:pPr>
        <w:jc w:val="both"/>
        <w:ind w:left="660" w:hanging="9"/>
        <w:spacing w:after="0" w:line="264" w:lineRule="auto"/>
        <w:tabs>
          <w:tab w:leader="none" w:pos="1528"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Assessments of milestone payments linked to events that are in our control, may result in variable consideration that may be recognized at an earlier point in time, when it is probable that the milestone will be achieved without a significant future reversal of cumulative revenue expected.</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adopted the new standard for the fiscal period beginning January 1, 2018, utilizing the “modified retrospective” adoption methodology on all contracts for which performance had not been completed as of the date of adoption, and applied the guidance to report new disclosures surrounding our recognition of revenues. There was no cumulative effect of adopting the standard at the date of initial application in retained earnings. We have implemented a controls process to identify and evaluate all revenue-generating contracts with third-party customers on an on-going basis and have provided enhanced disclosures within this Form 10-Q to provide greater detail on our revenue-generating activities, see Notes 3 and 9.</w:t>
      </w:r>
    </w:p>
    <w:p>
      <w:pPr>
        <w:spacing w:after="0" w:line="1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January 2016, the FASB issued ASU No. 2016-01, “Financial Instruments-Overall (Subtopic 825-10): Recognition and Measurement of Financial Assets and Financial Liabilities.” The standard requires several changes including that equity investments (except those accounted for under the equity method of accounting, or those that result in consolidation of the investee) be measured at fair value with changes in fair value recognized in results of operations. These provisions will not impact the accounting for our investments in corporate debt and U.S. government securities. The new guidance also changes certain disclosure requirements and other aspects of current U.S. GAAP. Amendments are to be applied as a cumulative-effect adjustment to the balance sheet as of the beginning of the fiscal year of adoption. The adoption of this standard resulted in a $2.8 million decrease in our accumulated deficit as of January 1, 2018 related to our investment in Calithera Biosciences, Inc.</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February 2016, the FASB issued ASU No. 2016-02, “Leases (Topic 842),” that requires lessees to recognize assets and liabilities on the balance sheet for most leases including operating leases. Lessees will classify leases as either finance or operating leases and lessors classify all leases as sales-type, direct financing or operating leases. The statement of operations presentation and expense recognition for lessees for finance leases is similar to that of capital leases under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Accounting Standards Codification (“ASC”) 840 with separate interest and amortization expense with higher periodic expense in the earlier periods of a lease. For operating leases, the statement of operations presentation and expense recognition is similar to that of operating leases under ASC 840 with single lease cost recognized on a straight-line basis. We have implemented a third-party software to facilitate activities for the new accounting and disclosure requirements under ASU No. 2016-02 and, at this time, are undergoing implementation testing activities of the software and additional internal control procedures. In July 2018, the FASB issued clarifying guidance to the topic in ASUs No. 2018-11 and No. 2018-10, which defined several practical expedients for adoption and clarified new accounting methodologies. This guidance is effective for annual periods beginning after December 15, 2018 and interim periods therein and will be adopted using a modified retrospective approach. We are anticipating electing available practical expedients, including the transition option, upon adoption on January 1, 2019. We have implemented a third-party software to facilitate activities for the new accounting and disclosure requirements under ASU No. 2016-02 and, at this time, are undergoing implementation testing activities of the software and additional internal control procedures. In addition, we are assessing the impact to the consolidated financial statements which will include recording a right-of-use asset and a lease liability for all leases with a term of greater than twelve months regardless of their classification.</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November 2016, the FASB issued ASU No. 2016-18, “Restricted Cash,” which requires entities to show the changes in total of cash, cash equivalents, restricted cash and restricted cash equivalents in the statement of cash flows. As a result, entities will no longer present transfers between cash and cash equivalents and restricted cash in the statement of cash flows. When cash, cash equivalents, restricted cash and restricted cash equivalents are presented in more than one line item on the balance sheet, the new guidance requires a reconciliation of the totals in the statement of cash flows to the related captions on the balance sheet. The reconciliation can be presented either on the face of the statement of cash flows or in the notes to the financial statements. We adopted the new standard for the period beginning January 1, 2018. Due to the retrospective adoption of the standard, the cash flows from financing activities for the year ended December 31, 2017 and interim periods therein, no longer present the transfer of restricted investments to cash and cash equivalents. The change in total cash, cash equivalents, restricted cash and investments is now presented in the consolidated statement of cash flows and reconciles to the related captions on the consolidated balance sheet.</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January 2017, the FASB issued ASU No. 2017-04, “Intangibles–Goodwill and Other,” which eliminates the requirement to calculate the implied fair value of goodwill to measure a goodwill impairment charge. Under the new standard, entities will record an impairment charge based on the excess of a reporting unit’s carrying amount over its fair value. The new standard is effective for public business entities that are SEC filers for annual or any interim goodwill impairment tests in fiscal years beginning after December 15, 2019. The standard is to be applied on a prospective basis. We are currently analyzing the impact of ASU No. 2017-04 on our consolidated financial statements.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March 2017, the FASB issued ASU No. 2017-07, “Compensation–Retirement Benefits,” which requires the service cost component of net periodic benefit cost to be presented in the same income statement line as other employee compensation costs arising from services rendered during the period and the other components of net periodic benefit cost to be presented separately from the income statement lines that include service cost and outside of any subtotal of operating income. We adopted the new standard for the period beginning January 1, 2018, resulting in no change in presentation of the service cost component of net periodic benefit cost, which has historically been reported in research and development and selling, general and administrative expenses along with other employee compensation costs. The retrospective adoption resulted in a change in presentation of the other components of net periodic benefit cost for the year ended December 31, 2017, and interim periods therein, which reclassed these costs out of operating income and into other income (expense), net on the consolidated statements of operations. The components of net periodic benefit cost are presented separately within our employee benefit plans footnote.</w:t>
      </w:r>
    </w:p>
    <w:p>
      <w:pPr>
        <w:spacing w:after="0" w:line="18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December 2017, the SEC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Tax Cuts and Jobs Act of 2017 (the “Act”). In accordance with SAB 118, we recorded provisional tax impacts related to the revaluation of deferred tax assets and liabilities as well as the temporary full expensing of certain business assets in our consolidated financial statements for the year ended December 31, 2017. We continue to monitor and analyze further issued guidance, however no additional tax effects of the Act were required to be recorded for the three and nine months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ended September 30, 2018. The financial statement impact is expected to be complete when the 2017 U.S. federal and state corporate income tax returns are filed during the fourth quarter of 2018.</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January 2018, the FASB released guidance on the accounting for tax on the global intangible low-taxed income ("GILTI") provisions of the Act. The GILTI provisions impose a tax on foreign income in excess of a deemed return on tangible assets of foreign corporations. The guidance indicates that either accounting for deferred taxes related to GILTI inclusions or to treat any taxes on GILTI inclusions as period cost are both acceptable methods subject to an accounting policy election. Effective the first quarter of 2018, we have elected to treat any potential GILTI inclusions as a period charge in the future period in which it is incurred. We have determined there to be no impact associated with GILTI on our condensed consolidated financial statements as of and for the three and nine months ended September 30, 2018.</w:t>
      </w:r>
    </w:p>
    <w:p>
      <w:pPr>
        <w:spacing w:after="0" w:line="16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February 2018, the FASB issued ASU No. 2018-02, “Income Statement – Reporting Comprehensive Income,” which allows reclassification of certain tax effects created as a result of changing methodologies, laws and tax rates legislated in the Act. This new standard allows for stranded income tax effects resulting from the Act to be reclassified into retained earnings to allow for their tax effect to reflect the appropriate tax rate. Due to the full valuation allowance on our U.S. net deferred tax assets, a reclassification of stranded tax effects to retained earnings was not required.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August 2018, the FASB issued ASU No. 2018-14, “Compensation – Retirement Benefits – Defined Benefit Plans</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General,” an update to Subtopic ASC 715-20. The guidance amended year-end disclosure requirements related to defined benefit pension plans, and does not affect interim disclosures. The guidance is effective for fiscal years ending after December 15, 2020, and is permitted for early adoption. The standard is to be applied on a retrospective basis. Incyte sponsors defined benefit plans for employees located in Switzerland. We are currently analyzing the impact of ASU No. 2018-14 on our consolidated financial statements.</w:t>
      </w:r>
    </w:p>
    <w:p>
      <w:pPr>
        <w:spacing w:after="0" w:line="200" w:lineRule="exact"/>
        <w:rPr>
          <w:sz w:val="20"/>
          <w:szCs w:val="20"/>
          <w:color w:val="auto"/>
        </w:rPr>
      </w:pPr>
    </w:p>
    <w:p>
      <w:pPr>
        <w:spacing w:after="0" w:line="217" w:lineRule="exact"/>
        <w:rPr>
          <w:sz w:val="20"/>
          <w:szCs w:val="20"/>
          <w:color w:val="auto"/>
        </w:rPr>
      </w:pPr>
    </w:p>
    <w:p>
      <w:pPr>
        <w:ind w:left="360" w:hanging="357"/>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As discussed in Note 2,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was adopted for the fiscal year beginning on January 1, 2018. Per the new standard, revenue-generating contracts are assessed to identify distinct performance obligations, allocating transaction prices to those performance obligations, and criteria for satisfaction of a performance obligation. The new standard allows for recognition of revenue only when we have satisfied a performance obligation through transferring control of the promised good or service to a customer. The standard indicates that an entity must determine at contract inception whether it will transfer control of a promised good or service over time or satisfy the performance obligation at a point in time through analysis of the following criteria: (i) the entity has a present right to payment, (ii) the customer has legal title, (iii) the customer has physical possession, (iv) the customer has the significant risks and rewards of ownership and (v) the customer has accepted the asset. The new standard has been applied to contracts for which performance had not been completed as of the date of adoption. For those contracts that were modified prior to the date of adoption, we reflected the aggregate effect of those modifications when determining the appropriate accounting under the new standard. We do not believe the effect of applying this practical expedient resulted in material differences. Overall, the adoption of the new standard did not significantly alter our methodology for recognition of revenue.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disaggregated revenue for the periods presented.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4"/>
          </w:tcPr>
          <w:p>
            <w:pPr>
              <w:jc w:val="center"/>
              <w:ind w:right="72"/>
              <w:spacing w:after="0"/>
              <w:rPr>
                <w:sz w:val="20"/>
                <w:szCs w:val="20"/>
                <w:color w:val="auto"/>
              </w:rPr>
            </w:pPr>
            <w:r>
              <w:rPr>
                <w:rFonts w:ascii="Arial" w:cs="Arial" w:eastAsia="Arial" w:hAnsi="Arial"/>
                <w:sz w:val="14"/>
                <w:szCs w:val="14"/>
                <w:b w:val="1"/>
                <w:bCs w:val="1"/>
                <w:color w:val="auto"/>
                <w:w w:val="93"/>
              </w:rPr>
              <w:t>For the Three Months Ended,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For the Nine Months Ended,</w:t>
            </w:r>
          </w:p>
        </w:tc>
      </w:tr>
      <w:tr>
        <w:trPr>
          <w:trHeight w:val="171"/>
        </w:trPr>
        <w:tc>
          <w:tcPr>
            <w:tcW w:w="3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89"/>
              </w:rPr>
              <w:t>September 30,</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416"/>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3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2"/>
                <w:szCs w:val="12"/>
                <w:color w:val="auto"/>
              </w:rPr>
            </w:pPr>
          </w:p>
        </w:tc>
      </w:tr>
      <w:tr>
        <w:trPr>
          <w:trHeight w:val="142"/>
        </w:trPr>
        <w:tc>
          <w:tcPr>
            <w:tcW w:w="3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tcPr>
          <w:p>
            <w:pPr>
              <w:jc w:val="center"/>
              <w:ind w:left="456"/>
              <w:spacing w:after="0" w:line="142" w:lineRule="exact"/>
              <w:rPr>
                <w:sz w:val="20"/>
                <w:szCs w:val="20"/>
                <w:color w:val="auto"/>
              </w:rPr>
            </w:pPr>
            <w:r>
              <w:rPr>
                <w:rFonts w:ascii="Arial" w:cs="Arial" w:eastAsia="Arial" w:hAnsi="Arial"/>
                <w:sz w:val="14"/>
                <w:szCs w:val="14"/>
                <w:b w:val="1"/>
                <w:bCs w:val="1"/>
                <w:color w:val="auto"/>
                <w:w w:val="94"/>
              </w:rPr>
              <w:t>(in millions)</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tcPr>
          <w:p>
            <w:pPr>
              <w:jc w:val="center"/>
              <w:ind w:left="436"/>
              <w:spacing w:after="0" w:line="142" w:lineRule="exact"/>
              <w:rPr>
                <w:sz w:val="20"/>
                <w:szCs w:val="20"/>
                <w:color w:val="auto"/>
              </w:rPr>
            </w:pPr>
            <w:r>
              <w:rPr>
                <w:rFonts w:ascii="Arial" w:cs="Arial" w:eastAsia="Arial" w:hAnsi="Arial"/>
                <w:sz w:val="14"/>
                <w:szCs w:val="14"/>
                <w:b w:val="1"/>
                <w:bCs w:val="1"/>
                <w:color w:val="auto"/>
                <w:w w:val="94"/>
              </w:rPr>
              <w:t>(in millions)</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JAKAFI revenues, net</w:t>
            </w:r>
          </w:p>
        </w:tc>
        <w:tc>
          <w:tcPr>
            <w:tcW w:w="8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5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1,006.9</w:t>
            </w:r>
          </w:p>
        </w:tc>
        <w:tc>
          <w:tcPr>
            <w:tcW w:w="5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180" w:type="dxa"/>
            <w:vAlign w:val="bottom"/>
            <w:shd w:val="clear" w:color="auto" w:fill="CCEEFF"/>
          </w:tcPr>
          <w:p>
            <w:pPr>
              <w:spacing w:after="0"/>
              <w:rPr>
                <w:sz w:val="18"/>
                <w:szCs w:val="18"/>
                <w:color w:val="auto"/>
              </w:rPr>
            </w:pPr>
          </w:p>
        </w:tc>
      </w:tr>
      <w:tr>
        <w:trPr>
          <w:trHeight w:val="216"/>
        </w:trPr>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ICLUSIG revenues, net</w:t>
            </w: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80" w:type="dxa"/>
            <w:vAlign w:val="bottom"/>
            <w:tcBorders>
              <w:bottom w:val="single" w:sz="8" w:color="CCEEFF"/>
            </w:tcBorders>
          </w:tcPr>
          <w:p>
            <w:pPr>
              <w:spacing w:after="0"/>
              <w:rPr>
                <w:sz w:val="18"/>
                <w:szCs w:val="18"/>
                <w:color w:val="auto"/>
              </w:rPr>
            </w:pPr>
          </w:p>
        </w:tc>
      </w:tr>
      <w:tr>
        <w:trPr>
          <w:trHeight w:val="210"/>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product revenues, net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878.5</w:t>
            </w:r>
          </w:p>
        </w:tc>
        <w:tc>
          <w:tcPr>
            <w:tcW w:w="18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JAKAVI product royalty revenues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104.0</w:t>
            </w:r>
          </w:p>
        </w:tc>
        <w:tc>
          <w:tcPr>
            <w:tcW w:w="18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OLUMIANT product royalty revenues</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r>
      <w:tr>
        <w:trPr>
          <w:trHeight w:val="210"/>
        </w:trPr>
        <w:tc>
          <w:tcPr>
            <w:tcW w:w="3440" w:type="dxa"/>
            <w:vAlign w:val="bottom"/>
          </w:tcPr>
          <w:p>
            <w:pPr>
              <w:ind w:left="120"/>
              <w:spacing w:after="0"/>
              <w:rPr>
                <w:sz w:val="20"/>
                <w:szCs w:val="20"/>
                <w:color w:val="auto"/>
              </w:rPr>
            </w:pPr>
            <w:r>
              <w:rPr>
                <w:rFonts w:ascii="Arial" w:cs="Arial" w:eastAsia="Arial" w:hAnsi="Arial"/>
                <w:sz w:val="18"/>
                <w:szCs w:val="18"/>
                <w:color w:val="auto"/>
              </w:rPr>
              <w:t>Total product royalty revenues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108.5</w:t>
            </w:r>
          </w:p>
        </w:tc>
        <w:tc>
          <w:tcPr>
            <w:tcW w:w="18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Milestone revenues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80" w:type="dxa"/>
            <w:vAlign w:val="bottom"/>
            <w:shd w:val="clear" w:color="auto" w:fill="CCEEFF"/>
          </w:tcPr>
          <w:p>
            <w:pPr>
              <w:spacing w:after="0"/>
              <w:rPr>
                <w:sz w:val="18"/>
                <w:szCs w:val="18"/>
                <w:color w:val="auto"/>
              </w:rPr>
            </w:pPr>
          </w:p>
        </w:tc>
      </w:tr>
      <w:tr>
        <w:trPr>
          <w:trHeight w:val="216"/>
        </w:trPr>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revenues</w:t>
            </w: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tcPr>
          <w:p>
            <w:pPr>
              <w:spacing w:after="0"/>
              <w:rPr>
                <w:sz w:val="18"/>
                <w:szCs w:val="18"/>
                <w:color w:val="auto"/>
              </w:rPr>
            </w:pPr>
          </w:p>
        </w:tc>
      </w:tr>
      <w:tr>
        <w:trPr>
          <w:trHeight w:val="217"/>
        </w:trPr>
        <w:tc>
          <w:tcPr>
            <w:tcW w:w="3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1,353.5</w:t>
            </w: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1,092.1</w:t>
            </w:r>
          </w:p>
        </w:tc>
        <w:tc>
          <w:tcPr>
            <w:tcW w:w="18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further information on our revenue-generating contracts, refer to our license agreements footnote.</w:t>
      </w:r>
    </w:p>
    <w:p>
      <w:pPr>
        <w:spacing w:after="0" w:line="235" w:lineRule="exact"/>
        <w:rPr>
          <w:sz w:val="20"/>
          <w:szCs w:val="20"/>
          <w:color w:val="auto"/>
        </w:rPr>
      </w:pPr>
    </w:p>
    <w:p>
      <w:pPr>
        <w:ind w:left="360" w:hanging="357"/>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2—Valuations based on observable inputs and quoted prices in active markets for similar assets and liabilities.</w:t>
      </w:r>
    </w:p>
    <w:p>
      <w:pPr>
        <w:spacing w:after="0" w:line="24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3—Valuations based on inputs that are unobservable and models that are significant to the overall fair value measurement.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marketable securities consist of investments in corporate debt securities and U.S. government securities that are classified as available-for-sale.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September 30, 2018 and December 31, 2017, our Level 2 corporate debt and U.S. government securities were valued using readily available pricing sources which utilize market observable inputs, including the current interest rate and other characteristics for similar types of investments. Our long term investments classified as Level 1 were valued using their respective closing stock prices on The Nasdaq Stock Market.</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policy is to recognize transfers into and transfers out of fair value hierarchy levels as of the end of the reporting period. There were no transfers out of or in to hierarchy levels during the nine months ended September 30, 2018.</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assets measured at fair value on a recurring basis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11"/>
          </w:tcPr>
          <w:p>
            <w:pPr>
              <w:ind w:left="10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rPr>
              <w:t>Quoted Prices in</w:t>
            </w:r>
          </w:p>
        </w:tc>
        <w:tc>
          <w:tcPr>
            <w:tcW w:w="80" w:type="dxa"/>
            <w:vAlign w:val="bottom"/>
          </w:tcPr>
          <w:p>
            <w:pPr>
              <w:spacing w:after="0"/>
              <w:rPr>
                <w:sz w:val="10"/>
                <w:szCs w:val="10"/>
                <w:color w:val="auto"/>
              </w:rPr>
            </w:pPr>
          </w:p>
        </w:tc>
        <w:tc>
          <w:tcPr>
            <w:tcW w:w="1160" w:type="dxa"/>
            <w:vAlign w:val="bottom"/>
            <w:gridSpan w:val="4"/>
          </w:tcPr>
          <w:p>
            <w:pPr>
              <w:jc w:val="center"/>
              <w:ind w:right="60"/>
              <w:spacing w:after="0" w:line="119" w:lineRule="exact"/>
              <w:rPr>
                <w:sz w:val="20"/>
                <w:szCs w:val="20"/>
                <w:color w:val="auto"/>
              </w:rPr>
            </w:pPr>
            <w:r>
              <w:rPr>
                <w:rFonts w:ascii="Arial" w:cs="Arial" w:eastAsia="Arial" w:hAnsi="Arial"/>
                <w:sz w:val="13"/>
                <w:szCs w:val="13"/>
                <w:b w:val="1"/>
                <w:bCs w:val="1"/>
                <w:color w:val="auto"/>
              </w:rPr>
              <w:t>Significant Other</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58"/>
              <w:spacing w:after="0" w:line="119" w:lineRule="exact"/>
              <w:rPr>
                <w:sz w:val="20"/>
                <w:szCs w:val="20"/>
                <w:color w:val="auto"/>
              </w:rPr>
            </w:pPr>
            <w:r>
              <w:rPr>
                <w:rFonts w:ascii="Arial" w:cs="Arial" w:eastAsia="Arial" w:hAnsi="Arial"/>
                <w:sz w:val="13"/>
                <w:szCs w:val="13"/>
                <w:b w:val="1"/>
                <w:bCs w:val="1"/>
                <w:color w:val="auto"/>
                <w:w w:val="99"/>
              </w:rPr>
              <w:t>Significant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2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5"/>
              </w:rPr>
              <w:t>Inputs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6"/>
          </w:tcPr>
          <w:p>
            <w:pPr>
              <w:ind w:left="20"/>
              <w:spacing w:after="0"/>
              <w:rPr>
                <w:sz w:val="20"/>
                <w:szCs w:val="20"/>
                <w:color w:val="auto"/>
              </w:rPr>
            </w:pPr>
            <w:r>
              <w:rPr>
                <w:rFonts w:ascii="Arial" w:cs="Arial" w:eastAsia="Arial" w:hAnsi="Arial"/>
                <w:sz w:val="14"/>
                <w:szCs w:val="14"/>
                <w:b w:val="1"/>
                <w:bCs w:val="1"/>
                <w:color w:val="auto"/>
                <w:w w:val="96"/>
              </w:rPr>
              <w:t>September 30, 2018</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1,112,179</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1,112,179</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Debt securities (corporate and government)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263,134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263,134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investments (Note 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121,381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121,381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2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1,233,560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263,134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1,496,694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4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11"/>
          </w:tcPr>
          <w:p>
            <w:pPr>
              <w:ind w:left="140"/>
              <w:spacing w:after="0"/>
              <w:rPr>
                <w:sz w:val="20"/>
                <w:szCs w:val="20"/>
                <w:color w:val="auto"/>
              </w:rPr>
            </w:pPr>
            <w:r>
              <w:rPr>
                <w:rFonts w:ascii="Arial" w:cs="Arial" w:eastAsia="Arial" w:hAnsi="Arial"/>
                <w:sz w:val="14"/>
                <w:szCs w:val="14"/>
                <w:b w:val="1"/>
                <w:bCs w:val="1"/>
                <w:color w:val="auto"/>
                <w:w w:val="99"/>
              </w:rPr>
              <w:t>Fair Value Measurement at Reporting Date Using:</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Significant Other</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899,509</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899,509</w:t>
            </w: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Debt securities (corporate and government)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270,136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270,136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 (Note 9)</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134,356</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134,356</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2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1,033,865</w:t>
            </w:r>
          </w:p>
        </w:tc>
        <w:tc>
          <w:tcPr>
            <w:tcW w:w="60" w:type="dxa"/>
            <w:vAlign w:val="bottom"/>
            <w:tcBorders>
              <w:bottom w:val="single" w:sz="8" w:color="auto"/>
            </w:tcBorders>
          </w:tcPr>
          <w:p>
            <w:pPr>
              <w:spacing w:after="0"/>
              <w:rPr>
                <w:sz w:val="18"/>
                <w:szCs w:val="18"/>
                <w:color w:val="auto"/>
              </w:rPr>
            </w:pPr>
          </w:p>
        </w:tc>
        <w:tc>
          <w:tcPr>
            <w:tcW w:w="14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270,136</w:t>
            </w:r>
          </w:p>
        </w:tc>
        <w:tc>
          <w:tcPr>
            <w:tcW w:w="60" w:type="dxa"/>
            <w:vAlign w:val="bottom"/>
            <w:tcBorders>
              <w:bottom w:val="single" w:sz="8" w:color="auto"/>
            </w:tcBorders>
          </w:tcPr>
          <w:p>
            <w:pPr>
              <w:spacing w:after="0"/>
              <w:rPr>
                <w:sz w:val="18"/>
                <w:szCs w:val="18"/>
                <w:color w:val="auto"/>
              </w:rPr>
            </w:pPr>
          </w:p>
        </w:tc>
        <w:tc>
          <w:tcPr>
            <w:tcW w:w="14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88"/>
              </w:rPr>
              <w:t>—</w:t>
            </w:r>
          </w:p>
        </w:tc>
        <w:tc>
          <w:tcPr>
            <w:tcW w:w="40" w:type="dxa"/>
            <w:vAlign w:val="bottom"/>
            <w:tcBorders>
              <w:bottom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1,304,001</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liabilities measured at fair value on a recurring basis as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11"/>
          </w:tcPr>
          <w:p>
            <w:pPr>
              <w:ind w:left="14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20" w:type="dxa"/>
            <w:vAlign w:val="bottom"/>
          </w:tcPr>
          <w:p>
            <w:pPr>
              <w:spacing w:after="0"/>
              <w:rPr>
                <w:sz w:val="10"/>
                <w:szCs w:val="10"/>
                <w:color w:val="auto"/>
              </w:rPr>
            </w:pPr>
          </w:p>
        </w:tc>
        <w:tc>
          <w:tcPr>
            <w:tcW w:w="114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Significant Other</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61"/>
              <w:spacing w:after="0" w:line="119" w:lineRule="exact"/>
              <w:rPr>
                <w:sz w:val="20"/>
                <w:szCs w:val="20"/>
                <w:color w:val="auto"/>
              </w:rPr>
            </w:pPr>
            <w:r>
              <w:rPr>
                <w:rFonts w:ascii="Arial" w:cs="Arial" w:eastAsia="Arial" w:hAnsi="Arial"/>
                <w:sz w:val="13"/>
                <w:szCs w:val="13"/>
                <w:b w:val="1"/>
                <w:bCs w:val="1"/>
                <w:color w:val="auto"/>
              </w:rPr>
              <w:t>Significant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88"/>
              </w:rPr>
              <w:t>Balance as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286,000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8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3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11"/>
          </w:tcPr>
          <w:p>
            <w:pPr>
              <w:ind w:left="14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Significant Other</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41"/>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Active Markets for</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Observable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Unobservable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54"/>
              <w:spacing w:after="0"/>
              <w:rPr>
                <w:sz w:val="20"/>
                <w:szCs w:val="20"/>
                <w:color w:val="auto"/>
              </w:rPr>
            </w:pPr>
            <w:r>
              <w:rPr>
                <w:rFonts w:ascii="Arial" w:cs="Arial" w:eastAsia="Arial" w:hAnsi="Arial"/>
                <w:sz w:val="14"/>
                <w:szCs w:val="14"/>
                <w:b w:val="1"/>
                <w:bCs w:val="1"/>
                <w:color w:val="auto"/>
                <w:w w:val="93"/>
              </w:rPr>
              <w:t>Balance as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December 31, 2017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287,000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287,000</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8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320" w:type="dxa"/>
            <w:vAlign w:val="bottom"/>
            <w:gridSpan w:val="2"/>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287,000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540" w:type="dxa"/>
            <w:vAlign w:val="bottom"/>
            <w:gridSpan w:val="11"/>
          </w:tcPr>
          <w:p>
            <w:pPr>
              <w:ind w:left="660"/>
              <w:spacing w:after="0"/>
              <w:rPr>
                <w:sz w:val="20"/>
                <w:szCs w:val="20"/>
                <w:color w:val="auto"/>
              </w:rPr>
            </w:pPr>
            <w:r>
              <w:rPr>
                <w:rFonts w:ascii="Arial" w:cs="Arial" w:eastAsia="Arial" w:hAnsi="Arial"/>
                <w:sz w:val="18"/>
                <w:szCs w:val="18"/>
                <w:color w:val="auto"/>
              </w:rPr>
              <w:t>The following is a rollforward of our Level 3 liabilities (in thousands):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7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Level 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6"/>
          </w:tcPr>
          <w:p>
            <w:pPr>
              <w:spacing w:after="0"/>
              <w:rPr>
                <w:sz w:val="20"/>
                <w:szCs w:val="20"/>
                <w:color w:val="auto"/>
              </w:rPr>
            </w:pPr>
            <w:r>
              <w:rPr>
                <w:rFonts w:ascii="Arial" w:cs="Arial" w:eastAsia="Arial" w:hAnsi="Arial"/>
                <w:sz w:val="18"/>
                <w:szCs w:val="18"/>
                <w:color w:val="auto"/>
                <w:w w:val="99"/>
              </w:rPr>
              <w:t>Contingent consideration earned during the period but not yet paid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Payments made during the period</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8"/>
              </w:rPr>
              <w:t>Change in fair value of contingent consideration</w:t>
            </w:r>
          </w:p>
        </w:tc>
        <w:tc>
          <w:tcPr>
            <w:tcW w:w="2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2018</w:t>
            </w:r>
          </w:p>
        </w:tc>
        <w:tc>
          <w:tcPr>
            <w:tcW w:w="2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The fair value of the contingent consideration was determined using an income approach based on estimated ICLUSIG revenues in the European Union and other countries for the approved third line treatment. The fair value of the contingent consideration is remeasured each reporting period, with changes in fair value recorded in the condensed consolidated statements of operations. The change in fair value of the contingent consideration during the three and nine</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months ended September 30, 2018 was due primarily to the passage of time as there were no other significant changes in the key assumptions during the period.</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make payments to Takeda quarterly based on the royalties or any additional milestone payments earned in the previous quarter. At September 30, 2018 and December 31, 2017, contingent consideration earned but not yet paid was $6.7 million and $6.6 million, respectively, which were included in accrued and other current liabilities. The royalties earned in the second quarter of 2018 of $6.3 million were included in in accounts payable at September 30, 2018.</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marketable security portfolio.</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4"/>
                <w:szCs w:val="14"/>
                <w:color w:val="auto"/>
              </w:rPr>
            </w:pPr>
          </w:p>
        </w:tc>
        <w:tc>
          <w:tcPr>
            <w:tcW w:w="860" w:type="dxa"/>
            <w:vAlign w:val="bottom"/>
          </w:tcPr>
          <w:p>
            <w:pPr>
              <w:jc w:val="center"/>
              <w:ind w:right="82"/>
              <w:spacing w:after="0"/>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4"/>
                <w:szCs w:val="14"/>
                <w:color w:val="auto"/>
              </w:rPr>
            </w:pPr>
          </w:p>
        </w:tc>
        <w:tc>
          <w:tcPr>
            <w:tcW w:w="740" w:type="dxa"/>
            <w:vAlign w:val="bottom"/>
          </w:tcPr>
          <w:p>
            <w:pPr>
              <w:ind w:left="140"/>
              <w:spacing w:after="0"/>
              <w:rPr>
                <w:sz w:val="20"/>
                <w:szCs w:val="20"/>
                <w:color w:val="auto"/>
              </w:rPr>
            </w:pPr>
            <w:r>
              <w:rPr>
                <w:rFonts w:ascii="Arial" w:cs="Arial" w:eastAsia="Arial" w:hAnsi="Arial"/>
                <w:sz w:val="14"/>
                <w:szCs w:val="14"/>
                <w:b w:val="1"/>
                <w:bCs w:val="1"/>
                <w:color w:val="auto"/>
              </w:rPr>
              <w:t>Net</w:t>
            </w: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86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Pr>
          <w:p>
            <w:pPr>
              <w:spacing w:after="0"/>
              <w:rPr>
                <w:sz w:val="14"/>
                <w:szCs w:val="14"/>
                <w:color w:val="auto"/>
              </w:rPr>
            </w:pPr>
          </w:p>
        </w:tc>
        <w:tc>
          <w:tcPr>
            <w:tcW w:w="740" w:type="dxa"/>
            <w:vAlign w:val="bottom"/>
          </w:tcPr>
          <w:p>
            <w:pPr>
              <w:jc w:val="center"/>
              <w:ind w:right="179"/>
              <w:spacing w:after="0"/>
              <w:rPr>
                <w:sz w:val="20"/>
                <w:szCs w:val="20"/>
                <w:color w:val="auto"/>
              </w:rPr>
            </w:pPr>
            <w:r>
              <w:rPr>
                <w:rFonts w:ascii="Arial" w:cs="Arial" w:eastAsia="Arial" w:hAnsi="Arial"/>
                <w:sz w:val="14"/>
                <w:szCs w:val="14"/>
                <w:b w:val="1"/>
                <w:bCs w:val="1"/>
                <w:color w:val="auto"/>
                <w:w w:val="82"/>
              </w:rPr>
              <w:t>Losses</w:t>
            </w: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3"/>
          </w:tcPr>
          <w:p>
            <w:pPr>
              <w:ind w:left="400"/>
              <w:spacing w:after="0" w:line="142" w:lineRule="exact"/>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2018</w:t>
            </w: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Debt securities (corporate and government)</w:t>
            </w:r>
          </w:p>
        </w:tc>
        <w:tc>
          <w:tcPr>
            <w:tcW w:w="1840" w:type="dxa"/>
            <w:vAlign w:val="bottom"/>
            <w:gridSpan w:val="2"/>
          </w:tcPr>
          <w:p>
            <w:pPr>
              <w:jc w:val="right"/>
              <w:ind w:right="48"/>
              <w:spacing w:after="0"/>
              <w:rPr>
                <w:sz w:val="20"/>
                <w:szCs w:val="20"/>
                <w:color w:val="auto"/>
              </w:rPr>
            </w:pPr>
            <w:r>
              <w:rPr>
                <w:rFonts w:ascii="Arial" w:cs="Arial" w:eastAsia="Arial" w:hAnsi="Arial"/>
                <w:sz w:val="18"/>
                <w:szCs w:val="18"/>
                <w:color w:val="auto"/>
              </w:rPr>
              <w:t>$ 264,589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5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120"/>
              <w:spacing w:after="0"/>
              <w:rPr>
                <w:sz w:val="20"/>
                <w:szCs w:val="20"/>
                <w:color w:val="auto"/>
              </w:rPr>
            </w:pPr>
            <w:r>
              <w:rPr>
                <w:rFonts w:ascii="Arial" w:cs="Arial" w:eastAsia="Arial" w:hAnsi="Arial"/>
                <w:sz w:val="18"/>
                <w:szCs w:val="18"/>
                <w:color w:val="auto"/>
              </w:rPr>
              <w:t>(1,455)</w:t>
            </w:r>
          </w:p>
        </w:tc>
        <w:tc>
          <w:tcPr>
            <w:tcW w:w="880" w:type="dxa"/>
            <w:vAlign w:val="bottom"/>
          </w:tcPr>
          <w:p>
            <w:pPr>
              <w:jc w:val="right"/>
              <w:spacing w:after="0"/>
              <w:rPr>
                <w:sz w:val="20"/>
                <w:szCs w:val="20"/>
                <w:color w:val="auto"/>
              </w:rPr>
            </w:pPr>
            <w:r>
              <w:rPr>
                <w:rFonts w:ascii="Arial" w:cs="Arial" w:eastAsia="Arial" w:hAnsi="Arial"/>
                <w:sz w:val="18"/>
                <w:szCs w:val="18"/>
                <w:color w:val="auto"/>
              </w:rPr>
              <w:t>$ 263,134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December 31, 2017</w:t>
            </w: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(corporate and government)</w:t>
            </w:r>
          </w:p>
        </w:tc>
        <w:tc>
          <w:tcPr>
            <w:tcW w:w="18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$ 271,401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(1,265)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$ 270,136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debt securities generally have contractual maturity dates of between 12 to 18 months.</w:t>
      </w:r>
    </w:p>
    <w:p>
      <w:pPr>
        <w:spacing w:after="0" w:line="221" w:lineRule="exact"/>
        <w:rPr>
          <w:sz w:val="20"/>
          <w:szCs w:val="20"/>
          <w:color w:val="auto"/>
        </w:rPr>
      </w:pPr>
    </w:p>
    <w:p>
      <w:pPr>
        <w:ind w:left="360" w:hanging="357"/>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December 2009, we entered into a license, development and commercialization agreement with Lilly. In November 2009, we entered into a collaboration and license agreement with Novartis. The concentration of credit risk related to our collaborative partners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2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Percentage of Total</w:t>
            </w:r>
          </w:p>
        </w:tc>
        <w:tc>
          <w:tcPr>
            <w:tcW w:w="20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0"/>
              </w:rPr>
              <w:t>Percentage of Total</w:t>
            </w:r>
          </w:p>
        </w:tc>
      </w:tr>
      <w:tr>
        <w:trPr>
          <w:trHeight w:val="149"/>
        </w:trPr>
        <w:tc>
          <w:tcPr>
            <w:tcW w:w="4860" w:type="dxa"/>
            <w:vAlign w:val="bottom"/>
          </w:tcPr>
          <w:p>
            <w:pPr>
              <w:spacing w:after="0"/>
              <w:rPr>
                <w:sz w:val="12"/>
                <w:szCs w:val="12"/>
                <w:color w:val="auto"/>
              </w:rPr>
            </w:pPr>
          </w:p>
        </w:tc>
        <w:tc>
          <w:tcPr>
            <w:tcW w:w="220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Milestone Revenues for the</w:t>
            </w:r>
          </w:p>
        </w:tc>
        <w:tc>
          <w:tcPr>
            <w:tcW w:w="200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Milestone Revenues for the</w:t>
            </w:r>
          </w:p>
        </w:tc>
      </w:tr>
      <w:tr>
        <w:trPr>
          <w:trHeight w:val="171"/>
        </w:trPr>
        <w:tc>
          <w:tcPr>
            <w:tcW w:w="4860" w:type="dxa"/>
            <w:vAlign w:val="bottom"/>
          </w:tcPr>
          <w:p>
            <w:pPr>
              <w:spacing w:after="0"/>
              <w:rPr>
                <w:sz w:val="14"/>
                <w:szCs w:val="14"/>
                <w:color w:val="auto"/>
              </w:rPr>
            </w:pPr>
          </w:p>
        </w:tc>
        <w:tc>
          <w:tcPr>
            <w:tcW w:w="22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20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Nine Months Ended</w:t>
            </w:r>
          </w:p>
        </w:tc>
      </w:tr>
      <w:tr>
        <w:trPr>
          <w:trHeight w:val="142"/>
        </w:trPr>
        <w:tc>
          <w:tcPr>
            <w:tcW w:w="4860" w:type="dxa"/>
            <w:vAlign w:val="bottom"/>
          </w:tcPr>
          <w:p>
            <w:pPr>
              <w:spacing w:after="0"/>
              <w:rPr>
                <w:sz w:val="12"/>
                <w:szCs w:val="12"/>
                <w:color w:val="auto"/>
              </w:rPr>
            </w:pPr>
          </w:p>
        </w:tc>
        <w:tc>
          <w:tcPr>
            <w:tcW w:w="2000" w:type="dxa"/>
            <w:vAlign w:val="bottom"/>
            <w:tcBorders>
              <w:top w:val="single" w:sz="8" w:color="auto"/>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2"/>
                <w:szCs w:val="12"/>
                <w:color w:val="auto"/>
              </w:rPr>
            </w:pPr>
          </w:p>
        </w:tc>
        <w:tc>
          <w:tcPr>
            <w:tcW w:w="1960" w:type="dxa"/>
            <w:vAlign w:val="bottom"/>
            <w:tcBorders>
              <w:top w:val="single" w:sz="8" w:color="auto"/>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2"/>
                <w:szCs w:val="12"/>
                <w:color w:val="auto"/>
              </w:rPr>
            </w:pPr>
          </w:p>
        </w:tc>
      </w:tr>
      <w:tr>
        <w:trPr>
          <w:trHeight w:val="142"/>
        </w:trPr>
        <w:tc>
          <w:tcPr>
            <w:tcW w:w="48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63"/>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63"/>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Partner A</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40" w:type="dxa"/>
            <w:vAlign w:val="bottom"/>
            <w:shd w:val="clear" w:color="auto" w:fill="CCEEFF"/>
          </w:tcPr>
          <w:p>
            <w:pPr>
              <w:spacing w:after="0"/>
              <w:rPr>
                <w:sz w:val="18"/>
                <w:szCs w:val="18"/>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Collaboration Partner B</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200" w:type="dxa"/>
            <w:vAlign w:val="bottom"/>
          </w:tcPr>
          <w:p>
            <w:pPr>
              <w:spacing w:after="0"/>
              <w:rPr>
                <w:sz w:val="20"/>
                <w:szCs w:val="20"/>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100 %</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76 %</w:t>
            </w:r>
          </w:p>
        </w:tc>
        <w:tc>
          <w:tcPr>
            <w:tcW w:w="40" w:type="dxa"/>
            <w:vAlign w:val="bottom"/>
          </w:tcPr>
          <w:p>
            <w:pPr>
              <w:spacing w:after="0"/>
              <w:rPr>
                <w:sz w:val="20"/>
                <w:szCs w:val="20"/>
                <w:color w:val="auto"/>
              </w:rPr>
            </w:pPr>
          </w:p>
        </w:tc>
      </w:tr>
    </w:tbl>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Collaboration Partner A and Collaboration Partner B comprised, in aggregate, 33% and 47% of the accounts receivable balance as of September 30, 2018 and December 31, 2017, respectively.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November 2011, we began commercialization and distribution of JAKAFI to a number of customers. Our product revenues are concentrated in a number of these customers. The concentration of credit risk related to our JAKAFI product revenues is as follows:</w:t>
      </w:r>
    </w:p>
    <w:p>
      <w:pPr>
        <w:sectPr>
          <w:pgSz w:w="11900" w:h="16838" w:orient="portrait"/>
          <w:cols w:equalWidth="0" w:num="1">
            <w:col w:w="9060"/>
          </w:cols>
          <w:pgMar w:left="1420" w:top="125" w:right="1419" w:bottom="1440" w:gutter="0" w:footer="0" w:header="0"/>
        </w:sectPr>
      </w:pPr>
    </w:p>
    <w:p>
      <w:pPr>
        <w:spacing w:after="0" w:line="186" w:lineRule="exact"/>
        <w:rPr>
          <w:sz w:val="20"/>
          <w:szCs w:val="20"/>
          <w:color w:val="auto"/>
        </w:rPr>
      </w:pPr>
    </w:p>
    <w:p>
      <w:pPr>
        <w:jc w:val="center"/>
        <w:ind w:left="5320"/>
        <w:spacing w:after="0"/>
        <w:rPr>
          <w:sz w:val="20"/>
          <w:szCs w:val="20"/>
          <w:color w:val="auto"/>
        </w:rPr>
      </w:pPr>
      <w:r>
        <w:rPr>
          <w:rFonts w:ascii="Arial" w:cs="Arial" w:eastAsia="Arial" w:hAnsi="Arial"/>
          <w:sz w:val="13"/>
          <w:szCs w:val="13"/>
          <w:b w:val="1"/>
          <w:bCs w:val="1"/>
          <w:color w:val="auto"/>
        </w:rPr>
        <w:t>Percentage of Total Net</w:t>
      </w:r>
    </w:p>
    <w:p>
      <w:pPr>
        <w:spacing w:after="0" w:line="15" w:lineRule="exact"/>
        <w:rPr>
          <w:sz w:val="20"/>
          <w:szCs w:val="20"/>
          <w:color w:val="auto"/>
        </w:rPr>
      </w:pPr>
    </w:p>
    <w:p>
      <w:pPr>
        <w:jc w:val="center"/>
        <w:ind w:left="5320"/>
        <w:spacing w:after="0"/>
        <w:rPr>
          <w:sz w:val="20"/>
          <w:szCs w:val="20"/>
          <w:color w:val="auto"/>
        </w:rPr>
      </w:pPr>
      <w:r>
        <w:rPr>
          <w:rFonts w:ascii="Arial" w:cs="Arial" w:eastAsia="Arial" w:hAnsi="Arial"/>
          <w:sz w:val="12"/>
          <w:szCs w:val="12"/>
          <w:b w:val="1"/>
          <w:bCs w:val="1"/>
          <w:color w:val="auto"/>
        </w:rPr>
        <w:t>Product Revenues for the</w:t>
      </w:r>
    </w:p>
    <w:p>
      <w:pPr>
        <w:spacing w:after="0" w:line="11"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-3175</wp:posOffset>
            </wp:positionV>
            <wp:extent cx="11493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-3175</wp:posOffset>
            </wp:positionV>
            <wp:extent cx="11493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ind w:left="5380"/>
        <w:spacing w:after="0" w:line="233" w:lineRule="auto"/>
        <w:tabs>
          <w:tab w:leader="none" w:pos="62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180"/>
        <w:spacing w:after="0" w:line="254" w:lineRule="auto"/>
        <w:rPr>
          <w:sz w:val="20"/>
          <w:szCs w:val="20"/>
          <w:color w:val="auto"/>
        </w:rPr>
      </w:pPr>
      <w:r>
        <w:rPr>
          <w:rFonts w:ascii="Arial" w:cs="Arial" w:eastAsia="Arial" w:hAnsi="Arial"/>
          <w:sz w:val="13"/>
          <w:szCs w:val="13"/>
          <w:b w:val="1"/>
          <w:bCs w:val="1"/>
          <w:color w:val="auto"/>
        </w:rPr>
        <w:t>Percentage of Total Net Product Revenues for the 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-3175</wp:posOffset>
            </wp:positionV>
            <wp:extent cx="11493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-3175</wp:posOffset>
            </wp:positionV>
            <wp:extent cx="11493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ind w:left="60"/>
        <w:spacing w:after="0" w:line="233" w:lineRule="auto"/>
        <w:tabs>
          <w:tab w:leader="none" w:pos="9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p>
    <w:p>
      <w:pPr>
        <w:sectPr>
          <w:pgSz w:w="11900" w:h="16838" w:orient="portrait"/>
          <w:cols w:equalWidth="0" w:num="2">
            <w:col w:w="6880" w:space="440"/>
            <w:col w:w="1740"/>
          </w:cols>
          <w:pgMar w:left="1420" w:top="125" w:right="14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190"/>
        </w:trPr>
        <w:tc>
          <w:tcPr>
            <w:tcW w:w="5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Customer A</w:t>
            </w:r>
          </w:p>
        </w:tc>
        <w:tc>
          <w:tcPr>
            <w:tcW w:w="9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19 %</w:t>
            </w:r>
          </w:p>
        </w:tc>
        <w:tc>
          <w:tcPr>
            <w:tcW w:w="11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24 %</w:t>
            </w:r>
          </w:p>
        </w:tc>
        <w:tc>
          <w:tcPr>
            <w:tcW w:w="9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20 %</w:t>
            </w:r>
          </w:p>
        </w:tc>
        <w:tc>
          <w:tcPr>
            <w:tcW w:w="9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25 %</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Customer B</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12 %</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16 %</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13 %</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16 %</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16 %</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14 %</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15 %</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13 %</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Customer D</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12 %</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8 %</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11 %</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8 %</w:t>
            </w:r>
          </w:p>
        </w:tc>
      </w:tr>
    </w:tbl>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exposed to risks associated with extending credit to customers related to the sale of products. Customer A, Customer B, Customer C and Customer D comprised, in aggregate, 31% and 25% of the accounts receivable balance as of September 30, 2018 and December 31, 2017,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concentration of credit risk relating to ICLUSIG product revenues or accounts receivable is not significant.</w:t>
      </w:r>
    </w:p>
    <w:p>
      <w:pPr>
        <w:spacing w:after="0" w:line="23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6.</w:t>
        <w:tab/>
        <w:t>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inventory balance consists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3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42"/>
        </w:trPr>
        <w:tc>
          <w:tcPr>
            <w:tcW w:w="4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4"/>
          </w:tcPr>
          <w:p>
            <w:pPr>
              <w:jc w:val="right"/>
              <w:ind w:right="433"/>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860" w:type="dxa"/>
            <w:vAlign w:val="bottom"/>
            <w:gridSpan w:val="2"/>
            <w:shd w:val="clear" w:color="auto" w:fill="CCEEFF"/>
          </w:tcPr>
          <w:p>
            <w:pPr>
              <w:ind w:left="26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2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Work-in-process</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4,944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8,615</w:t>
            </w:r>
          </w:p>
        </w:tc>
        <w:tc>
          <w:tcPr>
            <w:tcW w:w="12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5,993</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4,771</w:t>
            </w:r>
          </w:p>
        </w:tc>
        <w:tc>
          <w:tcPr>
            <w:tcW w:w="120" w:type="dxa"/>
            <w:vAlign w:val="bottom"/>
            <w:shd w:val="clear" w:color="auto" w:fill="CCEEFF"/>
          </w:tcPr>
          <w:p>
            <w:pPr>
              <w:spacing w:after="0"/>
              <w:rPr>
                <w:sz w:val="18"/>
                <w:szCs w:val="18"/>
                <w:color w:val="auto"/>
              </w:rPr>
            </w:pPr>
          </w:p>
        </w:tc>
      </w:tr>
      <w:tr>
        <w:trPr>
          <w:trHeight w:val="210"/>
        </w:trPr>
        <w:tc>
          <w:tcPr>
            <w:tcW w:w="43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14,448</w:t>
            </w:r>
          </w:p>
        </w:tc>
        <w:tc>
          <w:tcPr>
            <w:tcW w:w="12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Inventories-current</w:t>
            </w:r>
          </w:p>
        </w:tc>
        <w:tc>
          <w:tcPr>
            <w:tcW w:w="2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5,993</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6,482</w:t>
            </w:r>
          </w:p>
        </w:tc>
        <w:tc>
          <w:tcPr>
            <w:tcW w:w="120" w:type="dxa"/>
            <w:vAlign w:val="bottom"/>
            <w:shd w:val="clear" w:color="auto" w:fill="CCEEFF"/>
          </w:tcPr>
          <w:p>
            <w:pPr>
              <w:spacing w:after="0"/>
              <w:rPr>
                <w:sz w:val="18"/>
                <w:szCs w:val="18"/>
                <w:color w:val="auto"/>
              </w:rPr>
            </w:pPr>
          </w:p>
        </w:tc>
      </w:tr>
      <w:tr>
        <w:trPr>
          <w:trHeight w:val="217"/>
        </w:trPr>
        <w:tc>
          <w:tcPr>
            <w:tcW w:w="4380" w:type="dxa"/>
            <w:vAlign w:val="bottom"/>
          </w:tcPr>
          <w:p>
            <w:pPr>
              <w:spacing w:after="0"/>
              <w:rPr>
                <w:sz w:val="20"/>
                <w:szCs w:val="20"/>
                <w:color w:val="auto"/>
              </w:rPr>
            </w:pPr>
            <w:r>
              <w:rPr>
                <w:rFonts w:ascii="Arial" w:cs="Arial" w:eastAsia="Arial" w:hAnsi="Arial"/>
                <w:sz w:val="18"/>
                <w:szCs w:val="18"/>
                <w:color w:val="auto"/>
              </w:rPr>
              <w:t>Inventories-non-current</w:t>
            </w:r>
          </w:p>
        </w:tc>
        <w:tc>
          <w:tcPr>
            <w:tcW w:w="26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5,425</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7,966</w:t>
            </w:r>
          </w:p>
        </w:tc>
        <w:tc>
          <w:tcPr>
            <w:tcW w:w="120" w:type="dxa"/>
            <w:vAlign w:val="bottom"/>
          </w:tcPr>
          <w:p>
            <w:pPr>
              <w:spacing w:after="0"/>
              <w:rPr>
                <w:sz w:val="18"/>
                <w:szCs w:val="18"/>
                <w:color w:val="auto"/>
              </w:rPr>
            </w:pPr>
          </w:p>
        </w:tc>
      </w:tr>
    </w:tbl>
    <w:p>
      <w:pPr>
        <w:spacing w:after="0" w:line="16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Inventories, stated at the lower of cost and net realizable value, consist of raw materials, work in process and finished goods. At September 30, 2018, $6.0 million of inventory was classified as current on the condensed consolidated balance sheet as we expect this inventory to be consumed for commercial use within the next twelve months. At September 30, 2018, $5.4 million of inventory was classified as non-current on the condensed consolidated balance sheets as we did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spacing w:after="0" w:line="16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Property and equipment,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consists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December 31,</w:t>
            </w:r>
          </w:p>
        </w:tc>
      </w:tr>
      <w:tr>
        <w:trPr>
          <w:trHeight w:val="201"/>
        </w:trPr>
        <w:tc>
          <w:tcPr>
            <w:tcW w:w="4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7"/>
                <w:szCs w:val="17"/>
                <w:color w:val="auto"/>
              </w:rPr>
            </w:pPr>
          </w:p>
        </w:tc>
      </w:tr>
      <w:tr>
        <w:trPr>
          <w:trHeight w:val="196"/>
        </w:trPr>
        <w:tc>
          <w:tcPr>
            <w:tcW w:w="4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14,674</w:t>
            </w:r>
          </w:p>
        </w:tc>
        <w:tc>
          <w:tcPr>
            <w:tcW w:w="34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Laboratory equipment</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60,117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48,807</w:t>
            </w:r>
          </w:p>
        </w:tc>
        <w:tc>
          <w:tcPr>
            <w:tcW w:w="3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51,351</w:t>
            </w:r>
          </w:p>
        </w:tc>
        <w:tc>
          <w:tcPr>
            <w:tcW w:w="34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Land</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5,350</w:t>
            </w:r>
          </w:p>
        </w:tc>
        <w:tc>
          <w:tcPr>
            <w:tcW w:w="3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Building and leasehold improvements</w:t>
            </w:r>
          </w:p>
        </w:tc>
        <w:tc>
          <w:tcPr>
            <w:tcW w:w="1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253,099</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214,245</w:t>
            </w:r>
          </w:p>
        </w:tc>
        <w:tc>
          <w:tcPr>
            <w:tcW w:w="340" w:type="dxa"/>
            <w:vAlign w:val="bottom"/>
            <w:shd w:val="clear" w:color="auto" w:fill="CCEEFF"/>
          </w:tcPr>
          <w:p>
            <w:pPr>
              <w:spacing w:after="0"/>
              <w:rPr>
                <w:sz w:val="18"/>
                <w:szCs w:val="18"/>
                <w:color w:val="auto"/>
              </w:rPr>
            </w:pPr>
          </w:p>
        </w:tc>
      </w:tr>
      <w:tr>
        <w:trPr>
          <w:trHeight w:val="210"/>
        </w:trPr>
        <w:tc>
          <w:tcPr>
            <w:tcW w:w="49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396,663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334,427</w:t>
            </w:r>
          </w:p>
        </w:tc>
        <w:tc>
          <w:tcPr>
            <w:tcW w:w="3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(95,896)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(74,664)</w:t>
            </w:r>
          </w:p>
        </w:tc>
      </w:tr>
      <w:tr>
        <w:trPr>
          <w:trHeight w:val="217"/>
        </w:trPr>
        <w:tc>
          <w:tcPr>
            <w:tcW w:w="49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300,767</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259,763</w:t>
            </w:r>
          </w:p>
        </w:tc>
        <w:tc>
          <w:tcPr>
            <w:tcW w:w="340" w:type="dxa"/>
            <w:vAlign w:val="bottom"/>
          </w:tcPr>
          <w:p>
            <w:pPr>
              <w:spacing w:after="0"/>
              <w:rPr>
                <w:sz w:val="18"/>
                <w:szCs w:val="18"/>
                <w:color w:val="auto"/>
              </w:rPr>
            </w:pPr>
          </w:p>
        </w:tc>
      </w:tr>
    </w:tbl>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February 2018, we signed an agreement to rent a building in Morges, Switzerland for an initial term of 15 years, with multiple options to extend for an additional 20 years. The building will undergo extensive renovations prior to our occupation and, when completed, will serve as our new European headquarters. The new building will consist of approximately 100,000 square feet of office space. This building will allow for consolidation of our European operations that are currently located in Geneva and Lausanne, Switzerland. Building permits were granted by the local government authorities in September 2018, and construction activity began immediately thereafter. We are responsible for a portion of the renovation and construction costs, and are deemed, for accounting purposes, to be the owner of the building. As a result, we recorded the fair value of the building as a capital asset of approximately $15.8 million and a corresponding financing liability in accrued and other current liabilities on our condensed consolidated balance sheet at September 30, 2018. We also recorded approximately $0.7 million in construction costs as a capital asset and corresponding financing liability on our condensed consolidated balance sheet at September 30, 2018.</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60" w:firstLine="648"/>
        <w:spacing w:after="0" w:line="257" w:lineRule="auto"/>
        <w:rPr>
          <w:sz w:val="20"/>
          <w:szCs w:val="20"/>
          <w:color w:val="auto"/>
        </w:rPr>
      </w:pPr>
      <w:r>
        <w:rPr>
          <w:rFonts w:ascii="Arial" w:cs="Arial" w:eastAsia="Arial" w:hAnsi="Arial"/>
          <w:sz w:val="18"/>
          <w:szCs w:val="18"/>
          <w:color w:val="auto"/>
        </w:rPr>
        <w:t>In July 2018, we signed an agreement to purchase land located within Y-PARC, Switzerland’s largest technology park in Yverdon. The land was purchased, in cash, for $4.8 million. Upon this parcel, we plan on constructing a large molecule production facility. Construction activity commenced in July 2018, and we have recorded approximately $20.2 million as of September 30, 2018 in costs for architectural and engineering studies and initial ground preparation. We currently anticipate the facility to be completed in the second half of 2020.</w:t>
      </w:r>
    </w:p>
    <w:p>
      <w:pPr>
        <w:spacing w:after="0" w:line="184" w:lineRule="exact"/>
        <w:rPr>
          <w:sz w:val="20"/>
          <w:szCs w:val="20"/>
          <w:color w:val="auto"/>
        </w:rPr>
      </w:pPr>
    </w:p>
    <w:p>
      <w:pPr>
        <w:ind w:left="320" w:hanging="317"/>
        <w:spacing w:after="0"/>
        <w:tabs>
          <w:tab w:leader="none" w:pos="3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Intangible Assets, Net</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intangible assets were as follows (in thousands, except for useful life):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tcBorders>
              <w:bottom w:val="single" w:sz="8" w:color="auto"/>
            </w:tcBorders>
            <w:gridSpan w:val="5"/>
          </w:tcPr>
          <w:p>
            <w:pPr>
              <w:jc w:val="right"/>
              <w:ind w:right="388"/>
              <w:spacing w:after="0"/>
              <w:rPr>
                <w:sz w:val="20"/>
                <w:szCs w:val="20"/>
                <w:color w:val="auto"/>
              </w:rPr>
            </w:pPr>
            <w:r>
              <w:rPr>
                <w:rFonts w:ascii="Arial" w:cs="Arial" w:eastAsia="Arial" w:hAnsi="Arial"/>
                <w:sz w:val="14"/>
                <w:szCs w:val="14"/>
                <w:b w:val="1"/>
                <w:bCs w:val="1"/>
                <w:color w:val="auto"/>
              </w:rPr>
              <w:t>Balance at September 30, 2018</w:t>
            </w:r>
          </w:p>
        </w:tc>
        <w:tc>
          <w:tcPr>
            <w:tcW w:w="140" w:type="dxa"/>
            <w:vAlign w:val="bottom"/>
          </w:tcPr>
          <w:p>
            <w:pPr>
              <w:spacing w:after="0"/>
              <w:rPr>
                <w:sz w:val="14"/>
                <w:szCs w:val="14"/>
                <w:color w:val="auto"/>
              </w:rPr>
            </w:pPr>
          </w:p>
        </w:tc>
        <w:tc>
          <w:tcPr>
            <w:tcW w:w="27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Balance at December 31, 2017</w:t>
            </w:r>
          </w:p>
        </w:tc>
        <w:tc>
          <w:tcPr>
            <w:tcW w:w="0" w:type="dxa"/>
            <w:vAlign w:val="bottom"/>
          </w:tcPr>
          <w:p>
            <w:pPr>
              <w:spacing w:after="0"/>
              <w:rPr>
                <w:sz w:val="1"/>
                <w:szCs w:val="1"/>
                <w:color w:val="auto"/>
              </w:rPr>
            </w:pPr>
          </w:p>
        </w:tc>
      </w:tr>
      <w:tr>
        <w:trPr>
          <w:trHeight w:val="254"/>
        </w:trPr>
        <w:tc>
          <w:tcPr>
            <w:tcW w:w="228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960" w:type="dxa"/>
            <w:vAlign w:val="bottom"/>
            <w:gridSpan w:val="2"/>
            <w:vMerge w:val="restart"/>
          </w:tcPr>
          <w:p>
            <w:pPr>
              <w:jc w:val="center"/>
              <w:ind w:left="19"/>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Useful</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22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Lives (Years)</w:t>
            </w:r>
          </w:p>
        </w:tc>
        <w:tc>
          <w:tcPr>
            <w:tcW w:w="1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Amortization</w:t>
            </w: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7"/>
              </w:rPr>
              <w:t>Finite-lived intangible assets: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20"/>
              <w:spacing w:after="0"/>
              <w:rPr>
                <w:sz w:val="20"/>
                <w:szCs w:val="20"/>
                <w:color w:val="auto"/>
              </w:rPr>
            </w:pPr>
            <w:r>
              <w:rPr>
                <w:rFonts w:ascii="Arial" w:cs="Arial" w:eastAsia="Arial" w:hAnsi="Arial"/>
                <w:sz w:val="18"/>
                <w:szCs w:val="18"/>
                <w:color w:val="auto"/>
              </w:rPr>
              <w:t>Licensed IP</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12.5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271,000</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  50,252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$ 220,748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$ 271,000</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rPr>
              <w:t>$  34,099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$ 236,901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Estimated aggregate amortization expense based on the current carrying value of amortizable intangible assets is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Remainder of</w:t>
            </w:r>
          </w:p>
        </w:tc>
        <w:tc>
          <w:tcPr>
            <w:tcW w:w="76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76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76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74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02"/>
              <w:spacing w:after="0"/>
              <w:rPr>
                <w:sz w:val="20"/>
                <w:szCs w:val="20"/>
                <w:color w:val="auto"/>
              </w:rPr>
            </w:pPr>
            <w:r>
              <w:rPr>
                <w:rFonts w:ascii="Arial" w:cs="Arial" w:eastAsia="Arial" w:hAnsi="Arial"/>
                <w:sz w:val="14"/>
                <w:szCs w:val="14"/>
                <w:b w:val="1"/>
                <w:bCs w:val="1"/>
                <w:color w:val="auto"/>
              </w:rPr>
              <w:t>2018</w:t>
            </w:r>
          </w:p>
        </w:tc>
        <w:tc>
          <w:tcPr>
            <w:tcW w:w="7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$ 21,536</w:t>
            </w: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$ 21,536</w:t>
            </w: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$ 21,536</w:t>
            </w: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$ 21,536</w:t>
            </w: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$ 129,221</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were no changes to the carrying amount of goodwill for the nine months ended September 30, 2018.</w:t>
      </w:r>
    </w:p>
    <w:p>
      <w:pPr>
        <w:spacing w:after="0" w:line="23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right="60" w:firstLine="648"/>
        <w:spacing w:after="0" w:line="291" w:lineRule="auto"/>
        <w:rPr>
          <w:sz w:val="20"/>
          <w:szCs w:val="20"/>
          <w:color w:val="auto"/>
        </w:rPr>
      </w:pPr>
      <w:r>
        <w:rPr>
          <w:rFonts w:ascii="Arial" w:cs="Arial" w:eastAsia="Arial" w:hAnsi="Arial"/>
          <w:sz w:val="16"/>
          <w:szCs w:val="16"/>
          <w:color w:val="auto"/>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 We retained options to co-develop and to co-promote capmatinib in the United States.</w:t>
      </w:r>
    </w:p>
    <w:p>
      <w:pPr>
        <w:spacing w:after="0" w:line="167" w:lineRule="exact"/>
        <w:rPr>
          <w:sz w:val="20"/>
          <w:szCs w:val="20"/>
          <w:color w:val="auto"/>
        </w:rPr>
      </w:pPr>
    </w:p>
    <w:p>
      <w:pPr>
        <w:jc w:val="both"/>
        <w:ind w:right="60" w:firstLine="648"/>
        <w:spacing w:after="0" w:line="287" w:lineRule="auto"/>
        <w:rPr>
          <w:sz w:val="20"/>
          <w:szCs w:val="20"/>
          <w:color w:val="auto"/>
        </w:rPr>
      </w:pPr>
      <w:r>
        <w:rPr>
          <w:rFonts w:ascii="Arial" w:cs="Arial" w:eastAsia="Arial" w:hAnsi="Arial"/>
          <w:sz w:val="16"/>
          <w:szCs w:val="16"/>
          <w:color w:val="auto"/>
        </w:rPr>
        <w:t>Under this agreement, we received an upfront payment and immediate milestone payment totaling $210.0 million and were initially eligible to receive up to $1.2 billion in milestone payments across multiple indications upon the achievement of pre-specified events, including up to $174.0 million for the achievement of development milestones, up to $495.0 million for the achievement of regulatory milestones and up to $500.0 million for the achievement of commercialization milestones. In April 2016, we amended this agreement to provide that Novartis has exclusive research, development and commercialization rights outside of the United States to ruxolitinib (excluding topical formulations) in the graft-versus-host-disease (“GVHD”) field. We became eligible to receive up to $75.0 million of additional potential development and regulatory milestones relating to GVHD. Exclusive of the upfront payment of $150.0 million received in 2009 and the immediate milestone of $60.0 million earned in 2010, we have recognized and received, in aggregate, $132.0 million for the achievement of development milestones, $215.0 million for the achievement of regulatory milestones and $60.0 million for the achievement of sales milestones through September 30, 2018.</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125" w:right="135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During the year ended December 31, 2017, under this agreement, we recognized a $40.0 million sales milestone for Novartis achieving annual net sales of a JAK licensed product of $600.0 million and a $25.0 million development milestone based on the formal initiation by Novartis of a Phase III clinical trial evaluating ruxolitinib in GVHD. In 2016, we recognized a $5.0 million payment in exchange for the development and commercialization rights to ruxolitinib in GVHD outside of the United States and a $40.0 million regulatory milestone for the reimbursement of JAKAVI in Europe for the treatment of patients with polycythemia vera. In 2015, we recognized a $5.0 million development milestone based on the formal initiation by Novartis of a Phase II clinical trial evaluating capmatinib for a third indication, a $25.0 million regulatory milestone triggered by the Committee for Medicinal Products for Human Use of the European Medicines Agency adopting a positive opinion for JAKAVI (ruxolitinib) for the treatment of adult patients with polycythemia vera who are resistant to or intolerant of hydroxyurea, a $15.0 million regulatory milestone for the approval of JAKAVI in Japan for the treatment of patients with polycythemia vera, and a $20.0 million sales milestone for Novartis achieving annual net sales of a JAK licensed product of $300.0 million. In 2014, we recognized a $60.0 million regulatory milestone related to reimbursement of JAKAVI in Europe, a $25.0 million regulatory milestone for the approval of JAKAVI in Japan for the treatment of patients with myelofibrosis and a $7.0 million development milestone based on the formal initiation by Novartis of a Phase II clinical trial evaluating capmatinib in non-small cell lung cancer. In 2013, we recognized a $25.0 million development milestone based on the formal initiation by Novartis of a Phase II clinical trial evaluating capmatinib. In 2012, we recognized a $40.0 million regulatory milestone for the achievement of a predefined milestone for the European Union regulatory approval of JAKAVI. In 2011, we recognized a $15.0 million development milestone for the achievement of a predefined milestone in the Phase I dose-escalation trial for capmatinib in patients with solid tumors and a $10.0 million regulatory milestone for the approval of JAKAFI in the United States. In 2010, we recognized $50.0 million in development milestones for the initiation of the global Phase III trial, RESPONSE, in patients with polycythemia vera. We determined that each of these milestones were substantive as their achievement required substantive efforts by us and was at risk until the milestones were ultimately achieved.</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also are eligible to receive tiered, double-digit royalties ranging from the upper-teens to the mid-twenties on future JAKAVI net sales outside of the United States, and tiered, worldwide royalties on future capmatinib net sales that range from 12% to 14%. Since the achievement of the $60.0 million regulatory milestone related to reimbursement of JAKAVI in Europe in September 2014, we are obligated to pay to Novartis tiered royalties in the low single-digits on future JAKAFI net sales within the United States. During the three and nine months ended September 30, 2018, such royalties payable to Novartis on net sales within the United States totaled $17.0 million and $44.3 million, respectively, and are reflected in cost of product revenues on the condensed consolidated statements of operations. During the three and nine months ended September 30, 2017, such royalties payable to Novartis on net sales within the United States totaled $14.9 million and $35.7 million, respectively, and are reflected in cost of product revenues on the condensed consolidated statements of operations. At September 30, 2018 and December 31, 2017, $17.0 million and $14.8 million, respectively, of accrued royalties payable to Novartis were included in accrued and other current liabilities on the condensed consolidated balance sheets.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Novartis agreement will continue on a program-by-program basis until Novartis has no royalty payment obligations with respect to such program or, if earlier, the termination of the agreement or any program in accordance with the terms of the agreement. Royalties are payable by Novartis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program-by-program basis by Novartis for convenience. The agreement may also be terminated by either party under certain other circumstances, including material breach.</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determined that there were two deliverables under the agreement: (i) the ex-U.S. license for ruxolitinib and (ii) our obligations in connection with our participation on the joint development committee for myelofibrosis and polycythemia vera/essential thrombocythemia. We concluded that these deliverables should be accounted for as a single unit of accounting and the $150.0 million upfront payment received in December 2009 and the immediate $60.0 million milestone payment received in January 2010 should be recognized on a straight-line basis through December 2013, when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estimated we would complete our obligations in connection with our participation on the joint development committee for myelofibrosis and polycythemia vera, our estimated performance period under the agreement. We completed this substantive performance obligation related to this arrangement in December 2013.</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At December 31, 2009, we recorded $10.9 million of reimbursable costs incurred prior to the effective date of the agreement as deferred revenue on the consolidated balance sheet. These costs were recognized on a straight-line basis through December 2013 consistent with the aforementioned upfront and milestone payments. Future reimbursable costs incurred after the effective date of the agreement with Novartis are recorded net against the related research and development expenses. At September 30, 2018 and December 31, 2017, $0.4 million and $1.6 million, respectively, of reimbursable costs were included in accounts receivable on the condensed consolidated balance sheets. Research and development expenses for the three and nine months ended September 30, 2018 were net of $1.2 million and $2.4 million, respectively, of costs reimbursed by Novartis. Research and development expenses for the three and nine months ended September 30, 2017 were net of $0.4 million and $1.9 million, respectively, of costs reimbursed by Novartis.</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Milestone revenue under the Novartis agreement for the three and nine months ended September 30, 2018 was $0.0 million. Milestone revenue under the Novartis agreement for the three and nine months ended September 30, 2017 was $0.0 million and $25.0 million, respectively. Product royalty revenue related to Novartis net sales of JAKAVI outside of the United States for the three and nine months ended September 30, 2018 was $50.9 million and $139.4 million, respectively. Product royalty revenue related to Novartis net sales of JAKAVI outside of the United States for the three and nine months ended September 30, 2017 was $41.3 million and $104.0 million, respectively. At September 30, 2018 and December 31, 2017, $50.9 million and $47.7 million, respectively, of product royalties were included in accounts receivable on the condensed consolidated balance sheets.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Lilly - Baricitinib</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 We received an upfront payment of $90.0 million, and were initially eligible to receive up to $665.0 million in substantive milestone payments across multiple indications upon the achievement of pre-specified events, including up to $150.0 million for the achievement of development milestones, up to $365.0 million for the achievement of regulatory milestones and up to $150.0 million for the achievement of commercialization milestones. Exclusive of the upfront payment of $90.0 million received in 2009, we have recognized and received, in aggregate, $149.0 million for the achievement of development milestones and $235.0 million for the achievement of regulatory milestones through September 30, 2018.</w:t>
      </w:r>
    </w:p>
    <w:p>
      <w:pPr>
        <w:spacing w:after="0" w:line="1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January 2016, Lilly submitted an NDA to the FDA and a Marketing Authorization Application (MAA) to the European Medicines Agency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In July 2017, Japan's Ministry of Health, Labor and Welfare granted marketing approval for OLUMIANTfor the treatment of rheumatoid arthritis in patients with inadequate response to standard-of-care therapies. In June 2018, the FDA approved the 2mg dose of OLUMIANT for the treatment of adults with moderately-to-severely active rheumatoid arthritis who have had an inadequate response to one or more tumor necrosis factor inhibitor therapies.</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During the nine months ended September 30, 2018, under this agreement, we recognized a $20.0 million development milestone for the first patient treated in the systemic lupus erythematosus Phase III program for baricitinib and a $100.0 million regulatory milestone for the FDA approval of the 2mg dose of OLUMIANT (baricitinib) for the treatment of adults with moderately-to-severely active rheumatoid arthritis. In 2017, we recognized a $30.0 million development milestone for the first patient treated in the atopic dermatitis Phase III program for baricitinib, $15.0 million regulatory milestone for the approval of baricitinib for the treatment of rheumatoid arthritis by Japan’s Ministry of Health, Labor and Welfare and a $65.0 million regulatory milestone for the approval of baricitinib for the treatment of moderate-to-severe rheumatoid arthritis in adult patients by the European Commission. In 2016, we recognized a $35.0 million regulatory milestone for the submission of an NDA to the FDA for the approval of oral once-daily baricitinib for the treatment of moderate-to-severe rheumatoid arthritis and a $20.0 million regulatory milestone for the submission of a</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Marketing Authorization Application to the European Medicines Agency for the approval of oral once-daily baricitinib for the treatment of moderate-to-severe rheumatoid arthritis. In 2012, we recognized a $50.0 million development milestone for the initiation of the rheumatoid arthritis Phase III program for baricitinib. In 2010, we recognized a $30.0 million development milestone based upon the initial three month data in the Phase IIa clinical trial of baricitinib for the treatment of rheumatoid arthritis and a $19.0 million development milestone for the Phase IIb clinical trial initiation of baricitinib for the treatment of rheumatoid arthritis. We determined that each of these milestones were substantive as their achievement required substantive efforts by us and was at risk until the milestones were ultimately achieved. In July 2010, we elected to co-develop baricitinib with Lilly in rheumatoid arthritis and we are responsible for funding 30% of the associated future global development costs for this indication from the initiation of the Phase IIb trial through regulatory approval, including post-launch studies required by a regulatory authority. We have exercised our co-development options in psoriatic arthritis, atopic dermatitis, alopecia areata, systemic lupus erythematosus and axial spondyloarthritis to fund 30% of future global development costs through regulatory approval, including post-launch studies required by a regulatory authority.</w:t>
      </w:r>
    </w:p>
    <w:p>
      <w:pPr>
        <w:spacing w:after="0" w:line="169"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We retained options to co-develop our JAK1/JAK2 inhibitors with Lilly on a compound-by-compound and indication-by-indication basis. Lilly is responsible for all costs relating to the development and commercialization of the compounds unless we elect to co-develop any compounds or indications. If we elect to co-develop any compounds and/or indications, we would be responsible for funding 30% of the associated future global development costs from the initiation of a Phase IIb trial through regulatory approval, including post-launch studies required by a regulatory authority. We would receive an incremental royalty rate increase across all tiers resulting in effective royalty rates ranging up to the high twenties on potential future global net sales for compounds and/or indications that we elect to co-develop. For indications that we elect not to co</w:t>
      </w:r>
      <w:r>
        <w:rPr>
          <w:rFonts w:ascii="MS PGothic" w:cs="MS PGothic" w:eastAsia="MS PGothic" w:hAnsi="MS PGothic"/>
          <w:sz w:val="16"/>
          <w:szCs w:val="16"/>
          <w:color w:val="auto"/>
        </w:rPr>
        <w:t>‑</w:t>
      </w:r>
      <w:r>
        <w:rPr>
          <w:rFonts w:ascii="Arial" w:cs="Arial" w:eastAsia="Arial" w:hAnsi="Arial"/>
          <w:sz w:val="16"/>
          <w:szCs w:val="16"/>
          <w:color w:val="auto"/>
        </w:rPr>
        <w:t>develop, we would receive tiered, double</w:t>
      </w:r>
      <w:r>
        <w:rPr>
          <w:rFonts w:ascii="MS PGothic" w:cs="MS PGothic" w:eastAsia="MS PGothic" w:hAnsi="MS PGothic"/>
          <w:sz w:val="16"/>
          <w:szCs w:val="16"/>
          <w:color w:val="auto"/>
        </w:rPr>
        <w:t>‑</w:t>
      </w:r>
      <w:r>
        <w:rPr>
          <w:rFonts w:ascii="Arial" w:cs="Arial" w:eastAsia="Arial" w:hAnsi="Arial"/>
          <w:sz w:val="16"/>
          <w:szCs w:val="16"/>
          <w:color w:val="auto"/>
        </w:rPr>
        <w:t>digit royalty payments on future global net sales with rates ranging up to 20% if the product is successfully commercialized. We previously had retained an option to co-promote products in the United States but, in March 2016, we waived our co-promotion option as part of an amendment to the agreement.</w:t>
      </w:r>
    </w:p>
    <w:p>
      <w:pPr>
        <w:spacing w:after="0" w:line="20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Research and development expenses recorded under the Lilly agreement representing 30% of the global development costs for baricitinib for the treatment of rheumatoid arthritis, psoriatic arthritis, atopic dermatitis, alopecia areata, systemic lupus erythematosus and axial spondyloarthritis for the three and nine months ended September 30, 2018 were $18.9 million and $45.6 million, respectively. Research and development expenses recorded under the Lilly agreement representing 30% of the global development costs for baricitinib for the treatment of rheumatoid arthritis, psoriatic arthritis and atopic dermatitis for the three and nine months ended September 30, 2017 were $9.1 million and $27.2 million, respectively. We have retained certain mechanisms to give us cost protection as baricitinib advances in clinical development. We can defer our portion of co-development study costs by indication if they exceed a predetermined level. This deferment would be credited against future milestones or royalties and we would still be eligible for the full incremental royalties related to the co-development option. In addition, even if we have started co-development funding for any indication, we can at any time opt out and stop future co-development cost sharing. If we elect to do this we would still be eligible for our base royalties plus an incremental pro-rated royalty commensurate with our contribution to the total co-development cost for those indications for which we co-funded. The Lilly agreement will continue until Lilly no longer has any royalty payment obligations or, if earlier, the termination of the agreement in accordance with its terms. Royalties are payable by Lilly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determined that there were two deliverables under the agreement: (i) the worldwide license and (ii) our obligations in connection with a co-development option. We concluded that these deliverables should be accounted for as a single unit of accounting and the $90.0 million upfront payment should be recognized on a straight-line basis as revenue through December 2016, our estimated performance period under the agreement. We completed our substantive performance obligation related to this arrangement in December 2016.</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Milestone revenue under the Lilly agreement for the three and nine months ended September 30, 2018 was $20.0 million and $120.0 million, respectively. Milestone revenue under the Lilly agreement for the three and nine months ended September 30, 2017 was $15.0 million and $80.0 million, respectively. Product royalty revenue related to Lilly global net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of OLUMIANT for the three and nine months ended September 30, 2018 was $11.0 million and $26.2 million, respectively. Product royalty revenue related to Lilly global net sales of OLUMIANT for the three and nine months ended September 30, 2017 was $3.2 million and $4.5 million, respectively. At September 30, 2018 and December 31, 2017, $11.1 million and $4.6 million, respectively, of product royalties were included in accounts receivable on the condensed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Lilly - Ruxolitinib</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2016, we entered into an amendment to the agreement with Lilly that amended the non-compete provision of the agreement to allow us to engage in the development and commercialization of ruxolitinib in the GVHD field. We paid Lilly an upfront payment of $35.0 million and Lilly is eligible to receive up to $40.0 million in additional regulatory milestone payments relating to ruxolitinib in the GVHD field.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The agreement became effective on February 18, 2015, upon the expiration of the waiting period under the Hart-Scott-Rodino Antitrust Improvements Act of 1976. In February 2017, we and Agenus amended this agreement (the “Amended Agreement”).</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Under the terms of the Amended Agreement,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Targets may be designated profit-share programs, where all costs and profits are shared equally by us and Agenus, or royalty-bearing programs, where we are responsible for all costs associated with discovery, preclinical, clinical development and commercialization activities. The programs relating to GITR and OX40 and two of the undisclosed targets were profit-share programs until February 2017, while the other targets currently under collaboration are royalty-bearing programs. The Amended Agreement converted the programs relating to GITR and OX40 to royalty-bearing programs and removed from the collaboration the profit-share programs relating to the two undisclosed targets, with one reverting to us and one reverting to Agenus. Should any of those removed programs be successfully developed by a party, the other party will be eligible to receive the same milestone payments as the royalty-bearing programs and royalties at a 15% rate on global net sales. There are currently no profit-share programs. For each royalty-bearing product other than GITR and OX40, Agenus will be eligible to receive tiered royalties on global net sales ranging from 6% to 12%. For GITR and OX40, Agenus will be eligible to receive 15% royalties on global net sales.</w:t>
      </w:r>
    </w:p>
    <w:p>
      <w:pPr>
        <w:spacing w:after="0" w:line="17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the Amended Agreement, we paid Agenus $20.0 million in accelerated milestones relating to the clinical development of the GITR and OX40 programs, which is recorded in research and development expense on the consolidated statement of operations during the year ended December 31, 2017. Agenus is eligible to receive up to an additional $510.0 million in future contingent development, regulatory and commercialization milestones across all programs in the collaboration. The agreement may be terminated by us for convenience upon 12 months’ notice and may also be terminated under certain other circumstances, including material breach. In June 2018, we recorded a $5.0 million development milestone due to Agenus for the LAG-3 program and in September 2018 we recorded a $5.0 million development milestone due to Agenus for the TIM-3 program, which are recorded in research and development expense on the condensed consolidated statement of operations for the nine months ended September 30, 2018.</w:t>
      </w:r>
    </w:p>
    <w:p>
      <w:pPr>
        <w:spacing w:after="0" w:line="18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connection with the Amended Agreement, we also agreed to purchase 10.0 million shares of Agenus Inc. common stock for an aggregate purchase price of $60.0 million in cash, or $6.00 per share. We completed the purchase of the shares on February 14, 2017, when the closing price on The Nasdaq Stock Market for Agenus Inc. shares was $4.40 per share. The shares we acquired were not registered under the Securities Act of 1933 on the purchase date and were subject to certain security specific restrictions for a period of time, and accordingly, we estimated a discount for lack of marketability on the shares on the issuance date of $4.5 million, which resulted in a net fair value of the shares on the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issuance date of $39.5 million. Therefore, of the total consideration paid of $60.0 million, $39.5 million was allocated to our stock purchase in Agenus Inc. and was recorded within long term investments on the condensed consolidated balance sheets and $20.5 million was allocated to research and development expense on the consolidated statement of operations during the nine months ended September 30, 2017.</w:t>
      </w:r>
    </w:p>
    <w:p>
      <w:pPr>
        <w:spacing w:after="0" w:line="18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We have concluded Agenus Inc. is not a VIE because it has sufficient equity to finance its activities without additional subordinated financial support and its at-risk equity holders have the characteristics of a controlling financial interest. From the date of our initial stock purchase in February 2015 and up to the date of our second stock purchase in February 2017, we owned between 9% and 11% of the outstanding shares of Agenus Inc. common stock. As a result of our February 2017 stock purchase, we owned approximately 16% of the outstanding shares of Agenus Inc. common stock as of September 30, 2018. We concluded that we have the ability to exercise significant influence, but not control, over Agenus Inc. based primarily on our ownership interest, the fact that we have been the largest Agenus stockholder since the date of our initial stock purchase, the level of intra-entity transactions between us and Agenus related to development expenses, as well as other qualitative factors. We have elected the fair value option to account for our long term investment in Agenus Inc. whereby the investment is marked to market through earnings in each reporting period. We believe the fair value option to be the most appropriate accounting method to account for securities in publicly held collaborators for which we have significant influence. For the three and nine months ended September 30, 2018, we recorded an unrealized loss of $2.3 million and $19.9 million, respectively, based on the changes in the market price of Agenus Inc.’s common stock during these periods. For the three and nine months ended September 30, 2017, we recorded an unrealized gain of $10.2 million and $6.8 million, respectively, based on the changes in the market price of Agenus Inc.’s common stock during these periods. The fair market value of our long term investment in Agenus Inc. at September 30, 2018 and December 31, 2017 was $38.0 million and $57.9 million, respectively.</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Research and development expenses for the three and nine months ended September 30, 2018 also included $1.0 million and $3.8 million, respectively, of development costs incurred pursuant to the Agenus arrangement. Research and development expenses for the three and nine months ended September 30, 2017 also included $29.7 million and $48.6 million, respectively, of development costs incurred pursuant to the Agenus arrangement. At September 30, 2018 and December 31, 2017, a total of $2.2 million and $3.2 million, respectively, of such costs were included in accrued and other liabilities on the condensed consolidated balance sheets.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February 2018, Agenus’ independent registered public accounting firm, KPMG LLP, expressed substantial doubt within Agenus’ Form 10-K filing regarding the entity’s ability to continue as a going concern. During the third quarter of 2018, Agenus experienced a significant decline in stock price. In Agenus’ June 30, 2018 Form 10-Q filed August 9, 2018, they noted approximately $43.2 million in cash and cash equivalents and quarterly operating expenses of approximately $32.5 million. For the three and six months ended June 30, 2018, Agenus Inc. reported total revenues of $15.9 million and $17.5 million, respectively, and net losses of $25.2 million and $79.5 million, respectively, within their consolidated financial statements. At this time, we have no plans to participate in any future equity-based fundraising, and, in the event of any future equity-based fundraising, anticipate dilution of our ownership percentage and a significant permanent decrease in the value of our overall investment.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December 2016, we entered into a Collaboration and License Agreement with Merus N.V. Under this agreement, which became effective in January 2017, the parties have agreed to collaborate with respect to the research, discovery and development of bispecific antibodies utilizing Merus’ technology platform. The collaboration encompasses up to eleven independent programs, including two of Merus’ current preclinical immuno-oncology discovery programs. We received exclusive development and commercialization rights outside of the United States to products and product candidates resulting from one of Merus’ current preclinical discovery programs, referred to as “Program 1.” We also received worldwide exclusive development and commercialization rights to products and product candidates resulting from the other current Merus preclinical discovery program that is subject to the collaboration and to up to nine additional programs. Merus retained exclusive development and commercialization rights in the United States to products and product candidates resulting from Program 1 and options, subject to certain conditions, to co-fund development of products resulting from two other programs in exchange for a share of profits in the United States. Should Program 1 fail to successfully complete IND-enabling toxicology studies, Merus would be granted an additional option to co-fund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development of a program in exchange for a share of profits in the United States. All costs related to the collaboration are subject to joint research and development plans. Each party will share equally the costs of mutually agreed global development activities for Program 1, and fund itself any independent development activities in its territory. We will be responsible for all research, development and commercialization costs relating to all other programs, subject to Merus’ election to co-fund development and co-detail described above.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February 2017, we paid Merus an upfront non-refundable payment of $120.0 million, which is recorded in research and development expense on the condensed consolidated statement of operations. For each program as to which Merus does not have commercialization or co-development rights, Merus will be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will be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non-co-developed programs and, depending on the stage at which Merus chose to cease co-funding development costs, additional royalties ranging up to 4% of net sales in the United States. For Program 1, we and Merus will each be eligible to receive tiered royalties on net sales in the other party’s territory at rates ranging from 6% to 10%.</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Merus agreement will continue on a program-by-program basis until we have no royalty payment obligations with respect to such program or, if earlier, the termination of the agreement or any program in accordance with the terms of the agreement. The agreement may be terminated in its entirety or on a program-by-program basis by us for convenience. The agreement may also be terminated by either party under certain other circumstances, including material 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in December 2016, we entered into a Share Subscription Agreement with Merus, pursuant to which we agreed to purchase 3.2 million common shares of Merus for an aggregate purchase price of $80.0 million in cash, or $25.00 per share.</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agreed to certain standstill provisions whereby we are obligated to refrain from taking certain actions with respect to Merus or Merus’ common shares during a period ending on the earliest of (i) three years from the closing date of our share purchase, (ii) the date Merus publicly announces any merger or similar business combination or another party announces an intention to acquire a substantial portion of Merus’ securities, and (iii) the termination of the Collaboration and License Agreement. The standstill provisions are subject to certain exceptions, including an exception that allows us to maintain our percentage ownership following equity financings by Merus. We also agreed, subject to limited exceptions, not to sell or otherwise transfer any of our Merus shares for a period, referred to as the Lock-Up Period, ending on the earlier of 18 months after the closing date of the sale of the Shares or the end of the standstill period. In addition, if the standstill period has not been terminated earlier upon the occurrence of certain events, for a period of three years after the Lock-Up Period, we will be restricted from selling or otherwise transferring more than one-third of our Merus shares during any 12-month period or 10% of our Merus shares during any three-month period, unless Merus consents otherwise. We have further agreed that during the standstill period, we will vote all of our Merus shares in accordance with the recommendation of a majority of Merus’ supervisory board. However, we may vote our Merus shares at our own discretion for certain extraordinary matters, including a change in control of Merus. Merus has agreed to customary resale registration rights with respect to our Merus shares; however, any such resales will be subject to the Lock-Up Period and volume limitations on sale and transfer described above.</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completed the purchase of the shares on January 23, 2017 when the closing price on The Nasdaq Stock Market for Merus shares was $24.50 per share. The shares we acquired were not registered under the Securities Act of 1933 on the purchase date and were subject to certain security specific restrictions for a period of time, and accordingly, we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estimated a discount for lack of marketability on the shares on the issuance date of $5.6 million, which resulted in a net fair value of the shares on the issuance date of $72.8 million. Of the total consideration paid of $80.0 million, $72.8 million was allocated to our stock purchase in Merus and was recorded as a long term investment on the consolidated balance sheets and $7.2 million was allocated to research and development expense on the consolidated statement of operations during the nine months ended September 30, 2017. The fair market value of our total long term investment in Merus at September 30, 2018 and December 31, 2017 was $63.2 million and $62.1 million, respectively.</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concluded Merus is not a VIE because it has sufficient equity to finance its activities without additional subordinated financial support and its at-risk equity holders have the characteristics of a controlling financial interest. As of September 30, 2018, we owned approximately 14% of the outstanding shares of Merus common stock and conclude that we have the ability to exercise significant influence, but not control, over Merus based primarily on our ownership interest, the level of intra-entity transactions between us and Merus related to development expenses, as well as other qualitative factors. We have elected the fair value option to account for our long term investment in Merus whereby the investment is marked to market through earnings in each reporting period. We believe the fair value option to be the most appropriate accounting method to account for securities in publicly held collaborators for which we have significant influence. For the three and nine months ended September 30, 2018 we recorded an unrealized loss of $9.6 million and an unrealized gain of $1.1 million, respectively, based on the changes in the market price of Merus’ common stock during these periods. For the three months ended September 30, 2017 we recorded an unrealized gain of $12.9 million and for the nine months ended September 30, 2017 we recorded an unrealized loss of $9.2 million, based on the changes in the market price of Merus’ common stock during these periods. For the three and six months ended June 30, 2018, Merus N.V. reported within their Form 6-K total revenues of approximately €6.5 million and €16.5 million, respectively, and net loss of approximately €4.6 million and €13.0 million, respectively, within their unaudited condensed consolidated financial statements.</w:t>
      </w:r>
    </w:p>
    <w:p>
      <w:pPr>
        <w:spacing w:after="0" w:line="1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Research and development expenses for the three and nine months ended September 30, 2018 included $2.1 million and $7.3 million, respectively, of additional development costs incurred pursuant to the Merus agreement. Research and development expenses for the three and nine months ended September 30, 2017 included $1.7 million and $4.3 million, respectively, of additional development costs incurred pursuant to the Merus agreement. At September 30, 2018 and December 31, 2017, a total of $2.1 million and $2.1 million, respectively, of such costs were included in accrued and other liabilities on the condensed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January 2017, we entered into a Collaboration and License Agreement with Calithera Biosciences, Inc. Under this agreement, we received an exclusive, worldwide license to develop and commercialize small molecule arginase inhibitors, including CB-1158, which is currently in Phase I clinical trials, for hematology and oncology indications. We have agreed to co-fund 70% of the global development costs for the development of the licensed products for hematology and oncology indications. Calithera will have the right to conduct certain clinical development under the collaboration, including combination studies of a licensed product with a proprietary compound of Calithera. We will be entitled to 60% of the profits and losses from net sales of licensed product in the United States, and Calithera will have the right to co-detail licensed products in the United States, and we have agreed to pay Calithera tiered royalties ranging from the low to mid-double digits on net sales of licensed products outside the United States. Calithera may opt out of its co-funding obligation, in which case the U.S. profit sharing will no longer be in effect, and we have agreed to pay Calithera tiered royalties ranging from the low to mid-double digits on net sales of licensed products both in the United States and outside the United States, and additional royalties to reimburse Calithera for previously incurred development costs.</w:t>
      </w:r>
    </w:p>
    <w:p>
      <w:pPr>
        <w:spacing w:after="0" w:line="16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In January 2017, we paid Calithera an upfront license fee of $45.0 million and have agreed to pay potential development, regulatory and sales milestone payments of over $430.0 million if the profit share is in effect, or $750.0 million if the profit share terminates. In March 2017, Calithera earned a $12.0 million milestone payment from us for the achievement of pharmacokinetic and pharmacodynamics goals for CB-1158 which was recorded in research and development expense on our consolidated statement of operations.</w:t>
      </w:r>
    </w:p>
    <w:p>
      <w:pPr>
        <w:spacing w:after="0" w:line="188"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The Calithera agreement will continue on a product-by-product and country-by-country basis for so long as we are developing or commercializing products in the United States (if the parties are sharing profits in the United States) and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until we have no further royalty payment obligations, unless earlier terminated according to the terms of the agreement. The agreement may be terminated in its entirety or on a product-by-product and/or a country-by-country basis by us for convenience. The agreement may also be terminated by us for Calithera’s uncured material breach, by Calithera for our uncured material breach and by either party for bankruptcy or patent challenge. If the agreement is terminated early with respect to one or more products or countries, all rights in the terminated products and countries revert to Calithera.</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in January 2017, we entered into a Stock Purchase Agreement with Calithera for the purchase of 1.7 million common shares of Calithera for an aggregate purchase price of $8.0 million in cash, or $4.65 per share. We completed the purchase of the shares on January 30, 2017 when the closing price on The Nasdaq Stock Market was $6.75 per share. The shares we acquired were registered under the Securities Act of 1933 on the purchase date and there were no security specific restrictions for these shares, and therefore the value of the 1.7 million shares acquired by us was $11.6 million. We paid total consideration of $53.0 million to Calithera, composed of the $45.0 million upfront license fee and the $8.0 million stock purchase price. Of the $53.0 million, $11.6 million was allocated to our stock purchase in Calithera and was recorded within long term investments on the consolidated balance sheets and $41.4 million was allocated to research and development expense on the consolidated statement of operations during the nine months ended September 30, 2017. The fair market value of our long term investment in Calithera at September 30, 2018 and December 31, 2017 was $9.0 million and $14.4 million, respectively.</w:t>
      </w:r>
    </w:p>
    <w:p>
      <w:pPr>
        <w:spacing w:after="0" w:line="1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concluded Calithera is not a VIE because it has sufficient equity to finance its activities without additional subordinated financial support and its at-risk equity holders have the characteristics of a controlling financial interest. As of September 30, 2018, we owned approximately 5% of the outstanding shares of Calithera common stock and there are several other stockholders who hold larger positions of Calithera. We intend to hold the investment in Calithera for the foreseeable future, and thereby have classified the investment within long term investments on the accompanying condensed consolidated balance sheets. Under guidance implemented by ASU No. 2016-01, the investment is marked to market through earnings in each reporting period. Prior to implementation, the unrealized gains and losses on our investment in Calithera were recorded in accumulated other comprehensive income (loss). To adopt ASU No. 2016-01, the January 1, 2018 accumulated deficit balance decreased by $2.8 million to reflect these prior period unrealized gains. For the three and nine months ended September 30, 2018 we recorded an unrealized gain of $0.4 million and an unrealized loss of $5.3 million, respectively, based on the changes in the market price of Calithera’s common stock during these periods. For the three and nine months ended September 30, 2017 we recorded an unrealized gain of $1.5 million and $15.5 million, respectively, based on the changes in the market price of Calithera’s common stock during these periods.</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March 2017, Calithera earned a $12.0 million milestone payment from us for the achievement of pharmacokinetic and pharmacodynamics goals for CB-1158 which was recorded in research and development expense on our condensed consolidated statement of operations during the nine months ended September 30, 2017. Research and development expenses for the three and nine months ended September 30, 2018 also included $2.4 million and $8.2 million, respectively, of additional development costs incurred pursuant to the Calithera agreement. Research and development expenses for the three and nine months ended September 30, 2017 also included $2.3 million and $5.9 million, respectively, of additional development costs incurred pursuant to the Calithera agreement. At September 30, 2018 and December 31, 2017, a total of $1.7 million and $0.9 million, respectively, of such costs were included in accrued and other liabilities on the condensed consolidated balance sheets.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MacroGenics</w:t>
      </w:r>
    </w:p>
    <w:p>
      <w:pPr>
        <w:spacing w:after="0" w:line="10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October 2017, we entered into a Global Collaboration and License Agreement with MacroGenics, Inc. Under this agreement, we received exclusive development and commercialization rights worldwide to MacroGenics’ INCMGA0012 (formerly MGA012), an investigational monoclonal antibody that inhibits PD-1. Except as set forth in the succeeding sentence, we will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 In December 2017, we paid MacroGenics an upfront payment of $150.0 million which was recorded in research and development expense on our consolidated statement of operations. MacroGenics will be eligible to receive up to $420.0 million in future contingent development and regulatory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milestones and up to $330.0 million in commercial milestones as well as tiered royalties ranging from 15% to 24% of global net sales. In September 2018, we recorded $10.0 million in aggregate milestones due to MacroGenics for the achievement of certain clinical milestones as part of our collaboration and license agreement, which are recorded in research and development expense on our condensed consolidated statement of operations for the nine months ended September 30, 2018.</w:t>
      </w:r>
    </w:p>
    <w:p>
      <w:pPr>
        <w:spacing w:after="0" w:line="15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MacroGenics agreement will continue until we are no longer commercializing, developing or manufacturing 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expenses for the three and nine months ended September 30, 2018 also included $6.3 million and $23.7 million, respectively, of additional development costs incurred pursuant to the MacroGenics agreement. At September 30, 2018 and December 31, 2017, a total of $1.4 million and $1.1 million of such costs were included in accrued and other liabilities on the condensed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Syros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January 2018, we entered into a target discovery, research collaboration and option agreement with Syros Pharmaceuticals, Inc.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 up to $65.0 million in potential commercial milestones. Syros is also eligible to receive low single-digit royalties on net sales of products resulting from the collaboration. In January 2018, we paid Syros an upfront non-refundable (except in the event of a material breach of the agreement by Syros) payment of $10.0 million, which was recorded in research and development expense during the nine months ended September 30, 2018.</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in January 2018, we entered into a Stock Purchase Agreement with Syros for the purchase of 0.8 million common shares of Syros for an aggregate purchase price of $10.0 million in cash, or $12.61 per share. We agreed to not sell or otherwise transfer any of our Syros shares for a period, referred to as the Lock-Up Period, of 12 months after the closing date of the sale. We completed the purchase of the shares on January 8, 2018 when the closing price on The Nasdaq Stock Market was $9.77 per share. The shares we acquired were not registered on the purchase date, and accordingly, we estimated a discount for lack of marketability on the shares of $0.1 million, which resulted in a net fair value of the shares on the issuance date of $7.6 million. Of the $10.0 million aggregate purchase price paid, $7.6 million was allocated to our stock purchase in Syros and was recorded within long term investments on the condensed consolidated balance sheet and $2.4 million, representing premium paid on the purchase, was allocated to research and development expense on the condensed consolidated statement of operations for the nine months ended September 30, 2018. Also in January 2018, we entered into an Amended Stock Purchase Agreement with Syros for the purchase of an additional 0.1 million common shares of Syros for an aggregate purchase price of $1.4 million in cash, or $9.55 per share. The shares were acquired in February 2018 and the $1.4 million aggregate purchase price was recorded within long term investments on the condensed consolidated balance sheet. All acquired shares were subsequently registered under the Securities Act of 1933 in February 2018. The fair market value of our long term investment in Syros as of September 30, 2018 was $11.2 million.</w:t>
      </w:r>
    </w:p>
    <w:p>
      <w:pPr>
        <w:spacing w:after="0" w:line="16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concluded Syros is not a VIE because it has sufficient equity to finance its activities without additional subordinated financial support and its at-risk equity holders have the characteristics of a controlling financial interest. As of September 30, 2018, we owned approximately 3% of the outstanding shares of Syros common stock and there are several other stockholders who hold larger positions of Syros. As we do not hold a significant position of the voting shares of Syros and lack the qualitative characteristics associated with the ability to exercise significant influence, our ownership</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does not meet the criteria to be accounted for as an equity method investment. We intend to hold the investment in Syros for the foreseeable future and therefore, are accounting for our shares held in Syros at fair value under ASU No. 2016-01, and the investment is marked to market through earnings in each reporting period. Given our intent to hold the investment for the foreseeable future, we have classified the investment within long term investments on the accompanying condensed consolidated balance sheet. For the three and nine months ended September 30, 2018, we recorded an unrealized gain of $1.6 million and $2.2 million, respectively, based on the changes in the market price of Syros’ common stock from the date of purchase.</w:t>
      </w:r>
    </w:p>
    <w:p>
      <w:pPr>
        <w:spacing w:after="0" w:line="185" w:lineRule="exact"/>
        <w:rPr>
          <w:sz w:val="20"/>
          <w:szCs w:val="20"/>
          <w:color w:val="auto"/>
        </w:rPr>
      </w:pPr>
    </w:p>
    <w:p>
      <w:pPr>
        <w:ind w:left="460" w:hanging="457"/>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recorded $38.0 million and $110.8 million of stock compensation expense on our condensed consolidated statements of operations for the three and nine months ended September 30, 2018, respectively. We recorded $34.9 million and $99.3 million of stock compensation expense on our condensed consolidated statements of operations for the three and nine months ended September 30, 2017, respectively. Stock compensation expense included within our condensed consolidated statements of operations included research and development expense of $26.3 million, $75.3 million, $23.4 million and $67.8 million for the three and nine months ended September 30, 2018 and 2017, respectively. Stock compensation expense included within our condensed consolidated statements of operations also included selling, general and administrative expense of $11.7 million, $35.5 million, $11.5 million and $31.5 million for the three and nine months ended September 30, 2018 and 2017, respectively.</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utilized the Black-Scholes valuation model for estimating the fair value of the stock compensation granted, with the following weighted-average assumptions:</w:t>
      </w:r>
    </w:p>
    <w:p>
      <w:pPr>
        <w:sectPr>
          <w:pgSz w:w="11900" w:h="16838" w:orient="portrait"/>
          <w:cols w:equalWidth="0" w:num="1">
            <w:col w:w="9060"/>
          </w:cols>
          <w:pgMar w:left="1420" w:top="125" w:right="1419" w:bottom="1440" w:gutter="0" w:footer="0" w:header="0"/>
        </w:sectPr>
      </w:pPr>
    </w:p>
    <w:p>
      <w:pPr>
        <w:spacing w:after="0" w:line="176"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Employee Stock Options</w:t>
      </w:r>
    </w:p>
    <w:p>
      <w:pPr>
        <w:spacing w:after="0" w:line="10" w:lineRule="exact"/>
        <w:rPr>
          <w:sz w:val="20"/>
          <w:szCs w:val="20"/>
          <w:color w:val="auto"/>
        </w:rPr>
      </w:pPr>
    </w:p>
    <w:tbl>
      <w:tblPr>
        <w:tblLayout w:type="fixed"/>
        <w:tblInd w:w="2480" w:type="dxa"/>
        <w:tblCellMar>
          <w:top w:w="0" w:type="dxa"/>
          <w:left w:w="0" w:type="dxa"/>
          <w:bottom w:w="0" w:type="dxa"/>
          <w:right w:w="0" w:type="dxa"/>
        </w:tblCellMar>
      </w:tblPr>
      <w:tr>
        <w:trPr>
          <w:trHeight w:val="119"/>
        </w:trPr>
        <w:tc>
          <w:tcPr>
            <w:tcW w:w="3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70"/>
              <w:spacing w:after="0" w:line="119" w:lineRule="exact"/>
              <w:rPr>
                <w:sz w:val="20"/>
                <w:szCs w:val="20"/>
                <w:color w:val="auto"/>
              </w:rPr>
            </w:pPr>
            <w:r>
              <w:rPr>
                <w:rFonts w:ascii="Arial" w:cs="Arial" w:eastAsia="Arial" w:hAnsi="Arial"/>
                <w:sz w:val="13"/>
                <w:szCs w:val="13"/>
                <w:b w:val="1"/>
                <w:bCs w:val="1"/>
                <w:color w:val="auto"/>
              </w:rPr>
              <w:t>For the Three</w:t>
            </w:r>
          </w:p>
        </w:tc>
        <w:tc>
          <w:tcPr>
            <w:tcW w:w="6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431"/>
              <w:spacing w:after="0" w:line="119" w:lineRule="exact"/>
              <w:rPr>
                <w:sz w:val="20"/>
                <w:szCs w:val="20"/>
                <w:color w:val="auto"/>
              </w:rPr>
            </w:pPr>
            <w:r>
              <w:rPr>
                <w:rFonts w:ascii="Arial" w:cs="Arial" w:eastAsia="Arial" w:hAnsi="Arial"/>
                <w:sz w:val="13"/>
                <w:szCs w:val="13"/>
                <w:b w:val="1"/>
                <w:bCs w:val="1"/>
                <w:color w:val="auto"/>
              </w:rPr>
              <w:t>For the</w:t>
            </w:r>
          </w:p>
        </w:tc>
      </w:tr>
      <w:tr>
        <w:trPr>
          <w:trHeight w:val="171"/>
        </w:trPr>
        <w:tc>
          <w:tcPr>
            <w:tcW w:w="1480" w:type="dxa"/>
            <w:vAlign w:val="bottom"/>
            <w:tcBorders>
              <w:bottom w:val="single" w:sz="8" w:color="auto"/>
            </w:tcBorders>
            <w:gridSpan w:val="2"/>
          </w:tcPr>
          <w:p>
            <w:pPr>
              <w:jc w:val="center"/>
              <w:ind w:left="68"/>
              <w:spacing w:after="0"/>
              <w:rPr>
                <w:sz w:val="20"/>
                <w:szCs w:val="20"/>
                <w:color w:val="auto"/>
              </w:rPr>
            </w:pPr>
            <w:r>
              <w:rPr>
                <w:rFonts w:ascii="Arial" w:cs="Arial" w:eastAsia="Arial" w:hAnsi="Arial"/>
                <w:sz w:val="14"/>
                <w:szCs w:val="14"/>
                <w:b w:val="1"/>
                <w:bCs w:val="1"/>
                <w:color w:val="auto"/>
                <w:w w:val="93"/>
              </w:rPr>
              <w:t>Months Ended</w:t>
            </w:r>
          </w:p>
        </w:tc>
        <w:tc>
          <w:tcPr>
            <w:tcW w:w="1720" w:type="dxa"/>
            <w:vAlign w:val="bottom"/>
            <w:tcBorders>
              <w:bottom w:val="single" w:sz="8" w:color="auto"/>
            </w:tcBorders>
            <w:gridSpan w:val="2"/>
          </w:tcPr>
          <w:p>
            <w:pPr>
              <w:jc w:val="center"/>
              <w:ind w:left="68"/>
              <w:spacing w:after="0"/>
              <w:rPr>
                <w:sz w:val="20"/>
                <w:szCs w:val="20"/>
                <w:color w:val="auto"/>
              </w:rPr>
            </w:pPr>
            <w:r>
              <w:rPr>
                <w:rFonts w:ascii="Arial" w:cs="Arial" w:eastAsia="Arial" w:hAnsi="Arial"/>
                <w:sz w:val="14"/>
                <w:szCs w:val="14"/>
                <w:b w:val="1"/>
                <w:bCs w:val="1"/>
                <w:color w:val="auto"/>
                <w:w w:val="93"/>
              </w:rPr>
              <w:t>Nine Months Ended</w:t>
            </w:r>
          </w:p>
        </w:tc>
      </w:tr>
      <w:tr>
        <w:trPr>
          <w:trHeight w:val="142"/>
        </w:trPr>
        <w:tc>
          <w:tcPr>
            <w:tcW w:w="38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2"/>
                <w:szCs w:val="12"/>
                <w:color w:val="auto"/>
              </w:rPr>
            </w:pPr>
          </w:p>
        </w:tc>
      </w:tr>
      <w:tr>
        <w:trPr>
          <w:trHeight w:val="142"/>
        </w:trPr>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100" w:type="dxa"/>
            <w:vAlign w:val="bottom"/>
          </w:tcPr>
          <w:p>
            <w:pPr>
              <w:jc w:val="right"/>
              <w:ind w:right="210"/>
              <w:spacing w:after="0" w:line="142" w:lineRule="exact"/>
              <w:rPr>
                <w:sz w:val="20"/>
                <w:szCs w:val="20"/>
                <w:color w:val="auto"/>
              </w:rPr>
            </w:pPr>
            <w:r>
              <w:rPr>
                <w:rFonts w:ascii="Arial" w:cs="Arial" w:eastAsia="Arial" w:hAnsi="Arial"/>
                <w:sz w:val="14"/>
                <w:szCs w:val="14"/>
                <w:b w:val="1"/>
                <w:bCs w:val="1"/>
                <w:color w:val="auto"/>
              </w:rPr>
              <w:t>2017</w:t>
            </w:r>
          </w:p>
        </w:tc>
        <w:tc>
          <w:tcPr>
            <w:tcW w:w="64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2018</w:t>
            </w:r>
          </w:p>
        </w:tc>
        <w:tc>
          <w:tcPr>
            <w:tcW w:w="108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2017</w:t>
            </w:r>
          </w:p>
        </w:tc>
      </w:tr>
    </w:tbl>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Employee Stock Purchase Plan</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500" w:type="dxa"/>
            <w:vAlign w:val="bottom"/>
            <w:tcBorders>
              <w:top w:val="single" w:sz="8" w:color="auto"/>
            </w:tcBorders>
          </w:tcPr>
          <w:p>
            <w:pPr>
              <w:jc w:val="center"/>
              <w:ind w:left="11"/>
              <w:spacing w:after="0" w:line="119" w:lineRule="exact"/>
              <w:rPr>
                <w:sz w:val="20"/>
                <w:szCs w:val="20"/>
                <w:color w:val="auto"/>
              </w:rPr>
            </w:pPr>
            <w:r>
              <w:rPr>
                <w:rFonts w:ascii="Arial" w:cs="Arial" w:eastAsia="Arial" w:hAnsi="Arial"/>
                <w:sz w:val="13"/>
                <w:szCs w:val="13"/>
                <w:b w:val="1"/>
                <w:bCs w:val="1"/>
                <w:color w:val="auto"/>
              </w:rPr>
              <w:t>For the Three</w:t>
            </w:r>
          </w:p>
        </w:tc>
        <w:tc>
          <w:tcPr>
            <w:tcW w:w="1680" w:type="dxa"/>
            <w:vAlign w:val="bottom"/>
            <w:tcBorders>
              <w:top w:val="single" w:sz="8" w:color="auto"/>
            </w:tcBorders>
          </w:tcPr>
          <w:p>
            <w:pPr>
              <w:jc w:val="center"/>
              <w:ind w:left="31"/>
              <w:spacing w:after="0" w:line="119" w:lineRule="exact"/>
              <w:rPr>
                <w:sz w:val="20"/>
                <w:szCs w:val="20"/>
                <w:color w:val="auto"/>
              </w:rPr>
            </w:pPr>
            <w:r>
              <w:rPr>
                <w:rFonts w:ascii="Arial" w:cs="Arial" w:eastAsia="Arial" w:hAnsi="Arial"/>
                <w:sz w:val="13"/>
                <w:szCs w:val="13"/>
                <w:b w:val="1"/>
                <w:bCs w:val="1"/>
                <w:color w:val="auto"/>
              </w:rPr>
              <w:t>For the</w:t>
            </w:r>
          </w:p>
        </w:tc>
      </w:tr>
      <w:tr>
        <w:trPr>
          <w:trHeight w:val="178"/>
        </w:trPr>
        <w:tc>
          <w:tcPr>
            <w:tcW w:w="1500" w:type="dxa"/>
            <w:vAlign w:val="bottom"/>
          </w:tcPr>
          <w:p>
            <w:pPr>
              <w:jc w:val="center"/>
              <w:ind w:left="11"/>
              <w:spacing w:after="0"/>
              <w:rPr>
                <w:sz w:val="20"/>
                <w:szCs w:val="20"/>
                <w:color w:val="auto"/>
              </w:rPr>
            </w:pPr>
            <w:r>
              <w:rPr>
                <w:rFonts w:ascii="Arial" w:cs="Arial" w:eastAsia="Arial" w:hAnsi="Arial"/>
                <w:sz w:val="14"/>
                <w:szCs w:val="14"/>
                <w:b w:val="1"/>
                <w:bCs w:val="1"/>
                <w:color w:val="auto"/>
                <w:w w:val="93"/>
              </w:rPr>
              <w:t>Months Ended</w:t>
            </w:r>
          </w:p>
        </w:tc>
        <w:tc>
          <w:tcPr>
            <w:tcW w:w="1680" w:type="dxa"/>
            <w:vAlign w:val="bottom"/>
          </w:tcPr>
          <w:p>
            <w:pPr>
              <w:jc w:val="center"/>
              <w:ind w:left="31"/>
              <w:spacing w:after="0"/>
              <w:rPr>
                <w:sz w:val="20"/>
                <w:szCs w:val="20"/>
                <w:color w:val="auto"/>
              </w:rPr>
            </w:pPr>
            <w:r>
              <w:rPr>
                <w:rFonts w:ascii="Arial" w:cs="Arial" w:eastAsia="Arial" w:hAnsi="Arial"/>
                <w:sz w:val="14"/>
                <w:szCs w:val="14"/>
                <w:b w:val="1"/>
                <w:bCs w:val="1"/>
                <w:color w:val="auto"/>
                <w:w w:val="93"/>
              </w:rPr>
              <w:t>Nine Months Ended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20237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0237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ind w:left="80"/>
        <w:spacing w:after="0"/>
        <w:tabs>
          <w:tab w:leader="none" w:pos="860" w:val="left"/>
          <w:tab w:leader="none" w:pos="1660" w:val="left"/>
          <w:tab w:leader="none" w:pos="24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20" w:lineRule="exact"/>
        <w:rPr>
          <w:sz w:val="20"/>
          <w:szCs w:val="20"/>
          <w:color w:val="auto"/>
        </w:rPr>
      </w:pPr>
    </w:p>
    <w:p>
      <w:pPr>
        <w:sectPr>
          <w:pgSz w:w="11900" w:h="16838" w:orient="portrait"/>
          <w:cols w:equalWidth="0" w:num="2">
            <w:col w:w="5680" w:space="80"/>
            <w:col w:w="3300"/>
          </w:cols>
          <w:pgMar w:left="1420" w:top="125" w:right="14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r>
      <w:tr>
        <w:trPr>
          <w:trHeight w:val="190"/>
        </w:trPr>
        <w:tc>
          <w:tcPr>
            <w:tcW w:w="2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5"/>
              </w:rPr>
              <w:t>Average risk-free interest rates</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2.72 %</w:t>
            </w:r>
          </w:p>
        </w:tc>
        <w:tc>
          <w:tcPr>
            <w:tcW w:w="80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1.81 %</w:t>
            </w:r>
          </w:p>
        </w:tc>
        <w:tc>
          <w:tcPr>
            <w:tcW w:w="80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2.60 %</w:t>
            </w:r>
          </w:p>
        </w:tc>
        <w:tc>
          <w:tcPr>
            <w:tcW w:w="82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1.79 %</w:t>
            </w:r>
          </w:p>
        </w:tc>
        <w:tc>
          <w:tcPr>
            <w:tcW w:w="84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2.81 %</w:t>
            </w:r>
          </w:p>
        </w:tc>
        <w:tc>
          <w:tcPr>
            <w:tcW w:w="80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1.47 %</w:t>
            </w:r>
          </w:p>
        </w:tc>
        <w:tc>
          <w:tcPr>
            <w:tcW w:w="80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2.63 %</w:t>
            </w:r>
          </w:p>
        </w:tc>
        <w:tc>
          <w:tcPr>
            <w:tcW w:w="96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1.37 %</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w w:val="93"/>
              </w:rPr>
              <w:t>Average expected life (in years)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5.03</w:t>
            </w:r>
          </w:p>
        </w:tc>
        <w:tc>
          <w:tcPr>
            <w:tcW w:w="2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4.99</w:t>
            </w:r>
          </w:p>
        </w:tc>
        <w:tc>
          <w:tcPr>
            <w:tcW w:w="2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5.27</w:t>
            </w:r>
          </w:p>
        </w:tc>
        <w:tc>
          <w:tcPr>
            <w:tcW w:w="2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5.24</w:t>
            </w:r>
          </w:p>
        </w:tc>
        <w:tc>
          <w:tcPr>
            <w:tcW w:w="2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c>
          <w:tcPr>
            <w:tcW w:w="2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c>
          <w:tcPr>
            <w:tcW w:w="2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0.50</w:t>
            </w:r>
          </w:p>
        </w:tc>
        <w:tc>
          <w:tcPr>
            <w:tcW w:w="26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0.50</w:t>
            </w:r>
          </w:p>
        </w:tc>
        <w:tc>
          <w:tcPr>
            <w:tcW w:w="42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45 %</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48 %</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45 %</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49 %</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27 %</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39 %</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45 %</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41 %</w:t>
            </w:r>
          </w:p>
        </w:tc>
      </w:tr>
      <w:tr>
        <w:trPr>
          <w:trHeight w:val="202"/>
        </w:trPr>
        <w:tc>
          <w:tcPr>
            <w:tcW w:w="2380" w:type="dxa"/>
            <w:vAlign w:val="bottom"/>
          </w:tcPr>
          <w:p>
            <w:pPr>
              <w:spacing w:after="0" w:line="201" w:lineRule="exact"/>
              <w:rPr>
                <w:sz w:val="20"/>
                <w:szCs w:val="20"/>
                <w:color w:val="auto"/>
              </w:rPr>
            </w:pPr>
            <w:r>
              <w:rPr>
                <w:rFonts w:ascii="Arial" w:cs="Arial" w:eastAsia="Arial" w:hAnsi="Arial"/>
                <w:sz w:val="18"/>
                <w:szCs w:val="18"/>
                <w:color w:val="auto"/>
                <w:w w:val="94"/>
              </w:rPr>
              <w:t>Weighted-average fair value (in</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dollars)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29.32</w:t>
            </w:r>
          </w:p>
        </w:tc>
        <w:tc>
          <w:tcPr>
            <w:tcW w:w="26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55.80</w:t>
            </w:r>
          </w:p>
        </w:tc>
        <w:tc>
          <w:tcPr>
            <w:tcW w:w="24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34.41</w:t>
            </w:r>
          </w:p>
        </w:tc>
        <w:tc>
          <w:tcPr>
            <w:tcW w:w="24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53.81</w:t>
            </w:r>
          </w:p>
        </w:tc>
        <w:tc>
          <w:tcPr>
            <w:tcW w:w="26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13.56</w:t>
            </w:r>
          </w:p>
        </w:tc>
        <w:tc>
          <w:tcPr>
            <w:tcW w:w="24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20.46</w:t>
            </w:r>
          </w:p>
        </w:tc>
        <w:tc>
          <w:tcPr>
            <w:tcW w:w="24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15.91</w:t>
            </w:r>
          </w:p>
        </w:tc>
        <w:tc>
          <w:tcPr>
            <w:tcW w:w="26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19.89</w:t>
            </w:r>
          </w:p>
        </w:tc>
        <w:tc>
          <w:tcPr>
            <w:tcW w:w="420" w:type="dxa"/>
            <w:vAlign w:val="bottom"/>
          </w:tcPr>
          <w:p>
            <w:pPr>
              <w:spacing w:after="0"/>
              <w:rPr>
                <w:sz w:val="20"/>
                <w:szCs w:val="20"/>
                <w:color w:val="auto"/>
              </w:rPr>
            </w:pPr>
          </w:p>
        </w:tc>
      </w:tr>
    </w:tbl>
    <w:p>
      <w:pPr>
        <w:spacing w:after="0" w:line="16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Option activity under the 2010 Stock Plan was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3"/>
          </w:tcPr>
          <w:p>
            <w:pPr>
              <w:jc w:val="center"/>
              <w:ind w:left="396"/>
              <w:spacing w:after="0"/>
              <w:rPr>
                <w:sz w:val="20"/>
                <w:szCs w:val="20"/>
                <w:color w:val="auto"/>
              </w:rPr>
            </w:pPr>
            <w:r>
              <w:rPr>
                <w:rFonts w:ascii="Arial" w:cs="Arial" w:eastAsia="Arial" w:hAnsi="Arial"/>
                <w:sz w:val="14"/>
                <w:szCs w:val="14"/>
                <w:b w:val="1"/>
                <w:bCs w:val="1"/>
                <w:color w:val="auto"/>
                <w:w w:val="89"/>
              </w:rPr>
              <w:t>Shares Subject to</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Shares Available</w:t>
            </w:r>
          </w:p>
        </w:tc>
        <w:tc>
          <w:tcPr>
            <w:tcW w:w="1780" w:type="dxa"/>
            <w:vAlign w:val="bottom"/>
            <w:tcBorders>
              <w:bottom w:val="single" w:sz="8" w:color="auto"/>
            </w:tcBorders>
            <w:gridSpan w:val="3"/>
          </w:tcPr>
          <w:p>
            <w:pPr>
              <w:jc w:val="center"/>
              <w:ind w:left="396"/>
              <w:spacing w:after="0"/>
              <w:rPr>
                <w:sz w:val="20"/>
                <w:szCs w:val="20"/>
                <w:color w:val="auto"/>
              </w:rPr>
            </w:pPr>
            <w:r>
              <w:rPr>
                <w:rFonts w:ascii="Arial" w:cs="Arial" w:eastAsia="Arial" w:hAnsi="Arial"/>
                <w:sz w:val="14"/>
                <w:szCs w:val="14"/>
                <w:b w:val="1"/>
                <w:bCs w:val="1"/>
                <w:color w:val="auto"/>
                <w:w w:val="93"/>
              </w:rPr>
              <w:t>Outstanding Options</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0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1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for Grant</w:t>
            </w:r>
          </w:p>
        </w:tc>
        <w:tc>
          <w:tcPr>
            <w:tcW w:w="1080" w:type="dxa"/>
            <w:vAlign w:val="bottom"/>
            <w:gridSpan w:val="2"/>
            <w:vMerge w:val="continue"/>
          </w:tcPr>
          <w:p>
            <w:pPr>
              <w:spacing w:after="0"/>
              <w:rPr>
                <w:sz w:val="14"/>
                <w:szCs w:val="14"/>
                <w:color w:val="auto"/>
              </w:rPr>
            </w:pPr>
          </w:p>
        </w:tc>
        <w:tc>
          <w:tcPr>
            <w:tcW w:w="12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3,909,701</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11,206,553</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ind w:right="51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68.36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Additional authorization</w:t>
            </w:r>
          </w:p>
        </w:tc>
        <w:tc>
          <w:tcPr>
            <w:tcW w:w="1080" w:type="dxa"/>
            <w:vAlign w:val="bottom"/>
          </w:tcPr>
          <w:p>
            <w:pPr>
              <w:jc w:val="right"/>
              <w:spacing w:after="0"/>
              <w:rPr>
                <w:sz w:val="20"/>
                <w:szCs w:val="20"/>
                <w:color w:val="auto"/>
              </w:rPr>
            </w:pPr>
            <w:r>
              <w:rPr>
                <w:rFonts w:ascii="Arial" w:cs="Arial" w:eastAsia="Arial" w:hAnsi="Arial"/>
                <w:sz w:val="18"/>
                <w:szCs w:val="18"/>
                <w:color w:val="auto"/>
              </w:rPr>
              <w:t>5,000,000</w:t>
            </w: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(3,122,149)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3,122,149</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51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79.08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Options exercised</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(1,080,228)</w:t>
            </w:r>
          </w:p>
        </w:tc>
        <w:tc>
          <w:tcPr>
            <w:tcW w:w="700" w:type="dxa"/>
            <w:vAlign w:val="bottom"/>
          </w:tcPr>
          <w:p>
            <w:pPr>
              <w:jc w:val="center"/>
              <w:ind w:right="51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22.89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495,003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(495,003)</w:t>
            </w:r>
          </w:p>
        </w:tc>
        <w:tc>
          <w:tcPr>
            <w:tcW w:w="700" w:type="dxa"/>
            <w:vAlign w:val="bottom"/>
            <w:shd w:val="clear" w:color="auto" w:fill="CCEEFF"/>
          </w:tcPr>
          <w:p>
            <w:pPr>
              <w:jc w:val="center"/>
              <w:ind w:right="51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96.25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20" w:type="dxa"/>
            <w:vAlign w:val="bottom"/>
          </w:tcPr>
          <w:p>
            <w:pPr>
              <w:spacing w:after="0"/>
              <w:rPr>
                <w:sz w:val="20"/>
                <w:szCs w:val="20"/>
                <w:color w:val="auto"/>
              </w:rPr>
            </w:pPr>
            <w:r>
              <w:rPr>
                <w:rFonts w:ascii="Arial" w:cs="Arial" w:eastAsia="Arial" w:hAnsi="Arial"/>
                <w:sz w:val="18"/>
                <w:szCs w:val="18"/>
                <w:color w:val="auto"/>
              </w:rPr>
              <w:t>Balance at September 30, 2018</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6,282,555</w:t>
            </w:r>
          </w:p>
        </w:tc>
        <w:tc>
          <w:tcPr>
            <w:tcW w:w="1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12,753,471</w:t>
            </w:r>
          </w:p>
        </w:tc>
        <w:tc>
          <w:tcPr>
            <w:tcW w:w="140" w:type="dxa"/>
            <w:vAlign w:val="bottom"/>
          </w:tcPr>
          <w:p>
            <w:pPr>
              <w:spacing w:after="0"/>
              <w:rPr>
                <w:sz w:val="18"/>
                <w:szCs w:val="18"/>
                <w:color w:val="auto"/>
              </w:rPr>
            </w:pPr>
          </w:p>
        </w:tc>
        <w:tc>
          <w:tcPr>
            <w:tcW w:w="700" w:type="dxa"/>
            <w:vAlign w:val="bottom"/>
          </w:tcPr>
          <w:p>
            <w:pPr>
              <w:jc w:val="center"/>
              <w:ind w:right="51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73.76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2016, we revised the terms of our annual stock option grants to provide that new option grants would generally have a 10-year term and vest over four years, with 25% vesting after one year and the remainder vesting in 36 equal monthly installments. Previously, our option grants generally had 7-year terms and vested over three years, with 33% vesting after one year and the remainder vesting in 24 equal monthly installments.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RSU award and PSU activity under the 2010 Stock Plan was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2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Shares Available</w:t>
            </w:r>
          </w:p>
        </w:tc>
        <w:tc>
          <w:tcPr>
            <w:tcW w:w="1620" w:type="dxa"/>
            <w:vAlign w:val="bottom"/>
            <w:gridSpan w:val="4"/>
          </w:tcPr>
          <w:p>
            <w:pPr>
              <w:jc w:val="center"/>
              <w:ind w:left="415"/>
              <w:spacing w:after="0"/>
              <w:rPr>
                <w:sz w:val="20"/>
                <w:szCs w:val="20"/>
                <w:color w:val="auto"/>
              </w:rPr>
            </w:pPr>
            <w:r>
              <w:rPr>
                <w:rFonts w:ascii="Arial" w:cs="Arial" w:eastAsia="Arial" w:hAnsi="Arial"/>
                <w:sz w:val="14"/>
                <w:szCs w:val="14"/>
                <w:b w:val="1"/>
                <w:bCs w:val="1"/>
                <w:color w:val="auto"/>
                <w:w w:val="91"/>
              </w:rPr>
              <w:t>Shares Subject to</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16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3"/>
              </w:rPr>
              <w:t>Outstanding Awards</w:t>
            </w: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12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rPr>
              <w:t>for Grant</w:t>
            </w:r>
          </w:p>
        </w:tc>
        <w:tc>
          <w:tcPr>
            <w:tcW w:w="92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Grant Date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769,202</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1,178,660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98.88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Additional authorization</w:t>
            </w: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RSUs granted</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(867,197)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867,197</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70.48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PSUs granted</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(523,743)</w:t>
            </w:r>
          </w:p>
        </w:tc>
        <w:tc>
          <w:tcPr>
            <w:tcW w:w="840" w:type="dxa"/>
            <w:vAlign w:val="bottom"/>
          </w:tcPr>
          <w:p>
            <w:pPr>
              <w:jc w:val="right"/>
              <w:spacing w:after="0"/>
              <w:rPr>
                <w:sz w:val="20"/>
                <w:szCs w:val="20"/>
                <w:color w:val="auto"/>
              </w:rPr>
            </w:pPr>
            <w:r>
              <w:rPr>
                <w:rFonts w:ascii="Arial" w:cs="Arial" w:eastAsia="Arial" w:hAnsi="Arial"/>
                <w:sz w:val="18"/>
                <w:szCs w:val="18"/>
                <w:color w:val="auto"/>
              </w:rPr>
              <w:t>523,743</w:t>
            </w:r>
          </w:p>
        </w:tc>
        <w:tc>
          <w:tcPr>
            <w:tcW w:w="80" w:type="dxa"/>
            <w:vAlign w:val="bottom"/>
          </w:tcPr>
          <w:p>
            <w:pPr>
              <w:spacing w:after="0"/>
              <w:rPr>
                <w:sz w:val="18"/>
                <w:szCs w:val="18"/>
                <w:color w:val="auto"/>
              </w:rPr>
            </w:pPr>
          </w:p>
        </w:tc>
        <w:tc>
          <w:tcPr>
            <w:tcW w:w="70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66.18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RSUs cancelled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87,983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(87,983)</w:t>
            </w:r>
          </w:p>
        </w:tc>
        <w:tc>
          <w:tcPr>
            <w:tcW w:w="700" w:type="dxa"/>
            <w:vAlign w:val="bottom"/>
            <w:gridSpan w:val="2"/>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97.19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PSUs cancelled</w:t>
            </w:r>
          </w:p>
        </w:tc>
        <w:tc>
          <w:tcPr>
            <w:tcW w:w="1080" w:type="dxa"/>
            <w:vAlign w:val="bottom"/>
          </w:tcPr>
          <w:p>
            <w:pPr>
              <w:jc w:val="right"/>
              <w:spacing w:after="0"/>
              <w:rPr>
                <w:sz w:val="20"/>
                <w:szCs w:val="20"/>
                <w:color w:val="auto"/>
              </w:rPr>
            </w:pPr>
            <w:r>
              <w:rPr>
                <w:rFonts w:ascii="Arial" w:cs="Arial" w:eastAsia="Arial" w:hAnsi="Arial"/>
                <w:sz w:val="18"/>
                <w:szCs w:val="18"/>
                <w:color w:val="auto"/>
              </w:rPr>
              <w:t>6,750</w:t>
            </w: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(6,750)</w:t>
            </w:r>
          </w:p>
        </w:tc>
        <w:tc>
          <w:tcPr>
            <w:tcW w:w="70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65.76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RSUs released</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(337,357)</w:t>
            </w:r>
          </w:p>
        </w:tc>
        <w:tc>
          <w:tcPr>
            <w:tcW w:w="700" w:type="dxa"/>
            <w:vAlign w:val="bottom"/>
            <w:gridSpan w:val="2"/>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92.88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40" w:type="dxa"/>
            <w:vAlign w:val="bottom"/>
          </w:tcPr>
          <w:p>
            <w:pPr>
              <w:spacing w:after="0"/>
              <w:rPr>
                <w:sz w:val="20"/>
                <w:szCs w:val="20"/>
                <w:color w:val="auto"/>
              </w:rPr>
            </w:pPr>
            <w:r>
              <w:rPr>
                <w:rFonts w:ascii="Arial" w:cs="Arial" w:eastAsia="Arial" w:hAnsi="Arial"/>
                <w:sz w:val="18"/>
                <w:szCs w:val="18"/>
                <w:color w:val="auto"/>
              </w:rPr>
              <w:t>Balance at September 30, 2018</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472,995</w:t>
            </w:r>
          </w:p>
        </w:tc>
        <w:tc>
          <w:tcPr>
            <w:tcW w:w="1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2,137,510</w:t>
            </w:r>
          </w:p>
        </w:tc>
        <w:tc>
          <w:tcPr>
            <w:tcW w:w="80" w:type="dxa"/>
            <w:vAlign w:val="bottom"/>
          </w:tcPr>
          <w:p>
            <w:pPr>
              <w:spacing w:after="0"/>
              <w:rPr>
                <w:sz w:val="18"/>
                <w:szCs w:val="18"/>
                <w:color w:val="auto"/>
              </w:rPr>
            </w:pPr>
          </w:p>
        </w:tc>
        <w:tc>
          <w:tcPr>
            <w:tcW w:w="70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80.47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2014, we began granting RSUs and PSUs to our employees at the share price on the date of grant. Each RSU represents the right to acquire one share of our common stock. Each RSU granted prior to July 2016 was subject to cliff vesting after three years. In July 2016, we revised the terms of our RSU grants to provide that the awards will vest 25% annually over four years.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Also, in January 2014, Hervé Hoppenot, our President and Chief Executive Officer, was granted a one-time grant of 400,000 RSUs outside of our 2010 Stock Incentive Plan. Vesting of the RSUs will be subject to Mr. Hoppenot’s continued employment on the applicable vesting dates, with one-sixth of the RSUs vesting at the end of each of the calendar years 2014 through 2019, subject to earlier acceleration of vesting upon the occurrence of certain events in accordance with the terms of his employment agreement. As of September 30, 2018, a cumulative total of 266,667 RSUs granted to Mr. Hoppenot had vested and were released, leaving 133,333 RSUs outstanding.</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June 2018, we granted 190,000 RSUs and 446,500 PSUs under long term incentive plans with performance and/or service-based milestones with graded and cliff vesting over three to four years. For one of the long term incentive plans, under which 106,500 PSUs were granted, the actual number of shares of our common stock into which each PSU may convert are subject to a multiplier of up to 267% based on the level at which the performance conditions are achieved. Compensation expense for the performance-based awards is recorded over the estimated service period for each milestone when the performance conditions are deemed probable of achievement. For the period ended September 30, 2018, the performance conditions were not deemed probable of achievement, therefore the stock compensation expense recorded during the period was for service-based awards.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July 2018, we granted 77,243 PSUs to executives with performance milestones and graded vesting over four years. The shares of our common stock into which each PSU may convert is subject to a multiplier up to 150% based on the level at which the performance conditions are achieved. Compensation expense for the performance-based awards is recorded over the estimated service period for each milestone when the performance conditions are deemed probable of achievement. For the period ended September 30, 2018, we have recorded de minimus stock compensation expense relating to these PSUs.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on our historical experience of employee turnover, we have assumed an annualized forfeiture rate of 5% for our options, RSUs and PSUs. Under the true-up provisions of the stock compensation guidance, we will record additional expense if the actual forfeiture rate is lower than we estimated, and will record a recovery of prior expense if the actual forfeiture is higher than we estimated.</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Total compensation cost of options granted but not yet vested, as of September 30, 2018, was $117.8 million, which is expected to be recognized over the weighted average period of approximately 1.6 years. Total compensation cost of RSUs granted but not yet vested, as of September 30, 2018, was $73.0 million, which is expected to be recognized over the weighted average period of approximately 1.8 years. Total compensation cost of PSUs granted but not yet vested, as of September 30, 2018, was $29.3 million, which will begin to be recognized should the performance conditions be deemed probable of achievement.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share activity: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Shares Issued</w:t>
            </w:r>
          </w:p>
        </w:tc>
      </w:tr>
      <w:tr>
        <w:trPr>
          <w:trHeight w:val="171"/>
        </w:trPr>
        <w:tc>
          <w:tcPr>
            <w:tcW w:w="756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and Outstanding</w:t>
            </w:r>
          </w:p>
        </w:tc>
      </w:tr>
      <w:tr>
        <w:trPr>
          <w:trHeight w:val="210"/>
        </w:trPr>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211,262,906</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Exercise of stock options and issuance under ESPP</w:t>
            </w:r>
          </w:p>
        </w:tc>
        <w:tc>
          <w:tcPr>
            <w:tcW w:w="1360" w:type="dxa"/>
            <w:vAlign w:val="bottom"/>
          </w:tcPr>
          <w:p>
            <w:pPr>
              <w:jc w:val="right"/>
              <w:spacing w:after="0"/>
              <w:rPr>
                <w:sz w:val="20"/>
                <w:szCs w:val="20"/>
                <w:color w:val="auto"/>
              </w:rPr>
            </w:pPr>
            <w:r>
              <w:rPr>
                <w:rFonts w:ascii="Arial" w:cs="Arial" w:eastAsia="Arial" w:hAnsi="Arial"/>
                <w:sz w:val="18"/>
                <w:szCs w:val="18"/>
                <w:color w:val="auto"/>
              </w:rPr>
              <w:t>1,234,321</w:t>
            </w:r>
          </w:p>
        </w:tc>
        <w:tc>
          <w:tcPr>
            <w:tcW w:w="14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Settlement of employee restricted stock units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256,182</w:t>
            </w:r>
          </w:p>
        </w:tc>
        <w:tc>
          <w:tcPr>
            <w:tcW w:w="140" w:type="dxa"/>
            <w:vAlign w:val="bottom"/>
            <w:shd w:val="clear" w:color="auto" w:fill="CCEEFF"/>
          </w:tcPr>
          <w:p>
            <w:pPr>
              <w:spacing w:after="0"/>
              <w:rPr>
                <w:sz w:val="18"/>
                <w:szCs w:val="18"/>
                <w:color w:val="auto"/>
              </w:rPr>
            </w:pPr>
          </w:p>
        </w:tc>
      </w:tr>
      <w:tr>
        <w:trPr>
          <w:trHeight w:val="216"/>
        </w:trPr>
        <w:tc>
          <w:tcPr>
            <w:tcW w:w="7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Conversion of convertible senior notes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140" w:type="dxa"/>
            <w:vAlign w:val="bottom"/>
            <w:tcBorders>
              <w:bottom w:val="single" w:sz="8" w:color="CCEEFF"/>
            </w:tcBorders>
          </w:tcPr>
          <w:p>
            <w:pPr>
              <w:spacing w:after="0"/>
              <w:rPr>
                <w:sz w:val="18"/>
                <w:szCs w:val="18"/>
                <w:color w:val="auto"/>
              </w:rPr>
            </w:pPr>
          </w:p>
        </w:tc>
      </w:tr>
      <w:tr>
        <w:trPr>
          <w:trHeight w:val="217"/>
        </w:trPr>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2018</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212,754,024</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38" w:lineRule="exact"/>
        <w:rPr>
          <w:sz w:val="20"/>
          <w:szCs w:val="20"/>
          <w:color w:val="auto"/>
        </w:rPr>
      </w:pPr>
    </w:p>
    <w:p>
      <w:pPr>
        <w:ind w:left="440" w:hanging="437"/>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offering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September 7, 2017, we completed a public offering of 4,945,000 shares of our authorized but unissued common stock pursuant to an effective shelf registration statement. The underwriter had an option for a period of 30 days to purchase a maximum of 741,750 additional shares of our common stock, which expired unexercised. We sold the shares of common stock to the underwriter at a price of $131.46 per share, resulting in net proceeds, after deducting expenses related to the offering, of approximately $649.4 million.</w:t>
      </w:r>
    </w:p>
    <w:p>
      <w:pPr>
        <w:spacing w:after="0" w:line="198" w:lineRule="exact"/>
        <w:rPr>
          <w:sz w:val="20"/>
          <w:szCs w:val="20"/>
          <w:color w:val="auto"/>
        </w:rPr>
      </w:pPr>
    </w:p>
    <w:p>
      <w:pPr>
        <w:ind w:left="460" w:hanging="457"/>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convertible notes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Interest Rates</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5"/>
          </w:tcPr>
          <w:p>
            <w:pPr>
              <w:ind w:left="200"/>
              <w:spacing w:after="0"/>
              <w:rPr>
                <w:sz w:val="20"/>
                <w:szCs w:val="20"/>
                <w:color w:val="auto"/>
              </w:rPr>
            </w:pPr>
            <w:r>
              <w:rPr>
                <w:rFonts w:ascii="Arial" w:cs="Arial" w:eastAsia="Arial" w:hAnsi="Arial"/>
                <w:sz w:val="14"/>
                <w:szCs w:val="14"/>
                <w:b w:val="1"/>
                <w:bCs w:val="1"/>
                <w:color w:val="auto"/>
              </w:rPr>
              <w:t>Carrying Amount,</w:t>
            </w:r>
          </w:p>
        </w:tc>
        <w:tc>
          <w:tcPr>
            <w:tcW w:w="0" w:type="dxa"/>
            <w:vAlign w:val="bottom"/>
          </w:tcPr>
          <w:p>
            <w:pPr>
              <w:spacing w:after="0"/>
              <w:rPr>
                <w:sz w:val="1"/>
                <w:szCs w:val="1"/>
                <w:color w:val="auto"/>
              </w:rPr>
            </w:pPr>
          </w:p>
        </w:tc>
      </w:tr>
      <w:tr>
        <w:trPr>
          <w:trHeight w:val="119"/>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Debt</w:t>
            </w:r>
          </w:p>
        </w:tc>
        <w:tc>
          <w:tcPr>
            <w:tcW w:w="1480" w:type="dxa"/>
            <w:vAlign w:val="bottom"/>
            <w:gridSpan w:val="2"/>
            <w:vMerge w:val="continue"/>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Maturities</w:t>
            </w:r>
          </w:p>
        </w:tc>
        <w:tc>
          <w:tcPr>
            <w:tcW w:w="160" w:type="dxa"/>
            <w:vAlign w:val="bottom"/>
          </w:tcPr>
          <w:p>
            <w:pPr>
              <w:spacing w:after="0"/>
              <w:rPr>
                <w:sz w:val="10"/>
                <w:szCs w:val="10"/>
                <w:color w:val="auto"/>
              </w:rPr>
            </w:pPr>
          </w:p>
        </w:tc>
        <w:tc>
          <w:tcPr>
            <w:tcW w:w="10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00" w:type="dxa"/>
            <w:vAlign w:val="bottom"/>
            <w:gridSpan w:val="2"/>
            <w:vMerge w:val="continue"/>
          </w:tcPr>
          <w:p>
            <w:pPr>
              <w:spacing w:after="0"/>
              <w:rPr>
                <w:sz w:val="14"/>
                <w:szCs w:val="14"/>
                <w:color w:val="auto"/>
              </w:rPr>
            </w:pPr>
          </w:p>
        </w:tc>
        <w:tc>
          <w:tcPr>
            <w:tcW w:w="148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1"/>
              </w:rPr>
              <w:t>September 30, 2018</w:t>
            </w: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0.375% Convertible Senior Notes due 2018</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1.25% Convertible Senior Notes due 2020</w:t>
            </w:r>
          </w:p>
        </w:tc>
        <w:tc>
          <w:tcPr>
            <w:tcW w:w="148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1.25 %</w:t>
            </w: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Less current portion</w:t>
            </w:r>
          </w:p>
        </w:tc>
        <w:tc>
          <w:tcPr>
            <w:tcW w:w="12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17,224</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16,608</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amount and fair value of our convertible notes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w w:val="99"/>
              </w:rPr>
              <w:t>September 30, 2018</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rPr>
              <w:t>December 31, 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40" w:type="dxa"/>
            <w:vAlign w:val="bottom"/>
          </w:tcPr>
          <w:p>
            <w:pPr>
              <w:spacing w:after="0"/>
              <w:rPr>
                <w:sz w:val="10"/>
                <w:szCs w:val="10"/>
                <w:color w:val="auto"/>
              </w:rPr>
            </w:pPr>
          </w:p>
        </w:tc>
        <w:tc>
          <w:tcPr>
            <w:tcW w:w="7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Carrying</w:t>
            </w:r>
          </w:p>
        </w:tc>
        <w:tc>
          <w:tcPr>
            <w:tcW w:w="20" w:type="dxa"/>
            <w:vAlign w:val="bottom"/>
          </w:tcPr>
          <w:p>
            <w:pPr>
              <w:spacing w:after="0"/>
              <w:rPr>
                <w:sz w:val="10"/>
                <w:szCs w:val="10"/>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540" w:type="dxa"/>
            <w:vAlign w:val="bottom"/>
            <w:vMerge w:val="restart"/>
          </w:tcPr>
          <w:p>
            <w:pPr>
              <w:spacing w:after="0"/>
              <w:rPr>
                <w:sz w:val="20"/>
                <w:szCs w:val="20"/>
                <w:color w:val="auto"/>
              </w:rPr>
            </w:pPr>
            <w:r>
              <w:rPr>
                <w:rFonts w:ascii="Arial" w:cs="Arial" w:eastAsia="Arial" w:hAnsi="Arial"/>
                <w:sz w:val="18"/>
                <w:szCs w:val="18"/>
                <w:color w:val="auto"/>
              </w:rPr>
              <w:t>0.375% Convertible Senior Notes due 2018</w:t>
            </w:r>
          </w:p>
        </w:tc>
        <w:tc>
          <w:tcPr>
            <w:tcW w:w="100" w:type="dxa"/>
            <w:vAlign w:val="bottom"/>
          </w:tcPr>
          <w:p>
            <w:pPr>
              <w:spacing w:after="0"/>
              <w:rPr>
                <w:sz w:val="14"/>
                <w:szCs w:val="14"/>
                <w:color w:val="auto"/>
              </w:rPr>
            </w:pPr>
          </w:p>
        </w:tc>
        <w:tc>
          <w:tcPr>
            <w:tcW w:w="640" w:type="dxa"/>
            <w:vAlign w:val="bottom"/>
          </w:tcPr>
          <w:p>
            <w:pPr>
              <w:jc w:val="right"/>
              <w:ind w:right="37"/>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4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7,648</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10,271</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14,129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1.25% Convertible Senior Notes due 2020</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26,645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35,431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24,872</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36,916</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49,560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values of the 0.375% Convertible Senior Notes due 2018 (the “2018 Notes”) and the 1.25% Convertible Senior Notes due 2020 (the “2020 Notes”) are based on data from readily available pricing sources which utilize market observable inputs and other characteristics for similar types of instruments, and, therefore, these convertible senior notes are classified within Level 2 in the fair value hierarchy.</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Prior to May 14, 2014, the 2018 Notes and 2020 Notes were not convertible except in connection with a make-whole fundamental change, as defined in the respective indentures. Beginning on, and including, May 15, 2014, the 2018 and 2020 Notes are convertible prior to the close of business on the business day immediately preceding May 15, 2018, in the case of the 2018 Notes, and May 15, 2020, in the case of the 2020 Notes, only under the following circumstances: (i) during any calendar quarter commencing after the calendar quarter ending on March 31, 2014 (and only during such calendar quarter), if the last reported sale price of our common stock for at least 20 trading days (whether or not consecutive) during a period of 30 consecutive trading days ending on the last trading day of the immediately preceding calendar quarter is greater than or equal to 130% of the conversion price for the 2018 Notes or 2020 Notes, as applicable, on each applicable trading day; (ii) during the five business day period after any five consecutive trading day period (the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“measurement period”) in which the trading price per $1,000 principal amount of 2018 Notes or 2020 Notes, as applicable, for each trading day of the measurement period was less than 98% of the product of the last reported sale price of our common stock and the conversion rate for the 2018 Notes or 2020 Notes, as applicable, on each such trading day; or (iii) upon the occurrence of specified corporate events. On or after May 15, 2018, in the case of the 2018 Notes, and May 15, 2020, in the case of the 2020 Notes, until the close of business on the second scheduled trading day immediately preceding the relevant maturity date, the Notes are convertible at any time, regardless of the foregoing circumstances. Upon conversion we will pay or deliver, as the case may be, cash, shares of common stock or a combination of cash and shares of common stock, at our election.</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October 1, 2018, the 2020 Notes became convertible through at least December 31, 2018, based on meeting the conversion criteria related to the sale price of our common stock during the calendar quarter ended September 30, 2018 as described in (i) above. The 2018 Notes will mature in November 2018, and accordingly, are classified in short term liabilities on the condensed consolidated balance sheet as of September 30, 2018. The 2020 Notes are reflected in long term liabilities on the condensed consolidated balance sheet as of September 30, 2018 as management’s intent is to settle any conversions of the 2020 Notes during this period in shares of our common stock.</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During the nine months ended September 30, 2017, we entered into separately negotiated agreements with certain holders of the 2018 Notes pursuant to which such holders agreed to exchange a total of $367.2 million in aggregate principal amount of the 2018 Notes for the shares of our common stock into which the 2018 Notes were originally convertible, aggregating 7.1 million shares, an additional 0.1 million of premium shares (equivalent to $12.6 million in value) and $2.0 million in cash. Similarly we entered into separately negotiated agreements with certain holders of the 2020 Notes pursuant to which such holders agreed to exchange a total of $355.6 million in aggregate principal amount of the 2020 Notes for the shares of our common stock into which the 2020 Notes were originally convertible, aggregating 6.9 million shares, an additional 0.2 million of premium shares (equivalent to $26.8 million in value) and $7.0 million in cash. Included in the agreements were those with entities affiliated with Julian C. Baker, one of our directors, which agreed to exchange $259.0 million in aggregate principal amount of the 2018 Notes and $274.5 million in aggregate principal amount of the 2020 Notes for an aggregate of 10.6 million shares.</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the guidance within ASC 470-20-40-20, we measured the difference between the fair value and carrying value of the liability portions of the 2018 Notes and 2020 Notes, which resulted in recording expense related to senior note conversions of $1.4 million related to the 2018 Notes and $5.1 million related to the 2020 Notes. The estimated fair value of the debt component was determined using a valuation model which is subject to judgement. Assumptions used within the valuation model include an estimated credit rating and an estimated market-based cost of debt. These assumptions were used to perform a discounted cash flow analysis on the future interest and principal payments to determine the estimated fair value of the debt at inducement.</w:t>
      </w:r>
    </w:p>
    <w:p>
      <w:pPr>
        <w:spacing w:after="0" w:line="18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the fair value of the premium shares issued pursuant to these agreements as well as the cash paid in connection with the agreements totaled $48.4 million and is also included within expense related to senior note conversions on the condensed consolidated statement of operations during the nine months ended September 30, 2017.</w:t>
      </w:r>
    </w:p>
    <w:p>
      <w:pPr>
        <w:spacing w:after="0" w:line="143" w:lineRule="exact"/>
        <w:rPr>
          <w:sz w:val="20"/>
          <w:szCs w:val="20"/>
          <w:color w:val="auto"/>
        </w:rPr>
      </w:pPr>
    </w:p>
    <w:p>
      <w:pPr>
        <w:ind w:left="460" w:hanging="457"/>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 defined contribution plan qualified under Section 401(k) of the Internal Revenue Code covering all U.S. employees. Employees may contribute a portion of their compensation, which is then matched by us, subject to certain limitations. Defined contribution expense for the three and nine months ended September 30, 2018 was $2.6 million and $8.1 million, respectively. Defined contribution expense for the three and nine months ended September 30, 2017 was $2.2 million and $6.7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Pension Plans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defined benefit pension plans for our employees in Europe which provide benefits to employees upon retirement, death or disability.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periodic benefit cost was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3"/>
          </w:tcPr>
          <w:p>
            <w:pPr>
              <w:jc w:val="right"/>
              <w:ind w:right="105"/>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ind w:right="356"/>
              <w:spacing w:after="0" w:line="142" w:lineRule="exact"/>
              <w:rPr>
                <w:sz w:val="20"/>
                <w:szCs w:val="20"/>
                <w:color w:val="auto"/>
              </w:rPr>
            </w:pPr>
            <w:r>
              <w:rPr>
                <w:rFonts w:ascii="Arial" w:cs="Arial" w:eastAsia="Arial" w:hAnsi="Arial"/>
                <w:sz w:val="14"/>
                <w:szCs w:val="14"/>
                <w:b w:val="1"/>
                <w:bCs w:val="1"/>
                <w:color w:val="auto"/>
              </w:rPr>
              <w:t>2018</w:t>
            </w: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296"/>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Pr>
          <w:p>
            <w:pPr>
              <w:spacing w:after="0"/>
              <w:rPr>
                <w:sz w:val="12"/>
                <w:szCs w:val="12"/>
                <w:color w:val="auto"/>
              </w:rPr>
            </w:pP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760</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losses</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r>
      <w:tr>
        <w:trPr>
          <w:trHeight w:val="217"/>
        </w:trPr>
        <w:tc>
          <w:tcPr>
            <w:tcW w:w="410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140" w:type="dxa"/>
            <w:vAlign w:val="bottom"/>
          </w:tcPr>
          <w:p>
            <w:pPr>
              <w:spacing w:after="0"/>
              <w:rPr>
                <w:sz w:val="18"/>
                <w:szCs w:val="18"/>
                <w:color w:val="auto"/>
              </w:rPr>
            </w:pPr>
          </w:p>
        </w:tc>
        <w:tc>
          <w:tcPr>
            <w:tcW w:w="740" w:type="dxa"/>
            <w:vAlign w:val="bottom"/>
            <w:tcBorders>
              <w:bottom w:val="single" w:sz="8" w:color="auto"/>
            </w:tcBorders>
          </w:tcPr>
          <w:p>
            <w:pPr>
              <w:jc w:val="right"/>
              <w:ind w:right="585"/>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820</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other income (expense), net on the condensed consolidated statements of operations. We expect to contribute a total of $3.2 million to the plans in 2018 inclusive of the amounts contributed to the plan during the current period. As of September 30, 2018 and December 31, 2017, $14.0 million and $13.4 million, respectively, of accrued pension obligation is recorded in other long term liabilities on the condensed consolidated balance sheets.</w:t>
      </w:r>
    </w:p>
    <w:p>
      <w:pPr>
        <w:spacing w:after="0" w:line="184" w:lineRule="exact"/>
        <w:rPr>
          <w:sz w:val="20"/>
          <w:szCs w:val="20"/>
          <w:color w:val="auto"/>
        </w:rPr>
      </w:pPr>
    </w:p>
    <w:p>
      <w:pPr>
        <w:ind w:left="460" w:hanging="457"/>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three and nine months ended September 30, 2018, we recorded income tax expense of approximately $1.8 million and $4.2 million, respectively. For the three and nine months ended September 30, 2017, we recorded income tax expense of approximately $7.3 million and an income tax benefit of approximately $0.5 million, respectively. The change in tax expense for the three and nine months ended September 30, 2018 was primarily driven by the difference in projected annual operating income or loss compared to our actual results as well as the recognition of certain discrete items in the current period.</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2018, a full valuation allowance continues to be recorded against our U.S. and Swiss net deferred tax assets. This position is based on an analysis of positive and negative evidence, including analyzing three-year cumulative pre-tax income or loss, projections of future taxable income as well as other quantitative and qualitative information.</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balance of our unrecognized tax benefits (including penalties and interest) increased by approximately $5.9 million during the nine months ended September 30, 2018, of which only $0.4 million was recorded as an increase to noncurrent other liabilities on the condensed consolidated balance sheet. The increase is primarily driven by unrecognized tax benefits related to current year operations and prior year positions related to research and development tax credits.</w:t>
      </w:r>
    </w:p>
    <w:p>
      <w:pPr>
        <w:spacing w:after="0" w:line="15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December 22, 2017, the Tax Cuts and Jobs Act of 2017 was signed into law, making significant changes to the Internal Revenue Code. The Act contains numerous provisions impacting corporate taxpayers. Changes include a federal corporate tax rate decrease from 35% to 21% effective for tax years beginning after December 31, 2017, the transition of U.S. international taxation from a worldwide tax system to a territorial system and temporary full expensing of certain business assets. We recorded provisional tax impacts related to the revaluation of deferred tax assets and liabilities as well as the temporary full expensing of certain business assets in our consolidated financial statements for the year ended December 31, 2017. We continue to monitor and analyze further issued guidance, however no additional tax effects of the Act were required to be recorded for the nine months ended September 30, 2018. The financial statement impact is expected to be complete when the 2017 U.S. federal and state corporate income tax returns are filed during the fourth quarter of 2018.</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Net income (loss)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income (loss) per share was calculated as follows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0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auto"/>
            </w:tcBorders>
            <w:gridSpan w:val="4"/>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060" w:type="dxa"/>
            <w:vAlign w:val="bottom"/>
            <w:gridSpan w:val="4"/>
            <w:shd w:val="clear" w:color="auto" w:fill="CCEEFF"/>
          </w:tcPr>
          <w:p>
            <w:pPr>
              <w:ind w:left="120"/>
              <w:spacing w:after="0" w:line="170" w:lineRule="exact"/>
              <w:rPr>
                <w:sz w:val="20"/>
                <w:szCs w:val="20"/>
                <w:color w:val="auto"/>
              </w:rPr>
            </w:pPr>
            <w:r>
              <w:rPr>
                <w:rFonts w:ascii="Arial" w:cs="Arial" w:eastAsia="Arial" w:hAnsi="Arial"/>
                <w:sz w:val="18"/>
                <w:szCs w:val="18"/>
                <w:b w:val="1"/>
                <w:bCs w:val="1"/>
                <w:color w:val="auto"/>
              </w:rPr>
              <w:t>Basic Net Income (Loss) Per Share</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gridSpan w:val="4"/>
          </w:tcPr>
          <w:p>
            <w:pPr>
              <w:ind w:left="120"/>
              <w:spacing w:after="0"/>
              <w:rPr>
                <w:sz w:val="20"/>
                <w:szCs w:val="20"/>
                <w:color w:val="auto"/>
              </w:rPr>
            </w:pPr>
            <w:r>
              <w:rPr>
                <w:rFonts w:ascii="Arial" w:cs="Arial" w:eastAsia="Arial" w:hAnsi="Arial"/>
                <w:sz w:val="18"/>
                <w:szCs w:val="18"/>
                <w:color w:val="auto"/>
              </w:rPr>
              <w:t>Basic net income (loss)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29,176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36,054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40,430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(163,513)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212,627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206,796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212,172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Basic net income (loss) per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06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b w:val="1"/>
                <w:bCs w:val="1"/>
                <w:color w:val="auto"/>
              </w:rPr>
              <w:t>Diluted Net Income (Loss) Per Share</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gridSpan w:val="4"/>
          </w:tcPr>
          <w:p>
            <w:pPr>
              <w:ind w:left="120"/>
              <w:spacing w:after="0"/>
              <w:rPr>
                <w:sz w:val="20"/>
                <w:szCs w:val="20"/>
                <w:color w:val="auto"/>
              </w:rPr>
            </w:pPr>
            <w:r>
              <w:rPr>
                <w:rFonts w:ascii="Arial" w:cs="Arial" w:eastAsia="Arial" w:hAnsi="Arial"/>
                <w:sz w:val="18"/>
                <w:szCs w:val="18"/>
                <w:color w:val="auto"/>
              </w:rPr>
              <w:t>Diluted net income (loss)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29,176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36,054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40,430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(163,513)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212,627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206,796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212,172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Dilutive stock options and RSUs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60" w:type="dxa"/>
            <w:vAlign w:val="bottom"/>
            <w:gridSpan w:val="4"/>
            <w:shd w:val="clear" w:color="auto" w:fill="CCEEFF"/>
          </w:tcPr>
          <w:p>
            <w:pPr>
              <w:ind w:left="120"/>
              <w:spacing w:after="0" w:line="201" w:lineRule="exact"/>
              <w:rPr>
                <w:sz w:val="20"/>
                <w:szCs w:val="20"/>
                <w:color w:val="auto"/>
              </w:rPr>
            </w:pPr>
            <w:r>
              <w:rPr>
                <w:rFonts w:ascii="Arial" w:cs="Arial" w:eastAsia="Arial" w:hAnsi="Arial"/>
                <w:sz w:val="18"/>
                <w:szCs w:val="18"/>
                <w:color w:val="auto"/>
                <w:w w:val="90"/>
              </w:rPr>
              <w:t>Weighted average shares used to compute diluted net income (loss)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per share</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215,964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212,610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215,516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202,399</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Diluted net income (loss) per share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7"/>
        </w:trPr>
        <w:tc>
          <w:tcPr>
            <w:tcW w:w="12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potential common shares were excluded from the calculations as their effect would be anti-dilutive: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24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24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24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September 30,</w:t>
            </w:r>
          </w:p>
        </w:tc>
        <w:tc>
          <w:tcPr>
            <w:tcW w:w="24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8"/>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 and awards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9,055,004</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2,399,468</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7,254,774</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12,654,718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w w:val="96"/>
              </w:rPr>
              <w:t>Common shares issuable upon conversion of the 2018</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Notes</w:t>
            </w:r>
          </w:p>
        </w:tc>
        <w:tc>
          <w:tcPr>
            <w:tcW w:w="1040" w:type="dxa"/>
            <w:vAlign w:val="bottom"/>
          </w:tcPr>
          <w:p>
            <w:pPr>
              <w:jc w:val="right"/>
              <w:spacing w:after="0"/>
              <w:rPr>
                <w:sz w:val="20"/>
                <w:szCs w:val="20"/>
                <w:color w:val="auto"/>
              </w:rPr>
            </w:pPr>
            <w:r>
              <w:rPr>
                <w:rFonts w:ascii="Arial" w:cs="Arial" w:eastAsia="Arial" w:hAnsi="Arial"/>
                <w:sz w:val="18"/>
                <w:szCs w:val="18"/>
                <w:color w:val="auto"/>
              </w:rPr>
              <w:t>148,741</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149,527</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148,741</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149,527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Common shares issuable upon conversion of the 2020</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Notes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368,939</w:t>
            </w:r>
          </w:p>
        </w:tc>
        <w:tc>
          <w:tcPr>
            <w:tcW w:w="160" w:type="dxa"/>
            <w:vAlign w:val="bottom"/>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368,939</w:t>
            </w:r>
          </w:p>
        </w:tc>
        <w:tc>
          <w:tcPr>
            <w:tcW w:w="160" w:type="dxa"/>
            <w:vAlign w:val="bottom"/>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368,939</w:t>
            </w:r>
          </w:p>
        </w:tc>
        <w:tc>
          <w:tcPr>
            <w:tcW w:w="160" w:type="dxa"/>
            <w:vAlign w:val="bottom"/>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368,939</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40" w:type="dxa"/>
            <w:vAlign w:val="bottom"/>
          </w:tcPr>
          <w:p>
            <w:pPr>
              <w:spacing w:after="0" w:line="182" w:lineRule="exact"/>
              <w:rPr>
                <w:sz w:val="20"/>
                <w:szCs w:val="20"/>
                <w:color w:val="auto"/>
              </w:rPr>
            </w:pPr>
            <w:r>
              <w:rPr>
                <w:rFonts w:ascii="Arial" w:cs="Arial" w:eastAsia="Arial" w:hAnsi="Arial"/>
                <w:sz w:val="18"/>
                <w:szCs w:val="18"/>
                <w:color w:val="auto"/>
                <w:w w:val="99"/>
              </w:rPr>
              <w:t>Total potential common shares excluded from diluted</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9,572,684</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2,917,934</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7,772,454</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13,173,184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net loss per share computation</w:t>
            </w:r>
          </w:p>
        </w:tc>
        <w:tc>
          <w:tcPr>
            <w:tcW w:w="104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5"/>
        </w:trPr>
        <w:tc>
          <w:tcPr>
            <w:tcW w:w="4240" w:type="dxa"/>
            <w:vAlign w:val="bottom"/>
          </w:tcPr>
          <w:p>
            <w:pPr>
              <w:spacing w:after="0"/>
              <w:rPr>
                <w:sz w:val="24"/>
                <w:szCs w:val="24"/>
                <w:color w:val="auto"/>
              </w:rPr>
            </w:pPr>
          </w:p>
        </w:tc>
        <w:tc>
          <w:tcPr>
            <w:tcW w:w="1040" w:type="dxa"/>
            <w:vAlign w:val="bottom"/>
          </w:tcPr>
          <w:p>
            <w:pPr>
              <w:jc w:val="right"/>
              <w:ind w:right="577"/>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2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The following discussion of our financial condition and results of operations as of and for the three and nine months ended September 30, 2018 should be read in conjunction with the unaudited condensed consolidated financial statements and notes to those statements included elsewhere in this Quarterly Report on Form 10-Q and our audited consolidated financial statements as of and for the year ended December 31, 2017 included in our Annual Report on Form 10-K for the year ended December 31, 2017 previously filed with the SEC.</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statements as to:</w:t>
      </w:r>
    </w:p>
    <w:p>
      <w:pPr>
        <w:spacing w:after="0" w:line="159" w:lineRule="exact"/>
        <w:rPr>
          <w:sz w:val="20"/>
          <w:szCs w:val="20"/>
          <w:color w:val="auto"/>
        </w:rPr>
      </w:pPr>
    </w:p>
    <w:p>
      <w:pPr>
        <w:ind w:left="980" w:hanging="329"/>
        <w:spacing w:after="0" w:line="235"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discovery, development, formulation, manufacturing and commercialization of our compounds, our drug candidates and JAKAFI</w:t>
      </w:r>
      <w:r>
        <w:rPr>
          <w:rFonts w:ascii="Arial" w:cs="Arial" w:eastAsia="Arial" w:hAnsi="Arial"/>
          <w:sz w:val="18"/>
          <w:szCs w:val="18"/>
          <w:color w:val="auto"/>
        </w:rPr>
        <w:t>®</w:t>
      </w:r>
      <w:r>
        <w:rPr>
          <w:rFonts w:ascii="Arial" w:cs="Arial" w:eastAsia="Arial" w:hAnsi="Arial"/>
          <w:sz w:val="18"/>
          <w:szCs w:val="18"/>
          <w:i w:val="1"/>
          <w:iCs w:val="1"/>
          <w:color w:val="auto"/>
        </w:rPr>
        <w:t>/JAKAVI</w:t>
      </w:r>
      <w:r>
        <w:rPr>
          <w:rFonts w:ascii="Arial" w:cs="Arial" w:eastAsia="Arial" w:hAnsi="Arial"/>
          <w:sz w:val="18"/>
          <w:szCs w:val="18"/>
          <w:color w:val="auto"/>
        </w:rPr>
        <w:t>®</w:t>
      </w:r>
      <w:r>
        <w:rPr>
          <w:rFonts w:ascii="Arial" w:cs="Arial" w:eastAsia="Arial" w:hAnsi="Arial"/>
          <w:sz w:val="18"/>
          <w:szCs w:val="18"/>
          <w:i w:val="1"/>
          <w:iCs w:val="1"/>
          <w:color w:val="auto"/>
        </w:rPr>
        <w:t xml:space="preserve"> (ruxolitinib) and ICLUSIG</w:t>
      </w:r>
      <w:r>
        <w:rPr>
          <w:rFonts w:ascii="Arial" w:cs="Arial" w:eastAsia="Arial" w:hAnsi="Arial"/>
          <w:sz w:val="18"/>
          <w:szCs w:val="18"/>
          <w:color w:val="auto"/>
        </w:rPr>
        <w:t>®</w:t>
      </w:r>
      <w:r>
        <w:rPr>
          <w:rFonts w:ascii="Arial" w:cs="Arial" w:eastAsia="Arial" w:hAnsi="Arial"/>
          <w:sz w:val="18"/>
          <w:szCs w:val="18"/>
          <w:i w:val="1"/>
          <w:iCs w:val="1"/>
          <w:color w:val="auto"/>
        </w:rPr>
        <w:t xml:space="preserve"> (ponatinib);</w:t>
      </w:r>
    </w:p>
    <w:p>
      <w:pPr>
        <w:spacing w:after="0" w:line="121" w:lineRule="exact"/>
        <w:rPr>
          <w:rFonts w:ascii="Arial" w:cs="Arial" w:eastAsia="Arial" w:hAnsi="Arial"/>
          <w:sz w:val="18"/>
          <w:szCs w:val="18"/>
          <w:color w:val="auto"/>
        </w:rPr>
      </w:pPr>
    </w:p>
    <w:p>
      <w:pPr>
        <w:ind w:left="980" w:hanging="329"/>
        <w:spacing w:after="0" w:line="235"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expected benefits from our acquisition of ARIAD Pharmaceuticals (Luxembourg) S.à.r.l. and our plans to further develop our European operations;</w:t>
      </w:r>
    </w:p>
    <w:p>
      <w:pPr>
        <w:spacing w:after="0" w:line="134"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conducting clinical trials internally, with collaborators, or with clinical research organizations;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collaboration and strategic relationship strategy; anticipated benefits and disadvantages of entering into collaboration agreements;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our licensing, investment and commercialization strategies, including our plans to commercialize JAKAFI and</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i w:val="1"/>
          <w:iCs w:val="1"/>
          <w:color w:val="auto"/>
        </w:rPr>
        <w:t>ICLUSIG;</w:t>
      </w:r>
    </w:p>
    <w:p>
      <w:pPr>
        <w:spacing w:after="0" w:line="210" w:lineRule="exact"/>
        <w:rPr>
          <w:rFonts w:ascii="Arial" w:cs="Arial" w:eastAsia="Arial" w:hAnsi="Arial"/>
          <w:sz w:val="16"/>
          <w:szCs w:val="16"/>
          <w:color w:val="auto"/>
        </w:rPr>
      </w:pPr>
    </w:p>
    <w:p>
      <w:pPr>
        <w:ind w:left="980" w:hanging="329"/>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regulatory approval process, including obtaining U.S. Food and Drug Administration and other international health authorities approval for our products in the United States and abroad;</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safety, effectiveness and potential benefits and indications of our drug candidates and other compounds under development;</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timing and size of our clinical trials; the compounds expected to enter clinical trials; timing of clinical trial results;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ability to manage expansion of our drug discovery and development operations;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future required expertise relating to clinical trials, manufacturing, sales and marketing;</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obtaining and terminating licenses to products, drug candidates or technology, or other intellectual property rights;</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receipt from or payments pursuant to collaboration or license agreements resulting from milestones or royalties;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plans to develop and commercialize products on our own;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plans to use third-party manufacturers;</w:t>
      </w:r>
    </w:p>
    <w:p>
      <w:pPr>
        <w:spacing w:after="0" w:line="211" w:lineRule="exact"/>
        <w:rPr>
          <w:rFonts w:ascii="Arial" w:cs="Arial" w:eastAsia="Arial" w:hAnsi="Arial"/>
          <w:sz w:val="18"/>
          <w:szCs w:val="18"/>
          <w:color w:val="auto"/>
        </w:rPr>
      </w:pPr>
    </w:p>
    <w:p>
      <w:pPr>
        <w:ind w:left="980" w:hanging="329"/>
        <w:spacing w:after="0" w:line="235"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expected expenses and expenditure levels; expected uses of cash; expected revenues and sources of revenues, including milestone payments; expectations with respect to inventory;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expectations with respect to reimbursement for our products;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the expected impact of recent accounting pronouncements and changes in U.S. tax laws;</w:t>
      </w:r>
    </w:p>
    <w:p>
      <w:pPr>
        <w:spacing w:after="0" w:line="157"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expected losses; fluctuation of losses; currency translation impact associated with collaboration royalties;</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profitability; the adequacy of our capital resources to continue operations;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the need to raise additional capital;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the costs associated with resolving matters in litigation;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expectations regarding competition;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the anticipated completion date for our large molecule production facility;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investments, including anticipated expenditures, losses and expenses;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patent prosecution and maintenance efforts.</w:t>
      </w:r>
    </w:p>
    <w:p>
      <w:pPr>
        <w:spacing w:after="0" w:line="225"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8"/>
          <w:szCs w:val="18"/>
          <w:i w:val="1"/>
          <w:iCs w:val="1"/>
          <w:color w:val="auto"/>
        </w:rPr>
        <w:t>These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spacing w:after="0" w:line="202" w:lineRule="exact"/>
        <w:rPr>
          <w:sz w:val="20"/>
          <w:szCs w:val="20"/>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ability to successfully commercialize JAKAFI and ICLUSIG;</w:t>
      </w:r>
    </w:p>
    <w:p>
      <w:pPr>
        <w:spacing w:after="0" w:line="211" w:lineRule="exact"/>
        <w:rPr>
          <w:rFonts w:ascii="Arial" w:cs="Arial" w:eastAsia="Arial" w:hAnsi="Arial"/>
          <w:sz w:val="18"/>
          <w:szCs w:val="18"/>
          <w:color w:val="auto"/>
        </w:rPr>
      </w:pPr>
    </w:p>
    <w:p>
      <w:pPr>
        <w:ind w:left="980" w:hanging="329"/>
        <w:spacing w:after="0" w:line="235"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ability to maintain at anticipated levels reimbursement for our products from government health administration authorities, private health insurers and other organizations;</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ability to establish and maintain effective sales, marketing and distribution capabilities;</w:t>
      </w:r>
    </w:p>
    <w:p>
      <w:pPr>
        <w:spacing w:after="0" w:line="144" w:lineRule="exact"/>
        <w:rPr>
          <w:rFonts w:ascii="Arial" w:cs="Arial" w:eastAsia="Arial" w:hAnsi="Arial"/>
          <w:sz w:val="18"/>
          <w:szCs w:val="18"/>
          <w:color w:val="auto"/>
        </w:rPr>
      </w:pPr>
    </w:p>
    <w:p>
      <w:pPr>
        <w:ind w:left="980" w:hanging="329"/>
        <w:spacing w:after="0" w:line="235"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risk of reliance on other parties to manufacture our products, which could result in a short supply of our products, increased costs, and withdrawal of regulatory approval;</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ability to maintain regulatory approvals to market our products;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ability to achieve a significant market share in order to achieve or maintain profitability;</w:t>
      </w:r>
    </w:p>
    <w:p>
      <w:pPr>
        <w:spacing w:after="0" w:line="144" w:lineRule="exact"/>
        <w:rPr>
          <w:rFonts w:ascii="Arial" w:cs="Arial" w:eastAsia="Arial" w:hAnsi="Arial"/>
          <w:sz w:val="18"/>
          <w:szCs w:val="18"/>
          <w:color w:val="auto"/>
        </w:rPr>
      </w:pPr>
    </w:p>
    <w:p>
      <w:pPr>
        <w:ind w:left="980" w:hanging="329"/>
        <w:spacing w:after="0" w:line="235"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risk of civil or criminal penalties if we market our products in a manner that violates health care fraud and abuse and other applicable laws, rules and regulations;</w:t>
      </w:r>
    </w:p>
    <w:p>
      <w:pPr>
        <w:spacing w:after="0" w:line="134"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ability to discover, develop, formulate, manufacture and commercialize our drug candidates;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risk of unanticipated delays in, or discontinuations of, research and development efforts;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risk that previous preclinical testing or clinical trial results are not necessarily indicative of future clinical trial results;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risks relating to the conduct of our clinical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changing regulatory requirements;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risk of adverse safety findings;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risk that results of our clinical trials do not support submission of a marketing approval application for our drug candidates;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risk of significant delays or costs in obtaining regulatory approvals;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risks relating to our reliance on third-party manufacturers, collaborators, and clinical research organizations;</w:t>
      </w:r>
    </w:p>
    <w:p>
      <w:pPr>
        <w:spacing w:after="0" w:line="236" w:lineRule="exact"/>
        <w:rPr>
          <w:rFonts w:ascii="Arial" w:cs="Arial" w:eastAsia="Arial" w:hAnsi="Arial"/>
          <w:sz w:val="17"/>
          <w:szCs w:val="17"/>
          <w:color w:val="auto"/>
        </w:rPr>
      </w:pPr>
    </w:p>
    <w:p>
      <w:pPr>
        <w:ind w:left="980" w:hanging="329"/>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risks relating to the development of new products and their use by us and our current and potential collaborators;</w:t>
      </w:r>
    </w:p>
    <w:p>
      <w:pPr>
        <w:spacing w:after="0" w:line="170" w:lineRule="exact"/>
        <w:rPr>
          <w:rFonts w:ascii="Arial" w:cs="Arial" w:eastAsia="Arial" w:hAnsi="Arial"/>
          <w:sz w:val="18"/>
          <w:szCs w:val="18"/>
          <w:color w:val="auto"/>
        </w:rPr>
      </w:pPr>
    </w:p>
    <w:p>
      <w:pPr>
        <w:ind w:left="980" w:hanging="329"/>
        <w:spacing w:after="0" w:line="196" w:lineRule="exact"/>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risks relating to our inability to control the development of out</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licensed compounds or drug candidates;</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risks relating to our collaborators’ ability to develop and commercialize drug candidates;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costs associated with prosecuting, maintaining, defending and enforcing patent claims and other intellectual property rights;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ability to maintain or obtain adequate product liability and other insurance coverage;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risk that our drug candidates may not obtain or maintain regulatory approval;</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impact of technological advances and competition, including potential generic competition;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ability to compete against third parties with greater resources than ours;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risks relating to changes in pricing and reimbursement in the markets in which we may compete;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competition to develop and commercialize similar drug products;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ability to obtain and maintain patent protection and freedom to operate for our discoveries and to continue to be effective in expanding our patent coverage;</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impact of changing laws on our patent portfolio;</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developments in and expenses relating to litigation;</w:t>
      </w:r>
    </w:p>
    <w:p>
      <w:pPr>
        <w:spacing w:after="0" w:line="22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ability to in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license drug candidates or other technology;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unanticipated construction or other delays relating to our large molecule production facility;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ability to integrate successfully acquired businesses, development programs or technology;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ability to obtain additional capital when needed;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fluctuations in net cash provided and used by operating, financing and investing activities;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ability to analyze the effects of new accounting pronouncements and apply new accounting rules;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history of operating losses;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risks set forth under “Risk Factors.”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In this report all references to “Incyte,” “we,” “us,” “our” or the “Company” mean Incyte Corporation and our subsidiaries, except where it is made clear that the term means only the parent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Incyte and JAKAFI are our registered trademarks. We also refer to trademarks of other corporations and organizations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Incyte is a biopharmaceutical company focused on the discovery, development and commercialization of proprietary therapeutics. Our global headquarters is located in Wilmington, Delaware. We conduct our European clinical development operations from our offices in Geneva, Switzerland, and Lausanne, Switzerland; our Japanese office is in Tokyo.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Indications - JAKAFI (ruxolitinib)</w:t>
      </w:r>
    </w:p>
    <w:p>
      <w:pPr>
        <w:spacing w:after="0" w:line="229"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JAKAFI (ruxolitinib) is our first product to be approved for sale in the United States. It was approved by the U.S. Food and Drug Administration (FDA) in November 2011 for the treatment of patients with intermediate or high</w:t>
      </w:r>
      <w:r>
        <w:rPr>
          <w:rFonts w:ascii="MS PGothic" w:cs="MS PGothic" w:eastAsia="MS PGothic" w:hAnsi="MS PGothic"/>
          <w:sz w:val="18"/>
          <w:szCs w:val="18"/>
          <w:color w:val="auto"/>
        </w:rPr>
        <w:t>‑</w:t>
      </w:r>
      <w:r>
        <w:rPr>
          <w:rFonts w:ascii="Arial" w:cs="Arial" w:eastAsia="Arial" w:hAnsi="Arial"/>
          <w:sz w:val="18"/>
          <w:szCs w:val="18"/>
          <w:color w:val="auto"/>
        </w:rPr>
        <w:t>risk myelofibrosis and in December 2014 for the treatment of patients with polycythemia vera who have had an inadequate response to or are intolerant of hydroxyurea. Myelofibrosis and polycythemia vera are both rare blood cancers. Under our collaboration agreement with Novartis International Pharmaceutical Ltd., Novartis received exclusive development and commercialization rights to ruxolitinib outside of the United States for all hematologic and oncologic indications and sells ruxolitinib outside of the United States under the name JAKAVI.</w:t>
      </w:r>
    </w:p>
    <w:p>
      <w:pPr>
        <w:spacing w:after="0" w:line="207"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In 2003, we initiated a research and development program to explore the inhibition of enzymes called janus associated kinases (JAK). The JAK family is composed of four tyrosine kinases—JAK1, JAK2, JAK3 and Tyk2—that are involved in the signaling of a number of cytokines and growth factors. JAKs are central to a number of biologic processes, including the formation and development of blood cells and the regulation of immune functions. Dysregulation of the JAK</w:t>
      </w:r>
      <w:r>
        <w:rPr>
          <w:rFonts w:ascii="MS PGothic" w:cs="MS PGothic" w:eastAsia="MS PGothic" w:hAnsi="MS PGothic"/>
          <w:sz w:val="18"/>
          <w:szCs w:val="18"/>
          <w:color w:val="auto"/>
        </w:rPr>
        <w:t>‑</w:t>
      </w:r>
      <w:r>
        <w:rPr>
          <w:rFonts w:ascii="Arial" w:cs="Arial" w:eastAsia="Arial" w:hAnsi="Arial"/>
          <w:sz w:val="18"/>
          <w:szCs w:val="18"/>
          <w:color w:val="auto"/>
        </w:rPr>
        <w:t>STAT signaling pathway has been associated with a number of diseases, including myeloproliferative neoplasms, other hematological malignancies, rheumatoid arthritis and other chronic inflammatory diseases. Myeloproliferative neoplasms are a closely related group of blood diseases in which blood cells, specifically platelets, white blood cells, and red blood cells, grow or act abnormally. These diseases include myelofibrosis (MF), polycythemia vera (PV) and essential thrombocythemia (ET).</w:t>
      </w:r>
    </w:p>
    <w:p>
      <w:pPr>
        <w:spacing w:after="0" w:line="20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have discovered multiple potent, selective and orally bioavailable JAK inhibitors that are selective for JAK1 or JAK1 and JAK2. JAKAFI is the most advanced compound in our JAK program. It is an oral JAK1 and JAK2 inhibitor.</w:t>
      </w:r>
    </w:p>
    <w:p>
      <w:pPr>
        <w:spacing w:after="0" w:line="147"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JAKAFI is marketed in the United States through our own specialty sales force and commercial team. JAKAFI was the first FDA</w:t>
      </w:r>
      <w:r>
        <w:rPr>
          <w:rFonts w:ascii="MS PGothic" w:cs="MS PGothic" w:eastAsia="MS PGothic" w:hAnsi="MS PGothic"/>
          <w:sz w:val="18"/>
          <w:szCs w:val="18"/>
          <w:color w:val="auto"/>
        </w:rPr>
        <w:t>‑</w:t>
      </w:r>
      <w:r>
        <w:rPr>
          <w:rFonts w:ascii="Arial" w:cs="Arial" w:eastAsia="Arial" w:hAnsi="Arial"/>
          <w:sz w:val="18"/>
          <w:szCs w:val="18"/>
          <w:color w:val="auto"/>
        </w:rPr>
        <w:t>approved JAK inhibitor for any indication and was the first and remains the only product approved by the FDA for use in MF and PV. The FDA has granted JAKAFI orphan drug status for MF, PV, ET, acute lymphoblastic leukemia (ALL) and graft-versus-host-disease (GVHD).</w:t>
      </w:r>
    </w:p>
    <w:p>
      <w:pPr>
        <w:spacing w:after="0" w:line="204"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To help ensure that all eligible MF and PV patients have access to JAKAFI, we have established a patient assistance program called IncyteCARES (CARES stands for Connecting to Access, Reimbursement, Education and Support). IncyteCARES helps ensure that any patient with intermediate or high</w:t>
      </w:r>
      <w:r>
        <w:rPr>
          <w:rFonts w:ascii="MS PGothic" w:cs="MS PGothic" w:eastAsia="MS PGothic" w:hAnsi="MS PGothic"/>
          <w:sz w:val="18"/>
          <w:szCs w:val="18"/>
          <w:color w:val="auto"/>
        </w:rPr>
        <w:t>‑</w:t>
      </w:r>
      <w:r>
        <w:rPr>
          <w:rFonts w:ascii="Arial" w:cs="Arial" w:eastAsia="Arial" w:hAnsi="Arial"/>
          <w:sz w:val="18"/>
          <w:szCs w:val="18"/>
          <w:color w:val="auto"/>
        </w:rPr>
        <w:t>risk MF or uncontrolled PV who meets certain eligibility criteria and is prescribed JAKAFI has access to the product regardless of ability to pay and has access to ongoing support and educational resources during treatment. In addition, IncyteCARES works closely with payers to help facilitate insurance coverage of JAKAFI.</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7"/>
          <w:szCs w:val="17"/>
          <w:color w:val="auto"/>
        </w:rPr>
        <w:t>JAKAFI is distributed primarily through a network of specialty pharmacy providers and wholesalers that allow for efficient delivery of the medication by mail directly to patients or direct delivery to the patient’s pharmacy. Our distribution process uses a model that is well</w:t>
      </w:r>
      <w:r>
        <w:rPr>
          <w:rFonts w:ascii="MS PGothic" w:cs="MS PGothic" w:eastAsia="MS PGothic" w:hAnsi="MS PGothic"/>
          <w:sz w:val="17"/>
          <w:szCs w:val="17"/>
          <w:color w:val="auto"/>
        </w:rPr>
        <w:t>‑</w:t>
      </w:r>
      <w:r>
        <w:rPr>
          <w:rFonts w:ascii="Arial" w:cs="Arial" w:eastAsia="Arial" w:hAnsi="Arial"/>
          <w:sz w:val="17"/>
          <w:szCs w:val="17"/>
          <w:color w:val="auto"/>
        </w:rPr>
        <w:t>established and familiar to physicians who practice within the oncology field.</w:t>
      </w:r>
    </w:p>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 further support appropriate use and future development of JAKAFI, our U.S. Medical Affairs department is responsible for providing appropriate scientific and medical education and information to physicians, preparing scientific presentations and publications, and overseeing the process for supporting investigator sponsored trials.</w:t>
      </w:r>
    </w:p>
    <w:p>
      <w:pPr>
        <w:spacing w:after="0" w:line="166"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i w:val="1"/>
          <w:iCs w:val="1"/>
          <w:color w:val="auto"/>
        </w:rPr>
        <w:t xml:space="preserve">Myelofibrosis. </w:t>
      </w:r>
      <w:r>
        <w:rPr>
          <w:rFonts w:ascii="Arial" w:cs="Arial" w:eastAsia="Arial" w:hAnsi="Arial"/>
          <w:sz w:val="17"/>
          <w:szCs w:val="17"/>
          <w:color w:val="auto"/>
        </w:rPr>
        <w:t>Myelofibrosis is a rare, life</w:t>
      </w:r>
      <w:r>
        <w:rPr>
          <w:rFonts w:ascii="MS PGothic" w:cs="MS PGothic" w:eastAsia="MS PGothic" w:hAnsi="MS PGothic"/>
          <w:sz w:val="17"/>
          <w:szCs w:val="17"/>
          <w:color w:val="auto"/>
        </w:rPr>
        <w:t>‑</w:t>
      </w:r>
      <w:r>
        <w:rPr>
          <w:rFonts w:ascii="Arial" w:cs="Arial" w:eastAsia="Arial" w:hAnsi="Arial"/>
          <w:sz w:val="17"/>
          <w:szCs w:val="17"/>
          <w:color w:val="auto"/>
        </w:rPr>
        <w:t>threatening condition. MF, considered the most serious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myeloproliferative neoplasms, can occur either as primary MF, or as secondary MF that develops in some patients who previously had polycythemia vera or essential thrombocythemia. We estimate there are between 16,000 and 18,500 patients with MF in the United States. Based on the modern prognostic scoring systems referred to as International Prognostic Scoring System and Dynamic International Prognostic Scoring System, we believe intermediate and high</w:t>
      </w:r>
      <w:r>
        <w:rPr>
          <w:rFonts w:ascii="MS PGothic" w:cs="MS PGothic" w:eastAsia="MS PGothic" w:hAnsi="MS PGothic"/>
          <w:sz w:val="17"/>
          <w:szCs w:val="17"/>
          <w:color w:val="auto"/>
        </w:rPr>
        <w:t>‑</w:t>
      </w:r>
      <w:r>
        <w:rPr>
          <w:rFonts w:ascii="Arial" w:cs="Arial" w:eastAsia="Arial" w:hAnsi="Arial"/>
          <w:sz w:val="17"/>
          <w:szCs w:val="17"/>
          <w:color w:val="auto"/>
        </w:rPr>
        <w:t>risk patients represent 80% to 90% of all patients with MF in the United States and encompass patients over the age of 65, or patients who have or have ever had any of the following: anemia, constitutional symptoms, elevated white blood cell or blast counts, or platelet counts less than 100,000 per microliter of blood.</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Most MF patients have enlarged spleens and many suffer from debilitating symptoms, including abdominal discomfort, pruritus (itching), night sweats and cachexia (involuntary weight loss). There were no FDA approved therapies for MF until the approval of JAKAFI.</w:t>
      </w:r>
    </w:p>
    <w:p>
      <w:pPr>
        <w:spacing w:after="0" w:line="181"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color w:val="auto"/>
        </w:rPr>
        <w:t>The FDA approval was based on results from two randomized Phase III trials (COMFORT</w:t>
      </w:r>
      <w:r>
        <w:rPr>
          <w:rFonts w:ascii="MS PGothic" w:cs="MS PGothic" w:eastAsia="MS PGothic" w:hAnsi="MS PGothic"/>
          <w:sz w:val="17"/>
          <w:szCs w:val="17"/>
          <w:color w:val="auto"/>
        </w:rPr>
        <w:t>‑</w:t>
      </w:r>
      <w:r>
        <w:rPr>
          <w:rFonts w:ascii="Arial" w:cs="Arial" w:eastAsia="Arial" w:hAnsi="Arial"/>
          <w:sz w:val="17"/>
          <w:szCs w:val="17"/>
          <w:color w:val="auto"/>
        </w:rPr>
        <w:t>I and COMFORT</w:t>
      </w:r>
      <w:r>
        <w:rPr>
          <w:rFonts w:ascii="MS PGothic" w:cs="MS PGothic" w:eastAsia="MS PGothic" w:hAnsi="MS PGothic"/>
          <w:sz w:val="17"/>
          <w:szCs w:val="17"/>
          <w:color w:val="auto"/>
        </w:rPr>
        <w:t>‑</w:t>
      </w:r>
      <w:r>
        <w:rPr>
          <w:rFonts w:ascii="Arial" w:cs="Arial" w:eastAsia="Arial" w:hAnsi="Arial"/>
          <w:sz w:val="17"/>
          <w:szCs w:val="17"/>
          <w:color w:val="auto"/>
        </w:rPr>
        <w:t>II), which demonstrated that patients treated with JAKAFI experienced significant reductions in splenomegaly (enlarged spleen). COMFORT</w:t>
      </w:r>
      <w:r>
        <w:rPr>
          <w:rFonts w:ascii="MS PGothic" w:cs="MS PGothic" w:eastAsia="MS PGothic" w:hAnsi="MS PGothic"/>
          <w:sz w:val="17"/>
          <w:szCs w:val="17"/>
          <w:color w:val="auto"/>
        </w:rPr>
        <w:t>‑</w:t>
      </w:r>
      <w:r>
        <w:rPr>
          <w:rFonts w:ascii="Arial" w:cs="Arial" w:eastAsia="Arial" w:hAnsi="Arial"/>
          <w:sz w:val="17"/>
          <w:szCs w:val="17"/>
          <w:color w:val="auto"/>
        </w:rPr>
        <w:t>I also demonstrated improvements in symptoms. The most common hematologic adverse reactions in both trials were thrombocytopenia and anemia. These events rarely led to discontinuation of JAKAFI treatment. The most common non</w:t>
      </w:r>
      <w:r>
        <w:rPr>
          <w:rFonts w:ascii="MS PGothic" w:cs="MS PGothic" w:eastAsia="MS PGothic" w:hAnsi="MS PGothic"/>
          <w:sz w:val="17"/>
          <w:szCs w:val="17"/>
          <w:color w:val="auto"/>
        </w:rPr>
        <w:t>‑</w:t>
      </w:r>
      <w:r>
        <w:rPr>
          <w:rFonts w:ascii="Arial" w:cs="Arial" w:eastAsia="Arial" w:hAnsi="Arial"/>
          <w:sz w:val="17"/>
          <w:szCs w:val="17"/>
          <w:color w:val="auto"/>
        </w:rPr>
        <w:t>hematologic adverse reactions were bruising, dizziness and headache.</w:t>
      </w:r>
    </w:p>
    <w:p>
      <w:pPr>
        <w:spacing w:after="0" w:line="205"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In August 2014, the FDA approved supplemental labeling for JAKAFI to include Kaplan</w:t>
      </w:r>
      <w:r>
        <w:rPr>
          <w:rFonts w:ascii="MS PGothic" w:cs="MS PGothic" w:eastAsia="MS PGothic" w:hAnsi="MS PGothic"/>
          <w:sz w:val="18"/>
          <w:szCs w:val="18"/>
          <w:color w:val="auto"/>
        </w:rPr>
        <w:t>‑</w:t>
      </w:r>
      <w:r>
        <w:rPr>
          <w:rFonts w:ascii="Arial" w:cs="Arial" w:eastAsia="Arial" w:hAnsi="Arial"/>
          <w:sz w:val="18"/>
          <w:szCs w:val="18"/>
          <w:color w:val="auto"/>
        </w:rPr>
        <w:t>Meier overall survival curves as well as additional safety and dosing information. The overall survival information is based on three</w:t>
      </w:r>
      <w:r>
        <w:rPr>
          <w:rFonts w:ascii="MS PGothic" w:cs="MS PGothic" w:eastAsia="MS PGothic" w:hAnsi="MS PGothic"/>
          <w:sz w:val="18"/>
          <w:szCs w:val="18"/>
          <w:color w:val="auto"/>
        </w:rPr>
        <w:t>‑</w:t>
      </w:r>
      <w:r>
        <w:rPr>
          <w:rFonts w:ascii="Arial" w:cs="Arial" w:eastAsia="Arial" w:hAnsi="Arial"/>
          <w:sz w:val="18"/>
          <w:szCs w:val="18"/>
          <w:color w:val="auto"/>
        </w:rPr>
        <w:t>year data from COMFORT</w:t>
      </w:r>
      <w:r>
        <w:rPr>
          <w:rFonts w:ascii="MS PGothic" w:cs="MS PGothic" w:eastAsia="MS PGothic" w:hAnsi="MS PGothic"/>
          <w:sz w:val="18"/>
          <w:szCs w:val="18"/>
          <w:color w:val="auto"/>
        </w:rPr>
        <w:t>‑</w:t>
      </w:r>
      <w:r>
        <w:rPr>
          <w:rFonts w:ascii="Arial" w:cs="Arial" w:eastAsia="Arial" w:hAnsi="Arial"/>
          <w:sz w:val="18"/>
          <w:szCs w:val="18"/>
          <w:color w:val="auto"/>
        </w:rPr>
        <w:t>I and II, and shows that at three years the probability of survival for patients treated with JAKAFI in COMFORT</w:t>
      </w:r>
      <w:r>
        <w:rPr>
          <w:rFonts w:ascii="MS PGothic" w:cs="MS PGothic" w:eastAsia="MS PGothic" w:hAnsi="MS PGothic"/>
          <w:sz w:val="18"/>
          <w:szCs w:val="18"/>
          <w:color w:val="auto"/>
        </w:rPr>
        <w:t>‑</w:t>
      </w:r>
      <w:r>
        <w:rPr>
          <w:rFonts w:ascii="Arial" w:cs="Arial" w:eastAsia="Arial" w:hAnsi="Arial"/>
          <w:sz w:val="18"/>
          <w:szCs w:val="18"/>
          <w:color w:val="auto"/>
        </w:rPr>
        <w:t>I was 70% and for those patients originally randomized to placebo it was 61%. In COMFORT</w:t>
      </w:r>
      <w:r>
        <w:rPr>
          <w:rFonts w:ascii="MS PGothic" w:cs="MS PGothic" w:eastAsia="MS PGothic" w:hAnsi="MS PGothic"/>
          <w:sz w:val="18"/>
          <w:szCs w:val="18"/>
          <w:color w:val="auto"/>
        </w:rPr>
        <w:t>‑</w:t>
      </w:r>
      <w:r>
        <w:rPr>
          <w:rFonts w:ascii="Arial" w:cs="Arial" w:eastAsia="Arial" w:hAnsi="Arial"/>
          <w:sz w:val="18"/>
          <w:szCs w:val="18"/>
          <w:color w:val="auto"/>
        </w:rPr>
        <w:t>II, at three years the probability of survival for patients treated with JAKAFI was 79% and for patients originally randomized to best available therapy it was 59%. In December 2016, we announced an exploratory pooled analysis of data from the five-year follow-up of the COMFORT-I and COMFORT-II trials of patients treated with JAKAFI, which further supported previously published overall survival findings.</w:t>
      </w:r>
    </w:p>
    <w:p>
      <w:pPr>
        <w:spacing w:after="0" w:line="2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October 2017, the FDA approved updated labeling for JAKAFI to include the addition of new patient-reported outcome (PRO) data from the COMFORT-I study, as well as updating the warning related to progressive multifocal leukoencephalopathy. An exploratory analysis of PRO data of patients with myelofibrosis receiving JAKAFI showed improvement in fatigue-related symptoms at Week 24. Fatigue response (defined as a reduction of 4.5 points or more from baseline in the PROMIS</w:t>
      </w:r>
      <w:r>
        <w:rPr>
          <w:rFonts w:ascii="Arial" w:cs="Arial" w:eastAsia="Arial" w:hAnsi="Arial"/>
          <w:sz w:val="8"/>
          <w:szCs w:val="8"/>
          <w:color w:val="auto"/>
        </w:rPr>
        <w:t>®</w:t>
      </w:r>
      <w:r>
        <w:rPr>
          <w:rFonts w:ascii="Arial" w:cs="Arial" w:eastAsia="Arial" w:hAnsi="Arial"/>
          <w:sz w:val="18"/>
          <w:szCs w:val="18"/>
          <w:color w:val="auto"/>
        </w:rPr>
        <w:t xml:space="preserve"> Fatigue total score) was reported in 35% of patients treated with JAKAFI versus 14% of the patients treated with placebo.</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September 2016, we announced that JAKAFI had been included as a recommended treatment in the latest National Comprehensive Cancer Network (NCCN) Clinical Practice Guidelines in Oncology for myelofibrosis, underscoring the important and long-term clinical benefits seen in patients treated with JAKAFI.</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Polycythemia Vera. </w:t>
      </w:r>
      <w:r>
        <w:rPr>
          <w:rFonts w:ascii="Arial" w:cs="Arial" w:eastAsia="Arial" w:hAnsi="Arial"/>
          <w:sz w:val="18"/>
          <w:szCs w:val="18"/>
          <w:color w:val="auto"/>
        </w:rPr>
        <w:t>PV is a myeloproliferative neoplasm typically characterized by elevated hematocrit, the volume</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red blood cells in whole blood, which can lead to a thickening of the blood and an increased risk of blood clots, as well as an elevated white blood cell and platelet count. When phlebotomy can no longer control PV, chemotherapy such as hydroxyurea, or interferon, is utilized. Approximately 25,000 patients with PV in the United States are considered uncontrolled because they have an inadequate response to or are intolerant of hydroxyurea, the most commonly used chemotherapeutic agent for the treatment of PV.</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In December 2014, the FDA approved JAKAFI for the treatment of patients with PV who have had an inadequate response to or are intolerant of hydroxyurea. The approval of JAKAFI for PV was based on data from the pivotal Phase III RESPONSE trial. In this trial, patients treated with JAKAFI demonstrated superior hematocrit control and reductions in spleen volume compared to best available therapy. In addition, a greater proportion of patients treated with JAKAFI achieved complete hematologic remission—which was defined as achieving hematocrit control, and lowering platelet and white blood cell counts. In the RESPONSE trial, the most common hematologic adverse reactions (incidence &gt; 20%) were thrombocytopenia and anemia. The most common non</w:t>
      </w:r>
      <w:r>
        <w:rPr>
          <w:rFonts w:ascii="MS PGothic" w:cs="MS PGothic" w:eastAsia="MS PGothic" w:hAnsi="MS PGothic"/>
          <w:sz w:val="17"/>
          <w:szCs w:val="17"/>
          <w:color w:val="auto"/>
        </w:rPr>
        <w:t>‑</w:t>
      </w:r>
      <w:r>
        <w:rPr>
          <w:rFonts w:ascii="Arial" w:cs="Arial" w:eastAsia="Arial" w:hAnsi="Arial"/>
          <w:sz w:val="17"/>
          <w:szCs w:val="17"/>
          <w:color w:val="auto"/>
        </w:rPr>
        <w:t>hematologic adverse events (incidence &gt;10%) were headache, abdominal pain, diarrhea, dizziness, fatigue, pruritus, dyspnea and muscle spasms.</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2016, the FDA approved supplemental labeling for JAKAFI to include additional safety data as well as efficacy analyses from the RESPONSE trial to assess the durability of response in JAKAFI treated patients after 80 weeks. At this time, 83% patients were still on treatment, and 76% of the responders at 32 weeks maintained their response through 80 weeks.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2016, we announced data from the Phase III RESPONSE-2 study of JAKAFI in patients with inadequately controlled PV that was resistant to or intolerant of hydroxyurea who did not have an enlarged spleen. These data showed that JAKAFI was superior to best available therapy in maintaining hematocrit control (62.2% vs. 18.7%, respectively; P&lt;0.0001) without the need for phlebotomy.</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August 2017, we announced that JAKAFI had been included as a recommended treatment in the latest NCCN Guidelines for patients with polycythemia vera who have had an inadequate response to first-line therapies, such as hydroxyurea.</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retained all development and commercialization rights to JAKAFI in the United States and are eligible to receive development and commercial milestones as well as royalties from product sales outside the United States. We hold patents that cover the composition of matter and use of ruxolitinib which patents, including applicable extensions, expire in late 2027.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Indications - ICLUSIG (ponatinib)</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June 2016, we acquired the European operations of ARIAD Pharmaceuticals, Inc. (ARIAD) and obtained an exclusive license to develop and commercialize ICLUSIG (ponatinib) in Europe and other select countries. ICLUSIG is a kinase inhibitor. The primary target for ICLUSIG is BCR-ABL, an abnormal tyrosine kinase that is expressed in chronic myeloid leukemia (CML) and Philadelphia-chromosome positive acute lymphoblastic leukemia (Ph+ ALL).</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or the treatment of adult patients with Ph+ ALL who are resistant to dasatinib; who are intolerant to dasatinib and for whom subsequent treatment with imatinib is not clinically appropriate; or who have the T315I mutation.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Programs in Oncology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the future of cancer treatment lies in the use of immune therapies, which seek to recruit the patient’s own immune system to tackle cancer, and targeted therapies, which aim to block, directly or indirectly, the effects of cancer-causing mutations. Our most advanced programs are detailed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JAK Inhibition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part of our development program to improve and expand therapeutic options for patients with MF, we are currently recruiting Phase II trials combining ruxolitinib with our clinical candidates such as itacitinib (JAK1), INCB50465 (PI3Kδ), and INCB53914 (PIM) in patients with refractory MF.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Building upon positive, independently published third-party data of ruxolitinib in GVHD, we initiated the REACH clinical program to evaluate ruxolitinib in patients with steroid-refractory GVHD. The result of REACH1, a pivotal Phase II trial in steroid-refractory acute GVHD, formed the basis for a supplemental new drug application (sNDA), which was accepted by the FDA for Priority Review in October 2018. REACH2, the Novartis-sponsored Phase III trial in steroid-refractory acute GVHD, and REACH3, the Phase III trial in steroid-refractory chronic GVHD that is co-sponsored by Incyte and Novartis, are both underway. In June 2016, we announced that the FDA granted Breakthrough Therapy Designation for ruxolitinib in patients with acute GVHD. In April 2016, we announced an agreement with Eli Lilly and Company enabling us to develop and commercialize ruxolitinib in the United States for the treatment of GVHD. We also announced an agreement with Novartis granting Novartis exclusive research, development and commercialization rights for ruxolitinib in GVHD outside the United States.</w:t>
      </w:r>
    </w:p>
    <w:p>
      <w:pPr>
        <w:spacing w:after="0" w:line="19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on data from a proof-of-concept trial of itacitinib, a selective JAK1 inhibitor, in patients with acute GVHD, a pivotal trial (GRAVITAS-301) investigating itacitinib for the treatment of patients with treatment-naïve acute GVHD was initiated in July 2017. The FDA has granted itacitinib orphan drug status for GVHD.</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GVHD is a condition that can occur after an allogeneic transplant (the transfer of genetically dissimilar stem cells or tissue). In GVHD, the donated bone marrow or peripheral blood stem cells view the recipient’s body as foreign and attack the body. 12-month survival rates in patients with Grade III or IV steroid-refractory acute GVHD are 50% or less and the diagnosed incidence of acute and chronic GVHD is approximately 20,000 per year across the United States, Europe and Japan.</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Following positive proof-of-concept data, we initiated a pivotal program investigating ruxolitinib for the treatment of patients with essential thrombocythemia. ET is a Philadelphia chromosome negative myeloproliferative neoplasm, characterized by the overproduction of platelets in the bone marrow. The pivotal RESET trial is enrolling ET patients that are refractory to or intolerant of hydroxyurea, the current standard of care for first-line treatment of these patients. The clinical program to evaluate itacitinib in solid tumors includes a clinical trial in combination with AstraZeneca/MedImmune’s EGFR inhibitor osimertinib.</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FGFR1/2/3 Inhibition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Pemigatinib (formerly INCB54828) is an inhibitor of the FGFR isoforms 1, 2 and 3 that has demonstrated potency and selectivity in preclinical studies. The FGFR family of receptor tyrosine kinases can act as oncogenic drivers in a number of liquid and solid tumor types. We initiated the FIGHT clinical program to evaluate pemigatinib across a spectrum of cancers that are driven by FGF/FGFR mutations. The program has three Phase II trials enrolling – FIGHT-201 in patients with bladder cancer, FIGHT-202 in patients with cholangiocarcinoma, and FIGHT-203 in patients with 8p11 myeloproliferative syndrome (8p11 MPN).</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October 2018, we announced positive interim data from the FIGHT-202 trial evaluating pemigatinib in patients with advanced/metastatic or surgically unresectable cholangiocarcinoma who failed at least one previous treatment. Cholangiocarcinoma is a cancer that arises from the cells within the bile ducts. It is often diagnosed late (stages III and IV) and the prognosis is poor. The incidence of cholangiocarcinoma with FGFR2 translocation is increasing, and is currently estimated at 2,500-3,000 patients in the U.S., Europe and Japan.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PD-1 Antagonism</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October 2017, we and MacroGenics, Inc. announced an exclusive global collaboration and license agreement for MacroGenics’ INCMGA0012, an investigational monoclonal antibody that inhibits PD-1. Under this collaboration, we obtained exclusive worldwide rights for the development and commercialization of INCMGA0012 in all indications. Enrollment in the dose escalation portion of the Phase I study of INCMGA0012 has been completed and the molecule is currently being evaluated as monotherapy across four solid tumor types in the dose expansion portion of the study. Registration-directed trials in MSI-high endometrial cancer, merkel cell carcinoma, and anal cancer are planned.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PI3K-delta Inhibition</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PI3K-delta pathway mediates oncogenic signaling in B cell malignancies. INCB50465 is a PI3K-delta inhibitor that has demonstrated potency and selectivity in preclinical studies and has potential therapeutic utility in the treatment of patients with lymphoma. We initiated the CITADEL clinical program to evaluate INCB50465 in non-Hodgkin lymphomas, and we are currently running Phase II trials in follicular lymphoma, marginal zone lymphoma and mantle cell lymphoma.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57543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Indication</w:t>
            </w:r>
          </w:p>
        </w:tc>
        <w:tc>
          <w:tcPr>
            <w:tcW w:w="45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Status Update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7"/>
                <w:szCs w:val="17"/>
                <w:b w:val="1"/>
                <w:bCs w:val="1"/>
                <w:color w:val="auto"/>
              </w:rPr>
              <w:t>Ruxolitinib</w:t>
            </w:r>
          </w:p>
        </w:tc>
        <w:tc>
          <w:tcPr>
            <w:tcW w:w="2700" w:type="dxa"/>
            <w:vAlign w:val="bottom"/>
            <w:shd w:val="clear" w:color="auto" w:fill="CCEEFF"/>
          </w:tcPr>
          <w:p>
            <w:pPr>
              <w:ind w:left="60"/>
              <w:spacing w:after="0" w:line="149" w:lineRule="exact"/>
              <w:rPr>
                <w:sz w:val="20"/>
                <w:szCs w:val="20"/>
                <w:color w:val="auto"/>
              </w:rPr>
            </w:pPr>
            <w:r>
              <w:rPr>
                <w:rFonts w:ascii="Arial" w:cs="Arial" w:eastAsia="Arial" w:hAnsi="Arial"/>
                <w:sz w:val="17"/>
                <w:szCs w:val="17"/>
                <w:color w:val="auto"/>
              </w:rPr>
              <w:t>Steroid-refractory acute GVHD</w:t>
            </w:r>
          </w:p>
        </w:tc>
        <w:tc>
          <w:tcPr>
            <w:tcW w:w="456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sNDA accepted for Priority Review (based on REACH1);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(JAK1/JAK2)</w:t>
            </w:r>
          </w:p>
        </w:tc>
        <w:tc>
          <w:tcPr>
            <w:tcW w:w="270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Phase III (REACH2)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7"/>
                <w:szCs w:val="17"/>
                <w:b w:val="1"/>
                <w:bCs w:val="1"/>
                <w:color w:val="auto"/>
              </w:rPr>
              <w:t>Ruxolitinib</w:t>
            </w:r>
          </w:p>
        </w:tc>
        <w:tc>
          <w:tcPr>
            <w:tcW w:w="2700" w:type="dxa"/>
            <w:vAlign w:val="bottom"/>
          </w:tcPr>
          <w:p>
            <w:pPr>
              <w:ind w:left="60"/>
              <w:spacing w:after="0" w:line="149" w:lineRule="exact"/>
              <w:rPr>
                <w:sz w:val="20"/>
                <w:szCs w:val="20"/>
                <w:color w:val="auto"/>
              </w:rPr>
            </w:pPr>
            <w:r>
              <w:rPr>
                <w:rFonts w:ascii="Arial" w:cs="Arial" w:eastAsia="Arial" w:hAnsi="Arial"/>
                <w:sz w:val="17"/>
                <w:szCs w:val="17"/>
                <w:color w:val="auto"/>
              </w:rPr>
              <w:t>Steroid-refractory chronic GVHD</w:t>
            </w:r>
          </w:p>
        </w:tc>
        <w:tc>
          <w:tcPr>
            <w:tcW w:w="4560" w:type="dxa"/>
            <w:vAlign w:val="bottom"/>
          </w:tcPr>
          <w:p>
            <w:pPr>
              <w:ind w:left="180"/>
              <w:spacing w:after="0" w:line="149" w:lineRule="exact"/>
              <w:rPr>
                <w:sz w:val="20"/>
                <w:szCs w:val="20"/>
                <w:color w:val="auto"/>
              </w:rPr>
            </w:pPr>
            <w:r>
              <w:rPr>
                <w:rFonts w:ascii="Arial" w:cs="Arial" w:eastAsia="Arial" w:hAnsi="Arial"/>
                <w:sz w:val="17"/>
                <w:szCs w:val="17"/>
                <w:color w:val="auto"/>
              </w:rPr>
              <w:t>Phase III (REACH3)</w:t>
            </w:r>
          </w:p>
        </w:tc>
        <w:tc>
          <w:tcPr>
            <w:tcW w:w="0" w:type="dxa"/>
            <w:vAlign w:val="bottom"/>
          </w:tcPr>
          <w:p>
            <w:pPr>
              <w:spacing w:after="0"/>
              <w:rPr>
                <w:sz w:val="1"/>
                <w:szCs w:val="1"/>
                <w:color w:val="auto"/>
              </w:rPr>
            </w:pPr>
          </w:p>
        </w:tc>
      </w:tr>
      <w:tr>
        <w:trPr>
          <w:trHeight w:val="234"/>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(JAK1/JAK2)</w:t>
            </w:r>
          </w:p>
        </w:tc>
        <w:tc>
          <w:tcPr>
            <w:tcW w:w="27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7"/>
                <w:szCs w:val="17"/>
                <w:b w:val="1"/>
                <w:bCs w:val="1"/>
                <w:color w:val="auto"/>
              </w:rPr>
              <w:t>Ruxolitinib</w:t>
            </w:r>
          </w:p>
        </w:tc>
        <w:tc>
          <w:tcPr>
            <w:tcW w:w="2700" w:type="dxa"/>
            <w:vAlign w:val="bottom"/>
            <w:shd w:val="clear" w:color="auto" w:fill="CCEEFF"/>
          </w:tcPr>
          <w:p>
            <w:pPr>
              <w:ind w:left="60"/>
              <w:spacing w:after="0" w:line="149" w:lineRule="exact"/>
              <w:rPr>
                <w:sz w:val="20"/>
                <w:szCs w:val="20"/>
                <w:color w:val="auto"/>
              </w:rPr>
            </w:pPr>
            <w:r>
              <w:rPr>
                <w:rFonts w:ascii="Arial" w:cs="Arial" w:eastAsia="Arial" w:hAnsi="Arial"/>
                <w:sz w:val="17"/>
                <w:szCs w:val="17"/>
                <w:color w:val="auto"/>
              </w:rPr>
              <w:t>Essential thrombocythemia</w:t>
            </w:r>
          </w:p>
        </w:tc>
        <w:tc>
          <w:tcPr>
            <w:tcW w:w="456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Phase II (RESET)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(JAK1/JAK2)</w:t>
            </w:r>
          </w:p>
        </w:tc>
        <w:tc>
          <w:tcPr>
            <w:tcW w:w="270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7"/>
                <w:szCs w:val="17"/>
                <w:b w:val="1"/>
                <w:bCs w:val="1"/>
                <w:color w:val="auto"/>
              </w:rPr>
              <w:t>Ruxolitinib</w:t>
            </w:r>
          </w:p>
        </w:tc>
        <w:tc>
          <w:tcPr>
            <w:tcW w:w="2700" w:type="dxa"/>
            <w:vAlign w:val="bottom"/>
          </w:tcPr>
          <w:p>
            <w:pPr>
              <w:ind w:left="60"/>
              <w:spacing w:after="0" w:line="149" w:lineRule="exact"/>
              <w:rPr>
                <w:sz w:val="20"/>
                <w:szCs w:val="20"/>
                <w:color w:val="auto"/>
              </w:rPr>
            </w:pPr>
            <w:r>
              <w:rPr>
                <w:rFonts w:ascii="Arial" w:cs="Arial" w:eastAsia="Arial" w:hAnsi="Arial"/>
                <w:sz w:val="17"/>
                <w:szCs w:val="17"/>
                <w:color w:val="auto"/>
              </w:rPr>
              <w:t>Refractory myelofibrosis</w:t>
            </w:r>
          </w:p>
        </w:tc>
        <w:tc>
          <w:tcPr>
            <w:tcW w:w="4560" w:type="dxa"/>
            <w:vAlign w:val="bottom"/>
          </w:tcPr>
          <w:p>
            <w:pPr>
              <w:ind w:left="180"/>
              <w:spacing w:after="0" w:line="149" w:lineRule="exact"/>
              <w:rPr>
                <w:sz w:val="20"/>
                <w:szCs w:val="20"/>
                <w:color w:val="auto"/>
              </w:rPr>
            </w:pPr>
            <w:r>
              <w:rPr>
                <w:rFonts w:ascii="Arial" w:cs="Arial" w:eastAsia="Arial" w:hAnsi="Arial"/>
                <w:sz w:val="17"/>
                <w:szCs w:val="17"/>
                <w:color w:val="auto"/>
              </w:rPr>
              <w:t>Phase II in combination with INCB50465 (PI3Kδ),</w:t>
            </w:r>
          </w:p>
        </w:tc>
        <w:tc>
          <w:tcPr>
            <w:tcW w:w="0" w:type="dxa"/>
            <w:vAlign w:val="bottom"/>
          </w:tcPr>
          <w:p>
            <w:pPr>
              <w:spacing w:after="0"/>
              <w:rPr>
                <w:sz w:val="1"/>
                <w:szCs w:val="1"/>
                <w:color w:val="auto"/>
              </w:rPr>
            </w:pPr>
          </w:p>
        </w:tc>
      </w:tr>
      <w:tr>
        <w:trPr>
          <w:trHeight w:val="176"/>
        </w:trPr>
        <w:tc>
          <w:tcPr>
            <w:tcW w:w="180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(JAK1/JAK2)</w:t>
            </w:r>
          </w:p>
        </w:tc>
        <w:tc>
          <w:tcPr>
            <w:tcW w:w="2700" w:type="dxa"/>
            <w:vAlign w:val="bottom"/>
          </w:tcPr>
          <w:p>
            <w:pPr>
              <w:spacing w:after="0"/>
              <w:rPr>
                <w:sz w:val="15"/>
                <w:szCs w:val="15"/>
                <w:color w:val="auto"/>
              </w:rPr>
            </w:pPr>
          </w:p>
        </w:tc>
        <w:tc>
          <w:tcPr>
            <w:tcW w:w="4560" w:type="dxa"/>
            <w:vAlign w:val="bottom"/>
          </w:tcPr>
          <w:p>
            <w:pPr>
              <w:ind w:left="180"/>
              <w:spacing w:after="0" w:line="176" w:lineRule="exact"/>
              <w:rPr>
                <w:sz w:val="20"/>
                <w:szCs w:val="20"/>
                <w:color w:val="auto"/>
              </w:rPr>
            </w:pPr>
            <w:r>
              <w:rPr>
                <w:rFonts w:ascii="Arial" w:cs="Arial" w:eastAsia="Arial" w:hAnsi="Arial"/>
                <w:sz w:val="18"/>
                <w:szCs w:val="18"/>
                <w:color w:val="auto"/>
              </w:rPr>
              <w:t>INCB53914 (PIM), or itacitinib (JAK1)</w:t>
            </w:r>
          </w:p>
        </w:tc>
        <w:tc>
          <w:tcPr>
            <w:tcW w:w="0" w:type="dxa"/>
            <w:vAlign w:val="bottom"/>
          </w:tcPr>
          <w:p>
            <w:pPr>
              <w:spacing w:after="0"/>
              <w:rPr>
                <w:sz w:val="1"/>
                <w:szCs w:val="1"/>
                <w:color w:val="auto"/>
              </w:rPr>
            </w:pPr>
          </w:p>
        </w:tc>
      </w:tr>
      <w:tr>
        <w:trPr>
          <w:trHeight w:val="203"/>
        </w:trPr>
        <w:tc>
          <w:tcPr>
            <w:tcW w:w="18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combinations</w:t>
            </w:r>
          </w:p>
        </w:tc>
        <w:tc>
          <w:tcPr>
            <w:tcW w:w="27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Itacitinib (JAK1)</w:t>
            </w:r>
          </w:p>
        </w:tc>
        <w:tc>
          <w:tcPr>
            <w:tcW w:w="2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Treatment-naïve acute GVHD</w:t>
            </w: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Phase III (GRAVITAS-301)</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4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780" w:type="dxa"/>
            <w:vAlign w:val="bottom"/>
          </w:tcPr>
          <w:p>
            <w:pPr>
              <w:spacing w:after="0"/>
              <w:rPr>
                <w:sz w:val="20"/>
                <w:szCs w:val="20"/>
                <w:color w:val="auto"/>
              </w:rPr>
            </w:pPr>
            <w:r>
              <w:rPr>
                <w:rFonts w:ascii="Arial" w:cs="Arial" w:eastAsia="Arial" w:hAnsi="Arial"/>
                <w:sz w:val="18"/>
                <w:szCs w:val="18"/>
                <w:b w:val="1"/>
                <w:bCs w:val="1"/>
                <w:color w:val="auto"/>
              </w:rPr>
              <w:t>Itacitinib (JAK1)</w:t>
            </w:r>
          </w:p>
        </w:tc>
        <w:tc>
          <w:tcPr>
            <w:tcW w:w="2700" w:type="dxa"/>
            <w:vAlign w:val="bottom"/>
          </w:tcPr>
          <w:p>
            <w:pPr>
              <w:ind w:left="60"/>
              <w:spacing w:after="0"/>
              <w:rPr>
                <w:sz w:val="20"/>
                <w:szCs w:val="20"/>
                <w:color w:val="auto"/>
              </w:rPr>
            </w:pPr>
            <w:r>
              <w:rPr>
                <w:rFonts w:ascii="Arial" w:cs="Arial" w:eastAsia="Arial" w:hAnsi="Arial"/>
                <w:sz w:val="18"/>
                <w:szCs w:val="18"/>
                <w:color w:val="auto"/>
              </w:rPr>
              <w:t>Treatment-naïve chronic GVHD</w:t>
            </w:r>
          </w:p>
        </w:tc>
        <w:tc>
          <w:tcPr>
            <w:tcW w:w="4560" w:type="dxa"/>
            <w:vAlign w:val="bottom"/>
          </w:tcPr>
          <w:p>
            <w:pPr>
              <w:ind w:left="180"/>
              <w:spacing w:after="0"/>
              <w:rPr>
                <w:sz w:val="20"/>
                <w:szCs w:val="20"/>
                <w:color w:val="auto"/>
              </w:rPr>
            </w:pPr>
            <w:r>
              <w:rPr>
                <w:rFonts w:ascii="Arial" w:cs="Arial" w:eastAsia="Arial" w:hAnsi="Arial"/>
                <w:sz w:val="18"/>
                <w:szCs w:val="18"/>
                <w:color w:val="auto"/>
                <w:w w:val="95"/>
              </w:rPr>
              <w:t>Phase III (GRAVITAS-309) expected to begin in H1 2019</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17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Itacitinib (JAK1)</w:t>
            </w:r>
          </w:p>
        </w:tc>
        <w:tc>
          <w:tcPr>
            <w:tcW w:w="2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NSCLC</w:t>
            </w: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Phase I/II in combination with osimertinib (EGFR)</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4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7"/>
                <w:szCs w:val="17"/>
                <w:b w:val="1"/>
                <w:bCs w:val="1"/>
                <w:color w:val="auto"/>
              </w:rPr>
              <w:t>Pemigatinib</w:t>
            </w:r>
          </w:p>
        </w:tc>
        <w:tc>
          <w:tcPr>
            <w:tcW w:w="2700" w:type="dxa"/>
            <w:vAlign w:val="bottom"/>
          </w:tcPr>
          <w:p>
            <w:pPr>
              <w:ind w:left="60"/>
              <w:spacing w:after="0" w:line="149" w:lineRule="exact"/>
              <w:rPr>
                <w:sz w:val="20"/>
                <w:szCs w:val="20"/>
                <w:color w:val="auto"/>
              </w:rPr>
            </w:pPr>
            <w:r>
              <w:rPr>
                <w:rFonts w:ascii="Arial" w:cs="Arial" w:eastAsia="Arial" w:hAnsi="Arial"/>
                <w:sz w:val="17"/>
                <w:szCs w:val="17"/>
                <w:color w:val="auto"/>
              </w:rPr>
              <w:t>Bladder cancer</w:t>
            </w:r>
          </w:p>
        </w:tc>
        <w:tc>
          <w:tcPr>
            <w:tcW w:w="4560" w:type="dxa"/>
            <w:vAlign w:val="bottom"/>
          </w:tcPr>
          <w:p>
            <w:pPr>
              <w:ind w:left="180"/>
              <w:spacing w:after="0" w:line="149" w:lineRule="exact"/>
              <w:rPr>
                <w:sz w:val="20"/>
                <w:szCs w:val="20"/>
                <w:color w:val="auto"/>
              </w:rPr>
            </w:pPr>
            <w:r>
              <w:rPr>
                <w:rFonts w:ascii="Arial" w:cs="Arial" w:eastAsia="Arial" w:hAnsi="Arial"/>
                <w:sz w:val="17"/>
                <w:szCs w:val="17"/>
                <w:color w:val="auto"/>
              </w:rPr>
              <w:t>Phase II (FIGHT-201)</w:t>
            </w:r>
          </w:p>
        </w:tc>
        <w:tc>
          <w:tcPr>
            <w:tcW w:w="0" w:type="dxa"/>
            <w:vAlign w:val="bottom"/>
          </w:tcPr>
          <w:p>
            <w:pPr>
              <w:spacing w:after="0"/>
              <w:rPr>
                <w:sz w:val="1"/>
                <w:szCs w:val="1"/>
                <w:color w:val="auto"/>
              </w:rPr>
            </w:pPr>
          </w:p>
        </w:tc>
      </w:tr>
      <w:tr>
        <w:trPr>
          <w:trHeight w:val="234"/>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(FGFR1/2/3)</w:t>
            </w:r>
          </w:p>
        </w:tc>
        <w:tc>
          <w:tcPr>
            <w:tcW w:w="27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17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4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7"/>
                <w:szCs w:val="17"/>
                <w:b w:val="1"/>
                <w:bCs w:val="1"/>
                <w:color w:val="auto"/>
              </w:rPr>
              <w:t>Pemigatinib</w:t>
            </w:r>
          </w:p>
        </w:tc>
        <w:tc>
          <w:tcPr>
            <w:tcW w:w="2700" w:type="dxa"/>
            <w:vAlign w:val="bottom"/>
            <w:shd w:val="clear" w:color="auto" w:fill="CCEEFF"/>
          </w:tcPr>
          <w:p>
            <w:pPr>
              <w:ind w:left="60"/>
              <w:spacing w:after="0" w:line="149" w:lineRule="exact"/>
              <w:rPr>
                <w:sz w:val="20"/>
                <w:szCs w:val="20"/>
                <w:color w:val="auto"/>
              </w:rPr>
            </w:pPr>
            <w:r>
              <w:rPr>
                <w:rFonts w:ascii="Arial" w:cs="Arial" w:eastAsia="Arial" w:hAnsi="Arial"/>
                <w:sz w:val="17"/>
                <w:szCs w:val="17"/>
                <w:color w:val="auto"/>
              </w:rPr>
              <w:t>Cholangiocarcinoma</w:t>
            </w:r>
          </w:p>
        </w:tc>
        <w:tc>
          <w:tcPr>
            <w:tcW w:w="456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Phase II (FIGHT-202); Phase III (FIGHT-302) in</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(FGFR1/2/3)</w:t>
            </w:r>
          </w:p>
        </w:tc>
        <w:tc>
          <w:tcPr>
            <w:tcW w:w="270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7"/>
                <w:szCs w:val="17"/>
                <w:b w:val="1"/>
                <w:bCs w:val="1"/>
                <w:color w:val="auto"/>
              </w:rPr>
              <w:t>Pemigatinib</w:t>
            </w:r>
          </w:p>
        </w:tc>
        <w:tc>
          <w:tcPr>
            <w:tcW w:w="2700" w:type="dxa"/>
            <w:vAlign w:val="bottom"/>
          </w:tcPr>
          <w:p>
            <w:pPr>
              <w:ind w:left="60"/>
              <w:spacing w:after="0" w:line="149" w:lineRule="exact"/>
              <w:rPr>
                <w:sz w:val="20"/>
                <w:szCs w:val="20"/>
                <w:color w:val="auto"/>
              </w:rPr>
            </w:pPr>
            <w:r>
              <w:rPr>
                <w:rFonts w:ascii="Arial" w:cs="Arial" w:eastAsia="Arial" w:hAnsi="Arial"/>
                <w:sz w:val="17"/>
                <w:szCs w:val="17"/>
                <w:color w:val="auto"/>
              </w:rPr>
              <w:t>8p11 MPN</w:t>
            </w:r>
          </w:p>
        </w:tc>
        <w:tc>
          <w:tcPr>
            <w:tcW w:w="4560" w:type="dxa"/>
            <w:vAlign w:val="bottom"/>
          </w:tcPr>
          <w:p>
            <w:pPr>
              <w:ind w:left="180"/>
              <w:spacing w:after="0" w:line="149" w:lineRule="exact"/>
              <w:rPr>
                <w:sz w:val="20"/>
                <w:szCs w:val="20"/>
                <w:color w:val="auto"/>
              </w:rPr>
            </w:pPr>
            <w:r>
              <w:rPr>
                <w:rFonts w:ascii="Arial" w:cs="Arial" w:eastAsia="Arial" w:hAnsi="Arial"/>
                <w:sz w:val="17"/>
                <w:szCs w:val="17"/>
                <w:color w:val="auto"/>
              </w:rPr>
              <w:t>Phase II (FIGHT-203)</w:t>
            </w:r>
          </w:p>
        </w:tc>
        <w:tc>
          <w:tcPr>
            <w:tcW w:w="0" w:type="dxa"/>
            <w:vAlign w:val="bottom"/>
          </w:tcPr>
          <w:p>
            <w:pPr>
              <w:spacing w:after="0"/>
              <w:rPr>
                <w:sz w:val="1"/>
                <w:szCs w:val="1"/>
                <w:color w:val="auto"/>
              </w:rPr>
            </w:pPr>
          </w:p>
        </w:tc>
      </w:tr>
      <w:tr>
        <w:trPr>
          <w:trHeight w:val="234"/>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(FGFR1/2/3)</w:t>
            </w:r>
          </w:p>
        </w:tc>
        <w:tc>
          <w:tcPr>
            <w:tcW w:w="27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17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4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7"/>
                <w:szCs w:val="17"/>
                <w:b w:val="1"/>
                <w:bCs w:val="1"/>
                <w:color w:val="auto"/>
              </w:rPr>
              <w:t>INCMGA0012 (PD-1)</w:t>
            </w:r>
            <w:r>
              <w:rPr>
                <w:rFonts w:ascii="Arial" w:cs="Arial" w:eastAsia="Arial" w:hAnsi="Arial"/>
                <w:sz w:val="8"/>
                <w:szCs w:val="8"/>
                <w:b w:val="1"/>
                <w:bCs w:val="1"/>
                <w:color w:val="auto"/>
              </w:rPr>
              <w:t>1</w:t>
            </w:r>
          </w:p>
        </w:tc>
        <w:tc>
          <w:tcPr>
            <w:tcW w:w="2700" w:type="dxa"/>
            <w:vAlign w:val="bottom"/>
            <w:shd w:val="clear" w:color="auto" w:fill="CCEEFF"/>
          </w:tcPr>
          <w:p>
            <w:pPr>
              <w:ind w:left="60"/>
              <w:spacing w:after="0" w:line="149" w:lineRule="exact"/>
              <w:rPr>
                <w:sz w:val="20"/>
                <w:szCs w:val="20"/>
                <w:color w:val="auto"/>
              </w:rPr>
            </w:pPr>
            <w:r>
              <w:rPr>
                <w:rFonts w:ascii="Arial" w:cs="Arial" w:eastAsia="Arial" w:hAnsi="Arial"/>
                <w:sz w:val="17"/>
                <w:szCs w:val="17"/>
                <w:color w:val="auto"/>
              </w:rPr>
              <w:t>Solid tumors</w:t>
            </w:r>
          </w:p>
        </w:tc>
        <w:tc>
          <w:tcPr>
            <w:tcW w:w="456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rPr>
              <w:t>Phase II trials (MSI-high endometrial cancer, merkel cell</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carcinoma, anal cancer) expected to begin in 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7"/>
                <w:szCs w:val="17"/>
                <w:b w:val="1"/>
                <w:bCs w:val="1"/>
                <w:color w:val="auto"/>
              </w:rPr>
              <w:t>INCB50465 (PI3Kδ)</w:t>
            </w:r>
          </w:p>
        </w:tc>
        <w:tc>
          <w:tcPr>
            <w:tcW w:w="2700" w:type="dxa"/>
            <w:vAlign w:val="bottom"/>
          </w:tcPr>
          <w:p>
            <w:pPr>
              <w:ind w:left="60"/>
              <w:spacing w:after="0" w:line="149" w:lineRule="exact"/>
              <w:rPr>
                <w:sz w:val="20"/>
                <w:szCs w:val="20"/>
                <w:color w:val="auto"/>
              </w:rPr>
            </w:pPr>
            <w:r>
              <w:rPr>
                <w:rFonts w:ascii="Arial" w:cs="Arial" w:eastAsia="Arial" w:hAnsi="Arial"/>
                <w:sz w:val="17"/>
                <w:szCs w:val="17"/>
                <w:color w:val="auto"/>
              </w:rPr>
              <w:t>Non-Hodgkin lymphoma</w:t>
            </w:r>
          </w:p>
        </w:tc>
        <w:tc>
          <w:tcPr>
            <w:tcW w:w="4560" w:type="dxa"/>
            <w:vAlign w:val="bottom"/>
          </w:tcPr>
          <w:p>
            <w:pPr>
              <w:ind w:left="180"/>
              <w:spacing w:after="0" w:line="149" w:lineRule="exact"/>
              <w:rPr>
                <w:sz w:val="20"/>
                <w:szCs w:val="20"/>
                <w:color w:val="auto"/>
              </w:rPr>
            </w:pPr>
            <w:r>
              <w:rPr>
                <w:rFonts w:ascii="Arial" w:cs="Arial" w:eastAsia="Arial" w:hAnsi="Arial"/>
                <w:sz w:val="17"/>
                <w:szCs w:val="17"/>
                <w:color w:val="auto"/>
              </w:rPr>
              <w:t>Phase II (CITADEL-203, follicular lymphoma); (CITADEL-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4560" w:type="dxa"/>
            <w:vAlign w:val="bottom"/>
          </w:tcPr>
          <w:p>
            <w:pPr>
              <w:ind w:left="180"/>
              <w:spacing w:after="0" w:line="176" w:lineRule="exact"/>
              <w:rPr>
                <w:sz w:val="20"/>
                <w:szCs w:val="20"/>
                <w:color w:val="auto"/>
              </w:rPr>
            </w:pPr>
            <w:r>
              <w:rPr>
                <w:rFonts w:ascii="Arial" w:cs="Arial" w:eastAsia="Arial" w:hAnsi="Arial"/>
                <w:sz w:val="18"/>
                <w:szCs w:val="18"/>
                <w:color w:val="auto"/>
                <w:w w:val="99"/>
              </w:rPr>
              <w:t>204, marginal zone lymphoma); (CITADEL-205, mantel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spacing w:after="0"/>
              <w:rPr>
                <w:sz w:val="17"/>
                <w:szCs w:val="17"/>
                <w:color w:val="auto"/>
              </w:rPr>
            </w:pPr>
          </w:p>
        </w:tc>
        <w:tc>
          <w:tcPr>
            <w:tcW w:w="456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cell lymphoma)</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hanging="117"/>
        <w:spacing w:after="0"/>
        <w:tabs>
          <w:tab w:leader="none" w:pos="120" w:val="left"/>
        </w:tabs>
        <w:numPr>
          <w:ilvl w:val="0"/>
          <w:numId w:val="21"/>
        </w:numPr>
        <w:rPr>
          <w:rFonts w:ascii="Arial" w:cs="Arial" w:eastAsia="Arial" w:hAnsi="Arial"/>
          <w:sz w:val="9"/>
          <w:szCs w:val="9"/>
          <w:color w:val="auto"/>
        </w:rPr>
      </w:pPr>
      <w:r>
        <w:rPr>
          <w:rFonts w:ascii="Arial" w:cs="Arial" w:eastAsia="Arial" w:hAnsi="Arial"/>
          <w:sz w:val="18"/>
          <w:szCs w:val="18"/>
          <w:color w:val="auto"/>
        </w:rPr>
        <w:t>INCMGA0012 licensed from MacroGenics.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Earlier-Stage Programs</w:t>
      </w:r>
    </w:p>
    <w:p>
      <w:pPr>
        <w:spacing w:after="0" w:line="225"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8"/>
          <w:szCs w:val="18"/>
          <w:color w:val="auto"/>
        </w:rPr>
        <w:t>We also have a number of other earlier-stage clinical programs. We intend to describe these programs more fully if we obtain clinical proof</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concept and establish that a program warrants further development in a specific indication or group of indications.</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INCB53914 is a pan-PIM kinase inhibitor that has demonstrated potency and selectivity in preclinical studies. PIM kinases integrate signals from multiple pathways important for the survival and proliferation of malignant cells. Over expression of PIM kinases has been reported in human hematological cancers with each isoform showing a distinct expression pattern among the various malignancy subtypes.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INCB59872 is an LSD1 inhibitor. LSD1 is a key enzyme that is involved in epigenetic regulation of gene transcription. Dysregulated LSD1 activity can perturb normal gene expression, leading to cellular transformation. In particular, the function of LSD1 has been reported to maintain stem cell-like gene expression patterns in various cancers, including acute myeloid leukemia and small cell lung cancer.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INCB62079 is a selective, irreversible inhibitor of FGFR4 that has exhibited 250 times greater selectivity for FGFR4 than other FGFR isoforms in preclinical studies. Preclinical data has also demonstrated the compound’s selective activity against cancer cell lines with FGF19-FGFR4 pathway activation, and dose-dependent activity in murine models of FGF19-driven hepatocellular carcinoma.</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INCB01158 is a first-in-class, small molecule arginase inhibitor in hematology and oncology licensed from Calithera Biosciences, Inc. In preclinical models, arginase inhibition has been shown to enhance anti-tumor immunity both as a single agent and in combination with other immuno-modulatory therapeutics.</w:t>
      </w:r>
    </w:p>
    <w:p>
      <w:pPr>
        <w:spacing w:after="0" w:line="181"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color w:val="auto"/>
        </w:rPr>
        <w:t>Epacadostat is a novel, potent and selective inhibitor of the enzyme indoleamine 2, 3</w:t>
      </w:r>
      <w:r>
        <w:rPr>
          <w:rFonts w:ascii="MS PGothic" w:cs="MS PGothic" w:eastAsia="MS PGothic" w:hAnsi="MS PGothic"/>
          <w:sz w:val="17"/>
          <w:szCs w:val="17"/>
          <w:color w:val="auto"/>
        </w:rPr>
        <w:t>‑</w:t>
      </w:r>
      <w:r>
        <w:rPr>
          <w:rFonts w:ascii="Arial" w:cs="Arial" w:eastAsia="Arial" w:hAnsi="Arial"/>
          <w:sz w:val="17"/>
          <w:szCs w:val="17"/>
          <w:color w:val="auto"/>
        </w:rPr>
        <w:t>dioxygenase</w:t>
      </w:r>
      <w:r>
        <w:rPr>
          <w:rFonts w:ascii="MS PGothic" w:cs="MS PGothic" w:eastAsia="MS PGothic" w:hAnsi="MS PGothic"/>
          <w:sz w:val="17"/>
          <w:szCs w:val="17"/>
          <w:color w:val="auto"/>
        </w:rPr>
        <w:t>‑</w:t>
      </w:r>
      <w:r>
        <w:rPr>
          <w:rFonts w:ascii="Arial" w:cs="Arial" w:eastAsia="Arial" w:hAnsi="Arial"/>
          <w:sz w:val="17"/>
          <w:szCs w:val="17"/>
          <w:color w:val="auto"/>
        </w:rPr>
        <w:t>1 (IDO1), which is believed to be a key regulator of the mechanisms that are responsible for allowing tumors to escape from a patient’s immune surveillance. The ECHO clinical development program is investigating the development of epacadostat in combination with other therapeutic agents. We, along with Merck, are now running two Phase II trials of epacadostat in combination with pembrolizumab in lung cancer (ECHO-305 and ECHO-306).</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INCAGN1876, an anti-GITR agonist antibody, INCAGN1949, an anti-OX40 agonist antibody, INCAGN2385, an anti-LAG-3 antibody, and INCAGN2390, an anti-TIM-3 antibody, were discovered within our discovery alliance with Agenus Inc. These molecules are in clinical development and we are awaiting proof-of-concept data.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Programs outside Oncology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June 2018, we announced that a Phase II trial of ruxolitinib cream for the topical treatment of atopic dermatitis showed a significant benefit over vehicle control, and that preparations are underway for a global, pivotal Phase III program. Atopic dermatitis is a skin disorder that causes the skin to become red, scaly, and itchy. Onset can occur at any age, but is much more common in infants and children. United States and European prevalence are estimated at 10.3 million patients and 6.5 million patients, respectively.</w:t>
      </w:r>
    </w:p>
    <w:p>
      <w:pPr>
        <w:spacing w:after="0" w:line="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Phase II trial of ruxolitinib cream in patients with vitiligo, a long term skin condition characterized by patches of the skin losing their pigment, was initiated in June 2017.</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Phase II trial of INCB54707, a JAK1 selective inhibitor, is now enrolling in patients with hidradenitis suppurativa, an inflammatory skin disease.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1960" w:type="dxa"/>
            <w:vAlign w:val="bottom"/>
            <w:tcBorders>
              <w:top w:val="single" w:sz="8" w:color="F2F2F2"/>
              <w:bottom w:val="single" w:sz="8" w:color="auto"/>
            </w:tcBorders>
          </w:tcPr>
          <w:p>
            <w:pPr>
              <w:spacing w:after="0"/>
              <w:rPr>
                <w:sz w:val="3"/>
                <w:szCs w:val="3"/>
                <w:color w:val="auto"/>
              </w:rPr>
            </w:pPr>
          </w:p>
        </w:tc>
        <w:tc>
          <w:tcPr>
            <w:tcW w:w="2480" w:type="dxa"/>
            <w:vAlign w:val="bottom"/>
            <w:tcBorders>
              <w:top w:val="single" w:sz="8" w:color="F2F2F2"/>
              <w:bottom w:val="single" w:sz="8" w:color="auto"/>
            </w:tcBorders>
          </w:tcPr>
          <w:p>
            <w:pPr>
              <w:spacing w:after="0"/>
              <w:rPr>
                <w:sz w:val="3"/>
                <w:szCs w:val="3"/>
                <w:color w:val="auto"/>
              </w:rPr>
            </w:pPr>
          </w:p>
        </w:tc>
        <w:tc>
          <w:tcPr>
            <w:tcW w:w="4600" w:type="dxa"/>
            <w:vAlign w:val="bottom"/>
            <w:tcBorders>
              <w:top w:val="single" w:sz="8" w:color="F2F2F2"/>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960" w:type="dxa"/>
            <w:vAlign w:val="bottom"/>
            <w:tcBorders>
              <w:bottom w:val="single" w:sz="8" w:color="auto"/>
            </w:tcBorders>
            <w:shd w:val="clear" w:color="auto" w:fill="F2F2F2"/>
          </w:tcPr>
          <w:p>
            <w:pPr>
              <w:spacing w:after="0"/>
              <w:rPr>
                <w:sz w:val="20"/>
                <w:szCs w:val="20"/>
                <w:color w:val="auto"/>
              </w:rPr>
            </w:pPr>
          </w:p>
        </w:tc>
        <w:tc>
          <w:tcPr>
            <w:tcW w:w="2480" w:type="dxa"/>
            <w:vAlign w:val="bottom"/>
            <w:tcBorders>
              <w:bottom w:val="single" w:sz="8" w:color="auto"/>
            </w:tcBorders>
            <w:shd w:val="clear" w:color="auto" w:fill="F2F2F2"/>
          </w:tcPr>
          <w:p>
            <w:pPr>
              <w:ind w:left="460"/>
              <w:spacing w:after="0"/>
              <w:rPr>
                <w:sz w:val="20"/>
                <w:szCs w:val="20"/>
                <w:color w:val="auto"/>
              </w:rPr>
            </w:pPr>
            <w:r>
              <w:rPr>
                <w:rFonts w:ascii="Arial" w:cs="Arial" w:eastAsia="Arial" w:hAnsi="Arial"/>
                <w:sz w:val="18"/>
                <w:szCs w:val="18"/>
                <w:b w:val="1"/>
                <w:bCs w:val="1"/>
                <w:color w:val="auto"/>
              </w:rPr>
              <w:t>Indication</w:t>
            </w:r>
          </w:p>
        </w:tc>
        <w:tc>
          <w:tcPr>
            <w:tcW w:w="4600" w:type="dxa"/>
            <w:vAlign w:val="bottom"/>
            <w:tcBorders>
              <w:bottom w:val="single" w:sz="8" w:color="auto"/>
            </w:tcBorders>
            <w:shd w:val="clear" w:color="auto" w:fill="F2F2F2"/>
          </w:tcPr>
          <w:p>
            <w:pPr>
              <w:ind w:left="240"/>
              <w:spacing w:after="0"/>
              <w:rPr>
                <w:sz w:val="20"/>
                <w:szCs w:val="20"/>
                <w:color w:val="auto"/>
              </w:rPr>
            </w:pPr>
            <w:r>
              <w:rPr>
                <w:rFonts w:ascii="Arial" w:cs="Arial" w:eastAsia="Arial" w:hAnsi="Arial"/>
                <w:sz w:val="18"/>
                <w:szCs w:val="18"/>
                <w:b w:val="1"/>
                <w:bCs w:val="1"/>
                <w:color w:val="auto"/>
              </w:rPr>
              <w:t>Status Update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6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Ruxolitinib cream</w:t>
            </w:r>
            <w:r>
              <w:rPr>
                <w:rFonts w:ascii="Arial" w:cs="Arial" w:eastAsia="Arial" w:hAnsi="Arial"/>
                <w:sz w:val="8"/>
                <w:szCs w:val="8"/>
                <w:b w:val="1"/>
                <w:bCs w:val="1"/>
                <w:color w:val="auto"/>
              </w:rPr>
              <w:t>1</w:t>
            </w:r>
          </w:p>
        </w:tc>
        <w:tc>
          <w:tcPr>
            <w:tcW w:w="2480" w:type="dxa"/>
            <w:vAlign w:val="bottom"/>
            <w:shd w:val="clear" w:color="auto" w:fill="CCEEFF"/>
          </w:tcPr>
          <w:p>
            <w:pPr>
              <w:ind w:left="460"/>
              <w:spacing w:after="0" w:line="170" w:lineRule="exact"/>
              <w:rPr>
                <w:sz w:val="20"/>
                <w:szCs w:val="20"/>
                <w:color w:val="auto"/>
              </w:rPr>
            </w:pPr>
            <w:r>
              <w:rPr>
                <w:rFonts w:ascii="Arial" w:cs="Arial" w:eastAsia="Arial" w:hAnsi="Arial"/>
                <w:sz w:val="18"/>
                <w:szCs w:val="18"/>
                <w:color w:val="auto"/>
              </w:rPr>
              <w:t>Atopic dermatitis</w:t>
            </w:r>
          </w:p>
        </w:tc>
        <w:tc>
          <w:tcPr>
            <w:tcW w:w="4600" w:type="dxa"/>
            <w:vAlign w:val="bottom"/>
            <w:shd w:val="clear" w:color="auto" w:fill="CCEEFF"/>
          </w:tcPr>
          <w:p>
            <w:pPr>
              <w:ind w:left="240"/>
              <w:spacing w:after="0" w:line="170" w:lineRule="exact"/>
              <w:rPr>
                <w:sz w:val="20"/>
                <w:szCs w:val="20"/>
                <w:color w:val="auto"/>
              </w:rPr>
            </w:pPr>
            <w:r>
              <w:rPr>
                <w:rFonts w:ascii="Arial" w:cs="Arial" w:eastAsia="Arial" w:hAnsi="Arial"/>
                <w:sz w:val="18"/>
                <w:szCs w:val="18"/>
                <w:color w:val="auto"/>
              </w:rPr>
              <w:t>Phase III in preparation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(JAK1/JAK2)</w:t>
            </w:r>
          </w:p>
        </w:tc>
        <w:tc>
          <w:tcPr>
            <w:tcW w:w="2480" w:type="dxa"/>
            <w:vAlign w:val="bottom"/>
            <w:shd w:val="clear" w:color="auto" w:fill="CCEEFF"/>
          </w:tcPr>
          <w:p>
            <w:pPr>
              <w:spacing w:after="0"/>
              <w:rPr>
                <w:sz w:val="20"/>
                <w:szCs w:val="20"/>
                <w:color w:val="auto"/>
              </w:rPr>
            </w:pPr>
          </w:p>
        </w:tc>
        <w:tc>
          <w:tcPr>
            <w:tcW w:w="4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60" w:type="dxa"/>
            <w:vAlign w:val="bottom"/>
            <w:shd w:val="clear" w:color="auto" w:fill="CCEEFF"/>
          </w:tcPr>
          <w:p>
            <w:pPr>
              <w:spacing w:after="0"/>
              <w:rPr>
                <w:sz w:val="8"/>
                <w:szCs w:val="8"/>
                <w:color w:val="auto"/>
              </w:rPr>
            </w:pPr>
          </w:p>
        </w:tc>
        <w:tc>
          <w:tcPr>
            <w:tcW w:w="2480" w:type="dxa"/>
            <w:vAlign w:val="bottom"/>
            <w:shd w:val="clear" w:color="auto" w:fill="CCEEFF"/>
          </w:tcPr>
          <w:p>
            <w:pPr>
              <w:spacing w:after="0"/>
              <w:rPr>
                <w:sz w:val="8"/>
                <w:szCs w:val="8"/>
                <w:color w:val="auto"/>
              </w:rPr>
            </w:pPr>
          </w:p>
        </w:tc>
        <w:tc>
          <w:tcPr>
            <w:tcW w:w="4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1960" w:type="dxa"/>
            <w:vAlign w:val="bottom"/>
            <w:shd w:val="clear" w:color="auto" w:fill="F2F2F2"/>
          </w:tcPr>
          <w:p>
            <w:pPr>
              <w:spacing w:after="0" w:line="170" w:lineRule="exact"/>
              <w:rPr>
                <w:sz w:val="20"/>
                <w:szCs w:val="20"/>
                <w:color w:val="auto"/>
              </w:rPr>
            </w:pPr>
            <w:r>
              <w:rPr>
                <w:rFonts w:ascii="Arial" w:cs="Arial" w:eastAsia="Arial" w:hAnsi="Arial"/>
                <w:sz w:val="18"/>
                <w:szCs w:val="18"/>
                <w:b w:val="1"/>
                <w:bCs w:val="1"/>
                <w:color w:val="auto"/>
              </w:rPr>
              <w:t>Ruxolitinib cream</w:t>
            </w:r>
            <w:r>
              <w:rPr>
                <w:rFonts w:ascii="Arial" w:cs="Arial" w:eastAsia="Arial" w:hAnsi="Arial"/>
                <w:sz w:val="8"/>
                <w:szCs w:val="8"/>
                <w:b w:val="1"/>
                <w:bCs w:val="1"/>
                <w:color w:val="auto"/>
              </w:rPr>
              <w:t>1</w:t>
            </w:r>
          </w:p>
        </w:tc>
        <w:tc>
          <w:tcPr>
            <w:tcW w:w="2480" w:type="dxa"/>
            <w:vAlign w:val="bottom"/>
            <w:shd w:val="clear" w:color="auto" w:fill="F2F2F2"/>
          </w:tcPr>
          <w:p>
            <w:pPr>
              <w:ind w:left="460"/>
              <w:spacing w:after="0" w:line="170" w:lineRule="exact"/>
              <w:rPr>
                <w:sz w:val="20"/>
                <w:szCs w:val="20"/>
                <w:color w:val="auto"/>
              </w:rPr>
            </w:pPr>
            <w:r>
              <w:rPr>
                <w:rFonts w:ascii="Arial" w:cs="Arial" w:eastAsia="Arial" w:hAnsi="Arial"/>
                <w:sz w:val="18"/>
                <w:szCs w:val="18"/>
                <w:color w:val="auto"/>
              </w:rPr>
              <w:t>Vitiligo</w:t>
            </w:r>
          </w:p>
        </w:tc>
        <w:tc>
          <w:tcPr>
            <w:tcW w:w="4600" w:type="dxa"/>
            <w:vAlign w:val="bottom"/>
            <w:shd w:val="clear" w:color="auto" w:fill="F2F2F2"/>
          </w:tcPr>
          <w:p>
            <w:pPr>
              <w:ind w:left="240"/>
              <w:spacing w:after="0" w:line="170" w:lineRule="exact"/>
              <w:rPr>
                <w:sz w:val="20"/>
                <w:szCs w:val="20"/>
                <w:color w:val="auto"/>
              </w:rPr>
            </w:pPr>
            <w:r>
              <w:rPr>
                <w:rFonts w:ascii="Arial" w:cs="Arial" w:eastAsia="Arial" w:hAnsi="Arial"/>
                <w:sz w:val="18"/>
                <w:szCs w:val="18"/>
                <w:color w:val="auto"/>
              </w:rPr>
              <w:t>Phase II</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60" w:type="dxa"/>
            <w:vAlign w:val="bottom"/>
            <w:shd w:val="clear" w:color="auto" w:fill="F2F2F2"/>
          </w:tcPr>
          <w:p>
            <w:pPr>
              <w:spacing w:after="0"/>
              <w:rPr>
                <w:sz w:val="20"/>
                <w:szCs w:val="20"/>
                <w:color w:val="auto"/>
              </w:rPr>
            </w:pPr>
            <w:r>
              <w:rPr>
                <w:rFonts w:ascii="Arial" w:cs="Arial" w:eastAsia="Arial" w:hAnsi="Arial"/>
                <w:sz w:val="18"/>
                <w:szCs w:val="18"/>
                <w:b w:val="1"/>
                <w:bCs w:val="1"/>
                <w:color w:val="auto"/>
              </w:rPr>
              <w:t>(JAK1/JAK2)</w:t>
            </w:r>
          </w:p>
        </w:tc>
        <w:tc>
          <w:tcPr>
            <w:tcW w:w="2480" w:type="dxa"/>
            <w:vAlign w:val="bottom"/>
            <w:shd w:val="clear" w:color="auto" w:fill="F2F2F2"/>
          </w:tcPr>
          <w:p>
            <w:pPr>
              <w:spacing w:after="0"/>
              <w:rPr>
                <w:sz w:val="20"/>
                <w:szCs w:val="20"/>
                <w:color w:val="auto"/>
              </w:rPr>
            </w:pPr>
          </w:p>
        </w:tc>
        <w:tc>
          <w:tcPr>
            <w:tcW w:w="460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960" w:type="dxa"/>
            <w:vAlign w:val="bottom"/>
            <w:shd w:val="clear" w:color="auto" w:fill="F2F2F2"/>
          </w:tcPr>
          <w:p>
            <w:pPr>
              <w:spacing w:after="0"/>
              <w:rPr>
                <w:sz w:val="9"/>
                <w:szCs w:val="9"/>
                <w:color w:val="auto"/>
              </w:rPr>
            </w:pPr>
          </w:p>
        </w:tc>
        <w:tc>
          <w:tcPr>
            <w:tcW w:w="2480" w:type="dxa"/>
            <w:vAlign w:val="bottom"/>
            <w:shd w:val="clear" w:color="auto" w:fill="F2F2F2"/>
          </w:tcPr>
          <w:p>
            <w:pPr>
              <w:spacing w:after="0"/>
              <w:rPr>
                <w:sz w:val="9"/>
                <w:szCs w:val="9"/>
                <w:color w:val="auto"/>
              </w:rPr>
            </w:pPr>
          </w:p>
        </w:tc>
        <w:tc>
          <w:tcPr>
            <w:tcW w:w="460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INCB54707 (JAK1)</w:t>
            </w:r>
          </w:p>
        </w:tc>
        <w:tc>
          <w:tcPr>
            <w:tcW w:w="24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Hidradenitis suppurativa</w:t>
            </w:r>
          </w:p>
        </w:tc>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Phase II</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960" w:type="dxa"/>
            <w:vAlign w:val="bottom"/>
            <w:tcBorders>
              <w:bottom w:val="single" w:sz="8" w:color="auto"/>
            </w:tcBorders>
            <w:shd w:val="clear" w:color="auto" w:fill="CCEEFF"/>
          </w:tcPr>
          <w:p>
            <w:pPr>
              <w:spacing w:after="0"/>
              <w:rPr>
                <w:sz w:val="16"/>
                <w:szCs w:val="16"/>
                <w:color w:val="auto"/>
              </w:rPr>
            </w:pPr>
          </w:p>
        </w:tc>
        <w:tc>
          <w:tcPr>
            <w:tcW w:w="2480" w:type="dxa"/>
            <w:vAlign w:val="bottom"/>
            <w:tcBorders>
              <w:bottom w:val="single" w:sz="8" w:color="auto"/>
            </w:tcBorders>
            <w:shd w:val="clear" w:color="auto" w:fill="CCEEFF"/>
          </w:tcPr>
          <w:p>
            <w:pPr>
              <w:spacing w:after="0"/>
              <w:rPr>
                <w:sz w:val="16"/>
                <w:szCs w:val="16"/>
                <w:color w:val="auto"/>
              </w:rPr>
            </w:pPr>
          </w:p>
        </w:tc>
        <w:tc>
          <w:tcPr>
            <w:tcW w:w="46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
        <w:spacing w:after="0" w:line="277" w:lineRule="auto"/>
        <w:tabs>
          <w:tab w:leader="none" w:pos="122" w:val="left"/>
        </w:tabs>
        <w:numPr>
          <w:ilvl w:val="0"/>
          <w:numId w:val="22"/>
        </w:numPr>
        <w:rPr>
          <w:rFonts w:ascii="Arial" w:cs="Arial" w:eastAsia="Arial" w:hAnsi="Arial"/>
          <w:sz w:val="9"/>
          <w:szCs w:val="9"/>
          <w:color w:val="auto"/>
        </w:rPr>
      </w:pPr>
      <w:r>
        <w:rPr>
          <w:rFonts w:ascii="Arial" w:cs="Arial" w:eastAsia="Arial" w:hAnsi="Arial"/>
          <w:sz w:val="18"/>
          <w:szCs w:val="18"/>
          <w:color w:val="auto"/>
        </w:rPr>
        <w:t>Novartis’ rights for ruxolitinib outside of the United States under our Collaboration and License Agreement with Novartis do not include topical administration.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Partnered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Baricitinib</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a second JAK1 and JAK2 inhibitor, baricitinib, which is subject to our collaboration agreement with Eli Lilly and Company, in which Lilly received exclusive worldwide development and commercialization rights to the compound for inflammatory and autoimmune diseases. The Phase III program of baricitinib in patients with rheumatoid arthritis incorporated all three rheumatoid arthritis populations (methotrexate naïve, biologic naïve, and tumor necrosis factor (TNF) inhibitor inadequate responders); used event rates to fully power the baricitinib program for structural</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comparison and non-inferiority vs. adalimumab; and evaluated patient-reported outcomes. All four Phase III trials met their respective primary endpoints.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January 2016, Lilly submitted a New Drug Application (NDA) to the FDA and a Marketing Authorization Application (MAA) to the European Medicines Agency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(DMARDs). In July 2017, Japan's Ministry of Health, Labor and Welfare (MHLW) granted marketing approval for OLUMIANTfor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(RA) who have had an inadequate response to one or more tumor necrosis factor (TNF) inhibitor therapies.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Rheumatoid Arthritis. </w:t>
      </w:r>
      <w:r>
        <w:rPr>
          <w:rFonts w:ascii="Arial" w:cs="Arial" w:eastAsia="Arial" w:hAnsi="Arial"/>
          <w:sz w:val="18"/>
          <w:szCs w:val="18"/>
          <w:color w:val="auto"/>
        </w:rPr>
        <w:t>Rheumatoid arthritis is an autoimmune disease characterized by aberrant or abnormal</w:t>
      </w:r>
      <w:r>
        <w:rPr>
          <w:rFonts w:ascii="Arial" w:cs="Arial" w:eastAsia="Arial" w:hAnsi="Arial"/>
          <w:sz w:val="18"/>
          <w:szCs w:val="18"/>
          <w:i w:val="1"/>
          <w:iCs w:val="1"/>
          <w:color w:val="auto"/>
        </w:rPr>
        <w:t xml:space="preserve"> </w:t>
      </w:r>
      <w:r>
        <w:rPr>
          <w:rFonts w:ascii="Arial" w:cs="Arial" w:eastAsia="Arial" w:hAnsi="Arial"/>
          <w:sz w:val="18"/>
          <w:szCs w:val="18"/>
          <w:color w:val="auto"/>
        </w:rPr>
        <w:t>immune mechanisms that lead to joint inflammation and swelling and, in some patients, the progressive destruction of joints. Rheumatoid arthritis can also affect connective tissue in the skin and organs of the body.</w:t>
      </w:r>
    </w:p>
    <w:p>
      <w:pPr>
        <w:spacing w:after="0" w:line="181"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color w:val="auto"/>
        </w:rPr>
        <w:t>Current rheumatoid arthritis treatments include the use of non</w:t>
      </w:r>
      <w:r>
        <w:rPr>
          <w:rFonts w:ascii="MS PGothic" w:cs="MS PGothic" w:eastAsia="MS PGothic" w:hAnsi="MS PGothic"/>
          <w:sz w:val="17"/>
          <w:szCs w:val="17"/>
          <w:color w:val="auto"/>
        </w:rPr>
        <w:t>‑</w:t>
      </w:r>
      <w:r>
        <w:rPr>
          <w:rFonts w:ascii="Arial" w:cs="Arial" w:eastAsia="Arial" w:hAnsi="Arial"/>
          <w:sz w:val="17"/>
          <w:szCs w:val="17"/>
          <w:color w:val="auto"/>
        </w:rPr>
        <w:t>steroidal anti</w:t>
      </w:r>
      <w:r>
        <w:rPr>
          <w:rFonts w:ascii="MS PGothic" w:cs="MS PGothic" w:eastAsia="MS PGothic" w:hAnsi="MS PGothic"/>
          <w:sz w:val="17"/>
          <w:szCs w:val="17"/>
          <w:color w:val="auto"/>
        </w:rPr>
        <w:t>‑</w:t>
      </w:r>
      <w:r>
        <w:rPr>
          <w:rFonts w:ascii="Arial" w:cs="Arial" w:eastAsia="Arial" w:hAnsi="Arial"/>
          <w:sz w:val="17"/>
          <w:szCs w:val="17"/>
          <w:color w:val="auto"/>
        </w:rPr>
        <w:t>inflammatory drugs, disease</w:t>
      </w:r>
      <w:r>
        <w:rPr>
          <w:rFonts w:ascii="MS PGothic" w:cs="MS PGothic" w:eastAsia="MS PGothic" w:hAnsi="MS PGothic"/>
          <w:sz w:val="17"/>
          <w:szCs w:val="17"/>
          <w:color w:val="auto"/>
        </w:rPr>
        <w:t>‑</w:t>
      </w:r>
      <w:r>
        <w:rPr>
          <w:rFonts w:ascii="Arial" w:cs="Arial" w:eastAsia="Arial" w:hAnsi="Arial"/>
          <w:sz w:val="17"/>
          <w:szCs w:val="17"/>
          <w:color w:val="auto"/>
        </w:rPr>
        <w:t>modifying anti</w:t>
      </w:r>
      <w:r>
        <w:rPr>
          <w:rFonts w:ascii="MS PGothic" w:cs="MS PGothic" w:eastAsia="MS PGothic" w:hAnsi="MS PGothic"/>
          <w:sz w:val="17"/>
          <w:szCs w:val="17"/>
          <w:color w:val="auto"/>
        </w:rPr>
        <w:t>‑</w:t>
      </w:r>
      <w:r>
        <w:rPr>
          <w:rFonts w:ascii="Arial" w:cs="Arial" w:eastAsia="Arial" w:hAnsi="Arial"/>
          <w:sz w:val="17"/>
          <w:szCs w:val="17"/>
          <w:color w:val="auto"/>
        </w:rPr>
        <w:t>rheumatic drugs, such as methotrexate, and the newer biological response modifiers that target pro</w:t>
      </w:r>
      <w:r>
        <w:rPr>
          <w:rFonts w:ascii="MS PGothic" w:cs="MS PGothic" w:eastAsia="MS PGothic" w:hAnsi="MS PGothic"/>
          <w:sz w:val="17"/>
          <w:szCs w:val="17"/>
          <w:color w:val="auto"/>
        </w:rPr>
        <w:t>‑</w:t>
      </w:r>
      <w:r>
        <w:rPr>
          <w:rFonts w:ascii="Arial" w:cs="Arial" w:eastAsia="Arial" w:hAnsi="Arial"/>
          <w:sz w:val="17"/>
          <w:szCs w:val="17"/>
          <w:color w:val="auto"/>
        </w:rPr>
        <w:t>inflammatory cytokines, such as tumor necrosis factor, implicated in the pathogenesis of rheumatoid arthritis. None of these approaches to treatment is curative; therefore, there remains an unmet need for new safe and effective treatment options for these patients. Rheumatoid arthritis is estimated to affect about 1% of the world’s population.</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Psoriatic Arthritis</w:t>
      </w:r>
      <w:r>
        <w:rPr>
          <w:rFonts w:ascii="Arial" w:cs="Arial" w:eastAsia="Arial" w:hAnsi="Arial"/>
          <w:sz w:val="18"/>
          <w:szCs w:val="18"/>
          <w:color w:val="auto"/>
        </w:rPr>
        <w:t>. Psoriatic arthritis (PsA) is an inflammatory arthritis that is seen in association with skin</w:t>
      </w:r>
      <w:r>
        <w:rPr>
          <w:rFonts w:ascii="Arial" w:cs="Arial" w:eastAsia="Arial" w:hAnsi="Arial"/>
          <w:sz w:val="18"/>
          <w:szCs w:val="18"/>
          <w:i w:val="1"/>
          <w:iCs w:val="1"/>
          <w:color w:val="auto"/>
        </w:rPr>
        <w:t xml:space="preserve"> </w:t>
      </w:r>
      <w:r>
        <w:rPr>
          <w:rFonts w:ascii="Arial" w:cs="Arial" w:eastAsia="Arial" w:hAnsi="Arial"/>
          <w:sz w:val="18"/>
          <w:szCs w:val="18"/>
          <w:color w:val="auto"/>
        </w:rPr>
        <w:t>psoriasis. It causes joint pain and swelling that can lead to damage of the joint if the inflammation is not controlled. Baricitinib has been shown to inhibit the JAK-STAT pathway in related conditions such as psoriasis in Phase II trials, and based on its activity profile, baricitinib also has the potential to demonstrate positive clinical outcomes in PsA. Lilly expects to initiate a Phase III program to evaluate the safety and efficacy of baricitinib in patients with PsA during 2018.</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Atopic Dermatitis. </w:t>
      </w:r>
      <w:r>
        <w:rPr>
          <w:rFonts w:ascii="Arial" w:cs="Arial" w:eastAsia="Arial" w:hAnsi="Arial"/>
          <w:sz w:val="18"/>
          <w:szCs w:val="18"/>
          <w:color w:val="auto"/>
        </w:rPr>
        <w:t>Atopic dermatitis (AtD) is a condition that makes the skin red and itchy and which is common in</w:t>
      </w:r>
      <w:r>
        <w:rPr>
          <w:rFonts w:ascii="Arial" w:cs="Arial" w:eastAsia="Arial" w:hAnsi="Arial"/>
          <w:sz w:val="18"/>
          <w:szCs w:val="18"/>
          <w:i w:val="1"/>
          <w:iCs w:val="1"/>
          <w:color w:val="auto"/>
        </w:rPr>
        <w:t xml:space="preserve"> </w:t>
      </w:r>
      <w:r>
        <w:rPr>
          <w:rFonts w:ascii="Arial" w:cs="Arial" w:eastAsia="Arial" w:hAnsi="Arial"/>
          <w:sz w:val="18"/>
          <w:szCs w:val="18"/>
          <w:color w:val="auto"/>
        </w:rPr>
        <w:t>children but can occur at any age. Atopic dermatitis is long lasting and tends to flare periodically and then subside. Lilly has conducted a Phase IIa trial to evaluate the safety and efficacy of baricitinib in patients with moderate-to-severe atopic dermatitis. The JAK-STAT pathway has been shown to play an essential role in the dysregulation of immune responses in atopic dermatitis. Therefore, we believe that inhibiting cytokine pathways dependent on JAK1 and JAK2 may lead to positive clinical outcomes in atopic dermatitis. A Phase III program to evaluate the safety and efficacy of baricitinib in patients with moderate to severe AtD is ongoing.</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Systemic Lupus Erythematosus. </w:t>
      </w:r>
      <w:r>
        <w:rPr>
          <w:rFonts w:ascii="Arial" w:cs="Arial" w:eastAsia="Arial" w:hAnsi="Arial"/>
          <w:sz w:val="17"/>
          <w:szCs w:val="17"/>
          <w:color w:val="auto"/>
        </w:rPr>
        <w:t>Systemic lupus erythematosus (SLE) is a chronic disease that causes inflammation.</w:t>
      </w:r>
      <w:r>
        <w:rPr>
          <w:rFonts w:ascii="Arial" w:cs="Arial" w:eastAsia="Arial" w:hAnsi="Arial"/>
          <w:sz w:val="17"/>
          <w:szCs w:val="17"/>
          <w:i w:val="1"/>
          <w:iCs w:val="1"/>
          <w:color w:val="auto"/>
        </w:rPr>
        <w:t xml:space="preserve"> </w:t>
      </w:r>
      <w:r>
        <w:rPr>
          <w:rFonts w:ascii="Arial" w:cs="Arial" w:eastAsia="Arial" w:hAnsi="Arial"/>
          <w:sz w:val="17"/>
          <w:szCs w:val="17"/>
          <w:color w:val="auto"/>
        </w:rPr>
        <w:t>In addition to affecting the skin and joints, it can affect other organs in the body such as the kidneys, the tissue lining the lungs and heart, and the brain. Lilly has conducted a Phase II trial to evaluate the safety and efficacy of baricitinib in patients with SLE. Baricitinib’s activity profile suggests that it inhibits cytokines implicated in SLE such as type I interferon (IFN), type II IFN-γ, IL-6, and IL-23 as well as other cytokines that may have a role in SLE, including granulocyte macrophage colony stimulating factor (GM-CSF) and IL-12. The potential impact of baricitinib on the IFN pathway is highly relevant to SLE, as clinical and preclinical studies have established that this pathway is involved in the pathogenesis of SLE. Lilly has recently initiated a Phase III trial of baricitinib in patients with SLE.</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Alopecia Areata</w:t>
      </w:r>
      <w:r>
        <w:rPr>
          <w:rFonts w:ascii="Arial" w:cs="Arial" w:eastAsia="Arial" w:hAnsi="Arial"/>
          <w:sz w:val="18"/>
          <w:szCs w:val="18"/>
          <w:color w:val="auto"/>
        </w:rPr>
        <w:t>. Alopecia areata is an autoimmune disorder in which the immune system attacks the hair follicles,</w:t>
      </w:r>
      <w:r>
        <w:rPr>
          <w:rFonts w:ascii="Arial" w:cs="Arial" w:eastAsia="Arial" w:hAnsi="Arial"/>
          <w:sz w:val="18"/>
          <w:szCs w:val="18"/>
          <w:i w:val="1"/>
          <w:iCs w:val="1"/>
          <w:color w:val="auto"/>
        </w:rPr>
        <w:t xml:space="preserve"> </w:t>
      </w:r>
      <w:r>
        <w:rPr>
          <w:rFonts w:ascii="Arial" w:cs="Arial" w:eastAsia="Arial" w:hAnsi="Arial"/>
          <w:sz w:val="18"/>
          <w:szCs w:val="18"/>
          <w:color w:val="auto"/>
        </w:rPr>
        <w:t>causing hair loss in patches. Lilly has recently initiated a Phase II/III trial to evaluate the safety and efficacy of baricitinib in patients with severe alopecia areata.</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exercised our co-development options in rheumatoid arthritis, atopic dermatitis, psoriatic arthritis, alopecia areata, systematic lupus erythematosus and axial spondyloarthritis to fund 30% of future global development costs through regulatory approval, including post-launch studies required by a regulatory authority, in exchange for increased tiered royalties ranging up to the high twenties on potential future sales.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Capmatinib</w:t>
      </w:r>
    </w:p>
    <w:p>
      <w:pPr>
        <w:spacing w:after="0" w:line="225"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Capmatinib is a potent and highly selective MET inhibitor. The investigational compound has demonstrated inhibitory activity in cell-based biochemical and functional assays that measure MET signaling and MET dependent cell proliferation, survival and migration. Under our agreement, Novartis received worldwide exclusive development and commercialization rights to capmatinib and certain back</w:t>
      </w:r>
      <w:r>
        <w:rPr>
          <w:rFonts w:ascii="MS PGothic" w:cs="MS PGothic" w:eastAsia="MS PGothic" w:hAnsi="MS PGothic"/>
          <w:sz w:val="18"/>
          <w:szCs w:val="18"/>
          <w:color w:val="auto"/>
        </w:rPr>
        <w:t>‑</w:t>
      </w:r>
      <w:r>
        <w:rPr>
          <w:rFonts w:ascii="Arial" w:cs="Arial" w:eastAsia="Arial" w:hAnsi="Arial"/>
          <w:sz w:val="18"/>
          <w:szCs w:val="18"/>
          <w:color w:val="auto"/>
        </w:rPr>
        <w:t>up compounds in all indications. Capmatinib is being evaluated in patients with hepatocellular carcinoma, non</w:t>
      </w:r>
      <w:r>
        <w:rPr>
          <w:rFonts w:ascii="MS PGothic" w:cs="MS PGothic" w:eastAsia="MS PGothic" w:hAnsi="MS PGothic"/>
          <w:sz w:val="18"/>
          <w:szCs w:val="18"/>
          <w:color w:val="auto"/>
        </w:rPr>
        <w:t>‑</w:t>
      </w:r>
      <w:r>
        <w:rPr>
          <w:rFonts w:ascii="Arial" w:cs="Arial" w:eastAsia="Arial" w:hAnsi="Arial"/>
          <w:sz w:val="18"/>
          <w:szCs w:val="18"/>
          <w:color w:val="auto"/>
        </w:rPr>
        <w:t>small cell lung cancer and other solid tumors, and may have potential utility as a combination agent.</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MET is a clinically validated receptor kinase cancer target. Abnormal MET activation in cancer correlates with poor prognosis. Dysregulation of the MET pathway triggers tumor growth, formation of new blood vessels that supply the tumor with nutrients, and causes cancer to spread to other organs. Dysregulation of the MET pathway is seen in many types of cancers, including lung, kidney, liver, stomach, breast and brain.</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October 2018, we and Novartis announced positive preliminary results of the GEOMETRY mono-1 trial of capmatinib in patients with advanced non-small cell lung cancer (NSCLC) harboring MET exon-14 skipping mutations. NSCLC is the most common type of lung cancer, impacting more than 2 million people per year. Approximately 3-4 percent of all patients with NSCLC have an identified MET mutation. Though rare, this mutation is an indicator of especially poor prognosis and there is currently no approved therapy designed to target this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57543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Indication</w:t>
            </w:r>
          </w:p>
        </w:tc>
        <w:tc>
          <w:tcPr>
            <w:tcW w:w="456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Status Update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Baricitinib (JAK1/JAK2)</w:t>
            </w:r>
            <w:r>
              <w:rPr>
                <w:rFonts w:ascii="Arial" w:cs="Arial" w:eastAsia="Arial" w:hAnsi="Arial"/>
                <w:sz w:val="8"/>
                <w:szCs w:val="8"/>
                <w:b w:val="1"/>
                <w:bCs w:val="1"/>
                <w:color w:val="auto"/>
                <w:w w:val="98"/>
              </w:rPr>
              <w:t>1</w:t>
            </w:r>
          </w:p>
        </w:tc>
        <w:tc>
          <w:tcPr>
            <w:tcW w:w="2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Atopic dermatitis</w:t>
            </w: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Phase III</w:t>
            </w:r>
          </w:p>
        </w:tc>
        <w:tc>
          <w:tcPr>
            <w:tcW w:w="0" w:type="dxa"/>
            <w:vAlign w:val="bottom"/>
          </w:tcPr>
          <w:p>
            <w:pPr>
              <w:spacing w:after="0"/>
              <w:rPr>
                <w:sz w:val="1"/>
                <w:szCs w:val="1"/>
                <w:color w:val="auto"/>
              </w:rPr>
            </w:pPr>
          </w:p>
        </w:tc>
      </w:tr>
      <w:tr>
        <w:trPr>
          <w:trHeight w:val="265"/>
        </w:trPr>
        <w:tc>
          <w:tcPr>
            <w:tcW w:w="20" w:type="dxa"/>
            <w:vAlign w:val="bottom"/>
            <w:vMerge w:val="restart"/>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2420" w:type="dxa"/>
            <w:vAlign w:val="bottom"/>
            <w:shd w:val="clear" w:color="auto" w:fill="CCEEFF"/>
          </w:tcPr>
          <w:p>
            <w:pPr>
              <w:spacing w:after="0"/>
              <w:rPr>
                <w:sz w:val="23"/>
                <w:szCs w:val="23"/>
                <w:color w:val="auto"/>
              </w:rPr>
            </w:pPr>
          </w:p>
        </w:tc>
        <w:tc>
          <w:tcPr>
            <w:tcW w:w="4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b w:val="1"/>
                <w:bCs w:val="1"/>
                <w:color w:val="auto"/>
                <w:w w:val="98"/>
              </w:rPr>
              <w:t>Baricitinib (JAK1/JAK2)</w:t>
            </w:r>
            <w:r>
              <w:rPr>
                <w:rFonts w:ascii="Arial" w:cs="Arial" w:eastAsia="Arial" w:hAnsi="Arial"/>
                <w:sz w:val="8"/>
                <w:szCs w:val="8"/>
                <w:b w:val="1"/>
                <w:bCs w:val="1"/>
                <w:color w:val="auto"/>
                <w:w w:val="98"/>
              </w:rPr>
              <w:t>1</w:t>
            </w:r>
          </w:p>
        </w:tc>
        <w:tc>
          <w:tcPr>
            <w:tcW w:w="2420" w:type="dxa"/>
            <w:vAlign w:val="bottom"/>
          </w:tcPr>
          <w:p>
            <w:pPr>
              <w:ind w:left="80"/>
              <w:spacing w:after="0"/>
              <w:rPr>
                <w:sz w:val="20"/>
                <w:szCs w:val="20"/>
                <w:color w:val="auto"/>
              </w:rPr>
            </w:pPr>
            <w:r>
              <w:rPr>
                <w:rFonts w:ascii="Arial" w:cs="Arial" w:eastAsia="Arial" w:hAnsi="Arial"/>
                <w:sz w:val="18"/>
                <w:szCs w:val="18"/>
                <w:color w:val="auto"/>
                <w:w w:val="95"/>
              </w:rPr>
              <w:t>Systemic lupus erythematosus</w:t>
            </w:r>
          </w:p>
        </w:tc>
        <w:tc>
          <w:tcPr>
            <w:tcW w:w="4560" w:type="dxa"/>
            <w:vAlign w:val="bottom"/>
          </w:tcPr>
          <w:p>
            <w:pPr>
              <w:ind w:left="180"/>
              <w:spacing w:after="0"/>
              <w:rPr>
                <w:sz w:val="20"/>
                <w:szCs w:val="20"/>
                <w:color w:val="auto"/>
              </w:rPr>
            </w:pPr>
            <w:r>
              <w:rPr>
                <w:rFonts w:ascii="Arial" w:cs="Arial" w:eastAsia="Arial" w:hAnsi="Arial"/>
                <w:sz w:val="18"/>
                <w:szCs w:val="18"/>
                <w:color w:val="auto"/>
              </w:rPr>
              <w:t>Phase III</w:t>
            </w:r>
          </w:p>
        </w:tc>
        <w:tc>
          <w:tcPr>
            <w:tcW w:w="0" w:type="dxa"/>
            <w:vAlign w:val="bottom"/>
          </w:tcPr>
          <w:p>
            <w:pPr>
              <w:spacing w:after="0"/>
              <w:rPr>
                <w:sz w:val="1"/>
                <w:szCs w:val="1"/>
                <w:color w:val="auto"/>
              </w:rPr>
            </w:pPr>
          </w:p>
        </w:tc>
      </w:tr>
      <w:tr>
        <w:trPr>
          <w:trHeight w:val="279"/>
        </w:trPr>
        <w:tc>
          <w:tcPr>
            <w:tcW w:w="20" w:type="dxa"/>
            <w:vAlign w:val="bottom"/>
            <w:vMerge w:val="restart"/>
          </w:tcPr>
          <w:p>
            <w:pPr>
              <w:spacing w:after="0"/>
              <w:rPr>
                <w:sz w:val="24"/>
                <w:szCs w:val="24"/>
                <w:color w:val="auto"/>
              </w:rPr>
            </w:pPr>
          </w:p>
        </w:tc>
        <w:tc>
          <w:tcPr>
            <w:tcW w:w="20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Baricitinib (JAK1/JAK2)</w:t>
            </w:r>
            <w:r>
              <w:rPr>
                <w:rFonts w:ascii="Arial" w:cs="Arial" w:eastAsia="Arial" w:hAnsi="Arial"/>
                <w:sz w:val="8"/>
                <w:szCs w:val="8"/>
                <w:b w:val="1"/>
                <w:bCs w:val="1"/>
                <w:color w:val="auto"/>
                <w:w w:val="98"/>
              </w:rPr>
              <w:t>1</w:t>
            </w:r>
          </w:p>
        </w:tc>
        <w:tc>
          <w:tcPr>
            <w:tcW w:w="2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Psoriatic arthritis</w:t>
            </w: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Lilly expects the Phase III program to begin in 2018</w:t>
            </w:r>
          </w:p>
        </w:tc>
        <w:tc>
          <w:tcPr>
            <w:tcW w:w="0" w:type="dxa"/>
            <w:vAlign w:val="bottom"/>
          </w:tcPr>
          <w:p>
            <w:pPr>
              <w:spacing w:after="0"/>
              <w:rPr>
                <w:sz w:val="1"/>
                <w:szCs w:val="1"/>
                <w:color w:val="auto"/>
              </w:rPr>
            </w:pPr>
          </w:p>
        </w:tc>
      </w:tr>
      <w:tr>
        <w:trPr>
          <w:trHeight w:val="279"/>
        </w:trPr>
        <w:tc>
          <w:tcPr>
            <w:tcW w:w="20" w:type="dxa"/>
            <w:vAlign w:val="bottom"/>
            <w:vMerge w:val="restart"/>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2420" w:type="dxa"/>
            <w:vAlign w:val="bottom"/>
            <w:shd w:val="clear" w:color="auto" w:fill="CCEEFF"/>
          </w:tcPr>
          <w:p>
            <w:pPr>
              <w:spacing w:after="0"/>
              <w:rPr>
                <w:sz w:val="24"/>
                <w:szCs w:val="24"/>
                <w:color w:val="auto"/>
              </w:rPr>
            </w:pPr>
          </w:p>
        </w:tc>
        <w:tc>
          <w:tcPr>
            <w:tcW w:w="4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b w:val="1"/>
                <w:bCs w:val="1"/>
                <w:color w:val="auto"/>
                <w:w w:val="98"/>
              </w:rPr>
              <w:t>Baricitinib (JAK1/JAK2)</w:t>
            </w:r>
            <w:r>
              <w:rPr>
                <w:rFonts w:ascii="Arial" w:cs="Arial" w:eastAsia="Arial" w:hAnsi="Arial"/>
                <w:sz w:val="8"/>
                <w:szCs w:val="8"/>
                <w:b w:val="1"/>
                <w:bCs w:val="1"/>
                <w:color w:val="auto"/>
                <w:w w:val="98"/>
              </w:rPr>
              <w:t>1</w:t>
            </w:r>
          </w:p>
        </w:tc>
        <w:tc>
          <w:tcPr>
            <w:tcW w:w="2420" w:type="dxa"/>
            <w:vAlign w:val="bottom"/>
          </w:tcPr>
          <w:p>
            <w:pPr>
              <w:ind w:left="80"/>
              <w:spacing w:after="0"/>
              <w:rPr>
                <w:sz w:val="20"/>
                <w:szCs w:val="20"/>
                <w:color w:val="auto"/>
              </w:rPr>
            </w:pPr>
            <w:r>
              <w:rPr>
                <w:rFonts w:ascii="Arial" w:cs="Arial" w:eastAsia="Arial" w:hAnsi="Arial"/>
                <w:sz w:val="18"/>
                <w:szCs w:val="18"/>
                <w:color w:val="auto"/>
              </w:rPr>
              <w:t>Severe alopecia areata</w:t>
            </w:r>
          </w:p>
        </w:tc>
        <w:tc>
          <w:tcPr>
            <w:tcW w:w="4560" w:type="dxa"/>
            <w:vAlign w:val="bottom"/>
          </w:tcPr>
          <w:p>
            <w:pPr>
              <w:ind w:left="180"/>
              <w:spacing w:after="0"/>
              <w:rPr>
                <w:sz w:val="20"/>
                <w:szCs w:val="20"/>
                <w:color w:val="auto"/>
              </w:rPr>
            </w:pPr>
            <w:r>
              <w:rPr>
                <w:rFonts w:ascii="Arial" w:cs="Arial" w:eastAsia="Arial" w:hAnsi="Arial"/>
                <w:sz w:val="18"/>
                <w:szCs w:val="18"/>
                <w:color w:val="auto"/>
              </w:rPr>
              <w:t>Phase II/III</w:t>
            </w:r>
          </w:p>
        </w:tc>
        <w:tc>
          <w:tcPr>
            <w:tcW w:w="0" w:type="dxa"/>
            <w:vAlign w:val="bottom"/>
          </w:tcPr>
          <w:p>
            <w:pPr>
              <w:spacing w:after="0"/>
              <w:rPr>
                <w:sz w:val="1"/>
                <w:szCs w:val="1"/>
                <w:color w:val="auto"/>
              </w:rPr>
            </w:pPr>
          </w:p>
        </w:tc>
      </w:tr>
      <w:tr>
        <w:trPr>
          <w:trHeight w:val="279"/>
        </w:trPr>
        <w:tc>
          <w:tcPr>
            <w:tcW w:w="20" w:type="dxa"/>
            <w:vAlign w:val="bottom"/>
            <w:vMerge w:val="restart"/>
          </w:tcPr>
          <w:p>
            <w:pPr>
              <w:spacing w:after="0"/>
              <w:rPr>
                <w:sz w:val="24"/>
                <w:szCs w:val="24"/>
                <w:color w:val="auto"/>
              </w:rPr>
            </w:pPr>
          </w:p>
        </w:tc>
        <w:tc>
          <w:tcPr>
            <w:tcW w:w="20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060" w:type="dxa"/>
            <w:vAlign w:val="bottom"/>
            <w:shd w:val="clear" w:color="auto" w:fill="CCEEFF"/>
          </w:tcPr>
          <w:p>
            <w:pPr>
              <w:spacing w:after="0" w:line="162" w:lineRule="exact"/>
              <w:rPr>
                <w:sz w:val="20"/>
                <w:szCs w:val="20"/>
                <w:color w:val="auto"/>
              </w:rPr>
            </w:pPr>
            <w:r>
              <w:rPr>
                <w:rFonts w:ascii="Arial" w:cs="Arial" w:eastAsia="Arial" w:hAnsi="Arial"/>
                <w:sz w:val="18"/>
                <w:szCs w:val="18"/>
                <w:b w:val="1"/>
                <w:bCs w:val="1"/>
                <w:color w:val="auto"/>
              </w:rPr>
              <w:t>Capmatinib (MET)</w:t>
            </w:r>
            <w:r>
              <w:rPr>
                <w:rFonts w:ascii="Arial" w:cs="Arial" w:eastAsia="Arial" w:hAnsi="Arial"/>
                <w:sz w:val="8"/>
                <w:szCs w:val="8"/>
                <w:b w:val="1"/>
                <w:bCs w:val="1"/>
                <w:color w:val="auto"/>
              </w:rPr>
              <w:t>2</w:t>
            </w:r>
          </w:p>
        </w:tc>
        <w:tc>
          <w:tcPr>
            <w:tcW w:w="2420" w:type="dxa"/>
            <w:vAlign w:val="bottom"/>
            <w:shd w:val="clear" w:color="auto" w:fill="CCEEFF"/>
          </w:tcPr>
          <w:p>
            <w:pPr>
              <w:ind w:left="80"/>
              <w:spacing w:after="0" w:line="162" w:lineRule="exact"/>
              <w:rPr>
                <w:sz w:val="20"/>
                <w:szCs w:val="20"/>
                <w:color w:val="auto"/>
              </w:rPr>
            </w:pPr>
            <w:r>
              <w:rPr>
                <w:rFonts w:ascii="Arial" w:cs="Arial" w:eastAsia="Arial" w:hAnsi="Arial"/>
                <w:sz w:val="18"/>
                <w:szCs w:val="18"/>
                <w:color w:val="auto"/>
              </w:rPr>
              <w:t>NSCLC, liver cancer</w:t>
            </w:r>
          </w:p>
        </w:tc>
        <w:tc>
          <w:tcPr>
            <w:tcW w:w="4560" w:type="dxa"/>
            <w:vAlign w:val="bottom"/>
            <w:shd w:val="clear" w:color="auto" w:fill="CCEEFF"/>
          </w:tcPr>
          <w:p>
            <w:pPr>
              <w:ind w:left="180"/>
              <w:spacing w:after="0" w:line="162" w:lineRule="exact"/>
              <w:rPr>
                <w:sz w:val="20"/>
                <w:szCs w:val="20"/>
                <w:color w:val="auto"/>
              </w:rPr>
            </w:pPr>
            <w:r>
              <w:rPr>
                <w:rFonts w:ascii="Arial" w:cs="Arial" w:eastAsia="Arial" w:hAnsi="Arial"/>
                <w:sz w:val="18"/>
                <w:szCs w:val="18"/>
                <w:color w:val="auto"/>
                <w:w w:val="94"/>
              </w:rPr>
              <w:t>Phase II in EGFR wild-type ALK negative NSCLC patients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 MET amplification and mutation</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60" w:type="dxa"/>
            <w:vAlign w:val="bottom"/>
            <w:tcBorders>
              <w:bottom w:val="single" w:sz="8" w:color="auto"/>
            </w:tcBorders>
            <w:shd w:val="clear" w:color="auto" w:fill="CCEEFF"/>
          </w:tcPr>
          <w:p>
            <w:pPr>
              <w:spacing w:after="0"/>
              <w:rPr>
                <w:sz w:val="10"/>
                <w:szCs w:val="10"/>
                <w:color w:val="auto"/>
              </w:rPr>
            </w:pPr>
          </w:p>
        </w:tc>
        <w:tc>
          <w:tcPr>
            <w:tcW w:w="2420" w:type="dxa"/>
            <w:vAlign w:val="bottom"/>
            <w:tcBorders>
              <w:bottom w:val="single" w:sz="8" w:color="auto"/>
            </w:tcBorders>
            <w:shd w:val="clear" w:color="auto" w:fill="CCEEFF"/>
          </w:tcPr>
          <w:p>
            <w:pPr>
              <w:spacing w:after="0"/>
              <w:rPr>
                <w:sz w:val="10"/>
                <w:szCs w:val="10"/>
                <w:color w:val="auto"/>
              </w:rPr>
            </w:pPr>
          </w:p>
        </w:tc>
        <w:tc>
          <w:tcPr>
            <w:tcW w:w="456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hanging="117"/>
        <w:spacing w:after="0"/>
        <w:tabs>
          <w:tab w:leader="none" w:pos="120" w:val="left"/>
        </w:tabs>
        <w:numPr>
          <w:ilvl w:val="0"/>
          <w:numId w:val="23"/>
        </w:numPr>
        <w:rPr>
          <w:rFonts w:ascii="Arial" w:cs="Arial" w:eastAsia="Arial" w:hAnsi="Arial"/>
          <w:sz w:val="9"/>
          <w:szCs w:val="9"/>
          <w:color w:val="auto"/>
        </w:rPr>
      </w:pPr>
      <w:r>
        <w:rPr>
          <w:rFonts w:ascii="Arial" w:cs="Arial" w:eastAsia="Arial" w:hAnsi="Arial"/>
          <w:sz w:val="18"/>
          <w:szCs w:val="18"/>
          <w:color w:val="auto"/>
        </w:rPr>
        <w:t>Baricitinib licensed to Lilly</w:t>
      </w:r>
    </w:p>
    <w:p>
      <w:pPr>
        <w:spacing w:after="0" w:line="117" w:lineRule="exact"/>
        <w:rPr>
          <w:rFonts w:ascii="Arial" w:cs="Arial" w:eastAsia="Arial" w:hAnsi="Arial"/>
          <w:sz w:val="9"/>
          <w:szCs w:val="9"/>
          <w:color w:val="auto"/>
        </w:rPr>
      </w:pPr>
    </w:p>
    <w:p>
      <w:pPr>
        <w:ind w:left="120" w:hanging="117"/>
        <w:spacing w:after="0"/>
        <w:tabs>
          <w:tab w:leader="none" w:pos="120" w:val="left"/>
        </w:tabs>
        <w:numPr>
          <w:ilvl w:val="0"/>
          <w:numId w:val="23"/>
        </w:numPr>
        <w:rPr>
          <w:rFonts w:ascii="Arial" w:cs="Arial" w:eastAsia="Arial" w:hAnsi="Arial"/>
          <w:sz w:val="9"/>
          <w:szCs w:val="9"/>
          <w:color w:val="auto"/>
        </w:rPr>
      </w:pPr>
      <w:r>
        <w:rPr>
          <w:rFonts w:ascii="Arial" w:cs="Arial" w:eastAsia="Arial" w:hAnsi="Arial"/>
          <w:sz w:val="18"/>
          <w:szCs w:val="18"/>
          <w:color w:val="auto"/>
        </w:rPr>
        <w:t>Capmatinib licensed to Novartis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Business Relationships</w:t>
      </w:r>
    </w:p>
    <w:p>
      <w:pPr>
        <w:spacing w:after="0" w:line="229" w:lineRule="exact"/>
        <w:rPr>
          <w:sz w:val="20"/>
          <w:szCs w:val="20"/>
          <w:color w:val="auto"/>
        </w:rPr>
      </w:pPr>
    </w:p>
    <w:p>
      <w:pPr>
        <w:jc w:val="both"/>
        <w:ind w:firstLine="767"/>
        <w:spacing w:after="0" w:line="257" w:lineRule="auto"/>
        <w:rPr>
          <w:sz w:val="20"/>
          <w:szCs w:val="20"/>
          <w:color w:val="auto"/>
        </w:rPr>
      </w:pPr>
      <w:r>
        <w:rPr>
          <w:rFonts w:ascii="Arial" w:cs="Arial" w:eastAsia="Arial" w:hAnsi="Arial"/>
          <w:sz w:val="18"/>
          <w:szCs w:val="18"/>
          <w:color w:val="auto"/>
        </w:rPr>
        <w:t>As part of our business strategy, 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November 2009, we entered into a Collaboration and License Agreement with Novartis. Under the terms of the agreement, Novartis received exclusive development and commercialization rights outside of the United States to</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ruxolitinib and certain back</w:t>
      </w:r>
      <w:r>
        <w:rPr>
          <w:rFonts w:ascii="MS PGothic" w:cs="MS PGothic" w:eastAsia="MS PGothic" w:hAnsi="MS PGothic"/>
          <w:sz w:val="17"/>
          <w:szCs w:val="17"/>
          <w:color w:val="auto"/>
        </w:rPr>
        <w:t>‑</w:t>
      </w:r>
      <w:r>
        <w:rPr>
          <w:rFonts w:ascii="Arial" w:cs="Arial" w:eastAsia="Arial" w:hAnsi="Arial"/>
          <w:sz w:val="17"/>
          <w:szCs w:val="17"/>
          <w:color w:val="auto"/>
        </w:rPr>
        <w:t>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w:t>
      </w:r>
      <w:r>
        <w:rPr>
          <w:rFonts w:ascii="MS PGothic" w:cs="MS PGothic" w:eastAsia="MS PGothic" w:hAnsi="MS PGothic"/>
          <w:sz w:val="17"/>
          <w:szCs w:val="17"/>
          <w:color w:val="auto"/>
        </w:rPr>
        <w:t>‑</w:t>
      </w:r>
      <w:r>
        <w:rPr>
          <w:rFonts w:ascii="Arial" w:cs="Arial" w:eastAsia="Arial" w:hAnsi="Arial"/>
          <w:sz w:val="17"/>
          <w:szCs w:val="17"/>
          <w:color w:val="auto"/>
        </w:rPr>
        <w:t>up compounds in all indications. We retained options to co</w:t>
      </w:r>
      <w:r>
        <w:rPr>
          <w:rFonts w:ascii="MS PGothic" w:cs="MS PGothic" w:eastAsia="MS PGothic" w:hAnsi="MS PGothic"/>
          <w:sz w:val="17"/>
          <w:szCs w:val="17"/>
          <w:color w:val="auto"/>
        </w:rPr>
        <w:t>‑</w:t>
      </w:r>
      <w:r>
        <w:rPr>
          <w:rFonts w:ascii="Arial" w:cs="Arial" w:eastAsia="Arial" w:hAnsi="Arial"/>
          <w:sz w:val="17"/>
          <w:szCs w:val="17"/>
          <w:color w:val="auto"/>
        </w:rPr>
        <w:t>develop and to co</w:t>
      </w:r>
      <w:r>
        <w:rPr>
          <w:rFonts w:ascii="MS PGothic" w:cs="MS PGothic" w:eastAsia="MS PGothic" w:hAnsi="MS PGothic"/>
          <w:sz w:val="17"/>
          <w:szCs w:val="17"/>
          <w:color w:val="auto"/>
        </w:rPr>
        <w:t>‑</w:t>
      </w:r>
      <w:r>
        <w:rPr>
          <w:rFonts w:ascii="Arial" w:cs="Arial" w:eastAsia="Arial" w:hAnsi="Arial"/>
          <w:sz w:val="17"/>
          <w:szCs w:val="17"/>
          <w:color w:val="auto"/>
        </w:rPr>
        <w:t>promote capmatinib in the United States.</w:t>
      </w:r>
    </w:p>
    <w:p>
      <w:pPr>
        <w:spacing w:after="0" w:line="205"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Under this agreement, we received an upfront payment and immediate milestone payment totaling $210.0 million and were initially eligible to receive additional payments of up to approximately $1.2 billion if defined development and commercialization milestones are achieved. We are also eligible to receive tiered, double</w:t>
      </w:r>
      <w:r>
        <w:rPr>
          <w:rFonts w:ascii="MS PGothic" w:cs="MS PGothic" w:eastAsia="MS PGothic" w:hAnsi="MS PGothic"/>
          <w:sz w:val="18"/>
          <w:szCs w:val="18"/>
          <w:color w:val="auto"/>
        </w:rPr>
        <w:t>‑</w:t>
      </w:r>
      <w:r>
        <w:rPr>
          <w:rFonts w:ascii="Arial" w:cs="Arial" w:eastAsia="Arial" w:hAnsi="Arial"/>
          <w:sz w:val="18"/>
          <w:szCs w:val="18"/>
          <w:color w:val="auto"/>
        </w:rPr>
        <w:t>digit royalties ranging from the upper</w:t>
      </w:r>
      <w:r>
        <w:rPr>
          <w:rFonts w:ascii="MS PGothic" w:cs="MS PGothic" w:eastAsia="MS PGothic" w:hAnsi="MS PGothic"/>
          <w:sz w:val="18"/>
          <w:szCs w:val="18"/>
          <w:color w:val="auto"/>
        </w:rPr>
        <w:t>‑</w:t>
      </w:r>
      <w:r>
        <w:rPr>
          <w:rFonts w:ascii="Arial" w:cs="Arial" w:eastAsia="Arial" w:hAnsi="Arial"/>
          <w:sz w:val="18"/>
          <w:szCs w:val="18"/>
          <w:color w:val="auto"/>
        </w:rPr>
        <w:t>teens to the mid</w:t>
      </w:r>
      <w:r>
        <w:rPr>
          <w:rFonts w:ascii="MS PGothic" w:cs="MS PGothic" w:eastAsia="MS PGothic" w:hAnsi="MS PGothic"/>
          <w:sz w:val="18"/>
          <w:szCs w:val="18"/>
          <w:color w:val="auto"/>
        </w:rPr>
        <w:t>‑</w:t>
      </w:r>
      <w:r>
        <w:rPr>
          <w:rFonts w:ascii="Arial" w:cs="Arial" w:eastAsia="Arial" w:hAnsi="Arial"/>
          <w:sz w:val="18"/>
          <w:szCs w:val="18"/>
          <w:color w:val="auto"/>
        </w:rPr>
        <w:t>twenties percent on future ruxolitinib net sales outside of the United States, and tiered, worldwide royalties on future capmatinib net sales that range from 12% to 14%. In addition, Novartis has received reimbursement and pricing approval for ruxolitinib in a specified number of countries, and we are now obligated to pay to Novartis tiered royalties in the low single-digits on future ruxolitinib net sales within the United States.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20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April 2016, we amended this agreement to provide that Novartis has exclusive research, development and commercialization rights outside of the United States to ruxolitinib (excluding topical formulations) in the GVHD field. Under this amendment, we received a $5.0 million payment in exchange for the development and commercialization rights to ruxolitinib in GVHD outside of the United States and became eligible to receive up to $75.0 million of additional potential development and regulatory milestones relating to GVHD. In March 2017, we recognized a $25.0 million milestone for the first patient first visit in a GVHD study and in December 2017, we recognized a $40.0 million milestone for Novartis achieving annual net sales of a JAK licensed product of $600.0 million.</w:t>
      </w:r>
    </w:p>
    <w:p>
      <w:pPr>
        <w:spacing w:after="0" w:line="178"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color w:val="auto"/>
        </w:rPr>
        <w:t>The Novartis agreement will continue on a program</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program basis until Novartis has no royalty payment obligations with respect to such program or, if earlier, the termination of the agreement or any program in accordance with the terms of the agreement. Royalties are payable by Novartis on a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and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program basis by Novartis for convenience. The agreement may also be terminated by either party under certain other circumstances, including material breach.</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Lilly</w:t>
      </w:r>
    </w:p>
    <w:p>
      <w:pPr>
        <w:spacing w:after="0" w:line="225"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In December 2009, we entered into a License, Development and Commercialization Agreement with Lilly. Under the terms of the agreement, Lilly received exclusive worldwide development and commercialization rights to baricitinib and certain back</w:t>
      </w:r>
      <w:r>
        <w:rPr>
          <w:rFonts w:ascii="MS PGothic" w:cs="MS PGothic" w:eastAsia="MS PGothic" w:hAnsi="MS PGothic"/>
          <w:sz w:val="18"/>
          <w:szCs w:val="18"/>
          <w:color w:val="auto"/>
        </w:rPr>
        <w:t>‑</w:t>
      </w:r>
      <w:r>
        <w:rPr>
          <w:rFonts w:ascii="Arial" w:cs="Arial" w:eastAsia="Arial" w:hAnsi="Arial"/>
          <w:sz w:val="18"/>
          <w:szCs w:val="18"/>
          <w:color w:val="auto"/>
        </w:rPr>
        <w:t>up compounds for inflammatory and autoimmune diseases. We received an initial payment of $90.0 million, and were initially eligible to receive additional payments of up to $665.0 million based on the achievement of defined development, regulatory and commercialization milestones.</w:t>
      </w:r>
    </w:p>
    <w:p>
      <w:pPr>
        <w:spacing w:after="0" w:line="20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retained options to co-develop our JAK1/JAK2 inhibitors with Lilly on a compound-by-compound and indication-by-indication basis. Lilly is responsible for all costs relating to the development and commercialization of the compounds unless we elect to co-develop any compounds or indications. If we elect to co-develop any compounds and/or indications, we would be responsible for funding 30% of the associated future global development costs from the initiation of a Phase IIb trial through regulatory approval, including post-launch studies required by a regulatory authority. We would receive an incremental royalty rate increase across all tiers resulting in effective royalty rates ranging up to the high twenties on potential future global net sales for compounds and/or indications that we elect to co-develop. For indications that we elect not to co-develop, we would receive tiered, double-digit royalty payments on future global net sales with rates ranging up to 20% if the product is successfully commercialized. We previously had retained an option to co-promote products in the United States but, in March 2016, we waived our co-promotion option as part of an amendment to the agreement.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2010, we elected to co-develop baricitinib with Lilly in rheumatoid arthritis and we are responsible for funding 30% of the associated future global development costs for this indication from the initiation of the Phase IIb trial through regulatory approval, including post-launch studies required by a regulatory authority. We also elected to co-develop baricitinib with Lilly in psoriatic arthritis, atopic dermatitis, alopecia areata, systemic lupus erythematosus and axial spondyloarthritis.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2016, we entered into an amendment to the agreement with Lilly that allows us to engage in the development and commercialization of ruxolitinib in the GVHD field. We paid Lilly an upfront payment of $35.0 million and Lilly is eligible to receive up to $40.0 million in additional regulatory milestone payments relating to ruxolitinib in the GVHD field.</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February 2017, the European Commission announced the approval of baricitinib as OLUMIANT, triggering a $65.0 million milestone payment from Lilly. In July 2017, Japan's MHLW granted marketing approval for OLUMIANT, triggering a $15.0 million milestone payment from Lilly. In December 2017, we recognized a $30.0 million milestone payment for the first patient treated in the atopic dermatitis Phase III program for baricitinib. In June 2018, the FDA approved the 2mg dose of OLUMIANT, triggering a $100.0 million milestone payment from Lilly. In September 2018, we recognized a $20.0 million milestone payment for the first patient treated in systemic lupus erythematosus Phase III program for baricitinib.</w:t>
      </w:r>
    </w:p>
    <w:p>
      <w:pPr>
        <w:spacing w:after="0" w:line="189"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The Lilly agreement will continue until Lilly no longer has any royalty payment obligations or, if earlier, the termination of the agreement in accordance with its terms. Royalties are payable by Lilly on a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product and country</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In February 2017, we and Agenus amended this agreement.</w:t>
      </w:r>
    </w:p>
    <w:p>
      <w:pPr>
        <w:spacing w:after="0" w:line="17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Under the terms of this agreement, as amended,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Targets may be designated profit-share programs, where all costs and profits are shared equally by us and Agenus, or royalty-bearing programs, where we are responsible for all costs associated with discovery, preclinical, clinical development and commercialization activities. The programs relating to GITR and OX40 and two of the undisclosed targets were profit-share programs until February 2017, while the other targets currently under collaboration are royalty-bearing programs. The February 2017 amendment converted the programs relating to GITR and OX40 to royalty-bearing programs and removed from the collaboration the profit-share programs relating to the two undisclosed targets, with one reverting to us and one reverting to Agenus. Should any of those removed programs be successfully developed by a party, the other party will be eligible to receive the same milestone payments as the royalty-bearing programs and royalties at a 15% rate on global net sales. There are currently no profit-share programs. For each royalty-bearing product other than GITR and OX40, Agenus will be eligible to receive tiered royalties on global net sales ranging from 6% to 12%. For GITR and OX40, Agenus will be eligible to receive 15% royalties on global net sales. Under the February 2017 amendment, we paid Agenus $20.0 million in accelerated milestones relating to the clinical development of the GITR and OX40 programs. Agenus is eligible to receive up to an additional $510.0 million in future contingent development, regulatory and commercialization milestones across all programs in the collaboration. The agreement may be terminated by us for convenience upon 12 months’ notice and may also be terminated under certain other circumstances, including material breach.</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Takeda (ARIAD)</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June 2016, we acquired from ARIAD Pharmaceuticals, Inc. all of the outstanding shares of ARIAD Pharmaceuticals (Luxembourg) S.à.r.l., the parent company of ARIAD’s European subsidiaries responsible for the development and commercialization of ICLUSIG in the European Union and other countries. We obtained an exclusive license to develop and commercialize ICLUSIG in Europe and other select countries. ARIAD was subsequently acquired by Takeda Pharmaceutical Company Limited in 2017. As such, Takeda will be eligible to receive from us tiered royalties on net sales of ICLUSIG in our territory and up to $135.0 million in potential future oncology development and regulatory approval milestone payments, together with additional milestone payments for non-oncology indications, if approved, in our territory.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December 2016, we entered into a Collaboration and License Agreement with Merus N.V. Under this agreement, which became effective in January 2017, the parties have agreed to collaborate with respect to the research, discovery and development of bispecific antibodies utilizing Merus’ technology platform. The collaboration encompasses up to eleven independent programs, including two of Merus’ current preclinical immuno-oncology discovery programs. We received exclusive development and commercialization rights outside of the United States to products and product candidates resulting from one of Merus’ current preclinical discovery programs, referred to as “Program 1.” We also received worldwide exclusive development and commercialization rights to products and product candidates resulting from the other current Merus preclinical discovery program that is subject to the collaboration and to up to nine additional programs. Merus retained exclusive development and commercialization rights in the United States to products and product candidates resulting from Program 1 and options, subject to certain conditions, to co-fund development of products resulting from two other programs in exchange for a share of profits in the United States. Merus will also have the right to participate in a specified proportion of detailing activities in the United States for one of those co-developed programs. Should Program 1 fail to successfully complete IND-enabling toxicology studies, Merus would be granted an additional option to co-fund development of a program in exchange for a share of profits in the United States. All costs related to the collaboration are subject to joint research and development plans. Each party will share equally the costs of mutually agreed global development activities for Program 1, and fund itself any independent development activities in its territory. We will be responsible for all research, development and commercialization costs relating to all other programs, subject to Merus’ election to co-fund development and co-detail described above.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All products as to which Merus has exercised its option to co-fund development would be subject to joint development plans and overseen by a joint development committee, but we will have final determination as to such plans in cases of dispute.</w:t>
      </w:r>
    </w:p>
    <w:p>
      <w:pPr>
        <w:spacing w:after="0" w:line="39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February 2017, we paid Merus an upfront non-refundable payment of $120.0 million. For each program as to which Merus does not have commercialization or co-development rights, Merus will be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will be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non-co-developed programs and, depending on the stage at which Merus chose to cease co-funding development costs, additional royalties ranging up to 4% of net sales in the United States. For Program 1, we and Merus will each be eligible to receive tiered royalties on net sales in the other party’s territory at rates ranging from 6% to 10%.</w:t>
      </w:r>
    </w:p>
    <w:p>
      <w:pPr>
        <w:spacing w:after="0" w:line="18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Merus agreement will continue on a program-by-program basis until we have no royalty payment obligations with respect to such program or, if earlier, the termination of the agreement or any program in accordance with the terms of the agreement. The agreement may be terminated in its entirety or on a program-by-program basis by us for convenience. The agreement may also be terminated by either party under certain other circumstances, including material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January 2017, we entered into a Collaboration and License Agreement with Calithera Biosciences, Inc. Under this agreement, we received an exclusive, worldwide license to develop and commercialize small molecule arginase inhibitors, including INCB01158 (CB-1158), which is currently in Phase I clinical trials, for hematology and oncology indications. We have agreed to co-fund 70% of the global development costs for the development of the licensed products for hematology and oncology indications. Calithera will have the right to conduct certain clinical development under the collaboration, including combination studies of a licensed product with a proprietary compound of Calithera. We will be entitled to 60% of the profits and losses from net sales of licensed product in the United States, and Calithera will have the right to co-detail licensed products in the United States, and we have agreed to pay Calithera tiered royalties ranging from the low to mid-double digits on net sales of licensed products outside the United States. Calithera may opt out of its co-funding obligation, in which case the U.S. profit sharing will no longer be in effect, and we have agreed to pay Calithera tiered royalties ranging from the low to mid-double digits on net sales of licensed products both in the United States and outside the United States, and additional royalties to reimburse Calithera for previously incurred development costs.</w:t>
      </w:r>
    </w:p>
    <w:p>
      <w:pPr>
        <w:spacing w:after="0" w:line="16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Calithera retains rights to certain arginase inhibitors that are not part of the collaboration for specific orphan indications outside of hematology and oncology, subject to our rights to negotiate a license for any such programs under specified circumstances if Calithera elects to out-license them.</w:t>
      </w:r>
    </w:p>
    <w:p>
      <w:pPr>
        <w:spacing w:after="0" w:line="18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In January 2017, we paid Calithera an upfront license fee of $45.0 million and have agreed to pay potential development, regulatory and sales milestone payments of over $430.0 million if the profit share is in effect, or $750.0 million if the profit share terminates.</w:t>
      </w:r>
    </w:p>
    <w:p>
      <w:pPr>
        <w:spacing w:after="0" w:line="181"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The Calithera agreement will continue on a product-by-product and country-by-country basis for so long as we are developing or commercializing products in the United States (if the parties are sharing profits in the United States) and until we have no further royalty payment obligations, unless earlier terminated according to the terms of the agreement. The agreement may be terminated in its entirety or on a product-by-product and/or a country-by-country basis by us for convenience. The agreement may also be terminated by us for Calithera’s uncured material breach, by Calithera for our uncured material breach and by either party for bankruptcy or patent challenge. If the agreement is terminated early with respect to one or more products or countries, all rights in the terminated products and countries revert to Calithera.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MacroGenics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October 2017, we entered into a Global Collaboration and License Agreement with MacroGenics. Under this agreement, we received exclusive development and commercialization rights worldwide to MacroGenics’ INCMGA0012, an investigational monoclonal antibody that inhibits PD-1. Except as set forth in the succeeding sentence, we will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 In December 2017, we paid MacroGenics an upfront payment of $150.0 million. MacroGenics will be eligible to receive up to $420.0 million in future contingent development and regulatory milestones, and up to $330.0 million in commercial milestones as well as tiered royalties ranging from 15% to 24% of global net sales.</w:t>
      </w:r>
    </w:p>
    <w:p>
      <w:pPr>
        <w:spacing w:after="0" w:line="16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MacroGenics agreement will continue until we are no longer commercializing, developing or manufacturing 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Syros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January 2018, we entered into a target discovery, research collaboration and option agreement with Syros Pharmaceuticals, Inc.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paid Syros $2.5 million in cash for access to proprietary technology and $7.5 million in cash for research and development services.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 up to $65.0 million in potential commercial milestones. Syros is also eligible to receive low single-digit royalties on net sales of products resulting from the collaboration.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the following critical accounting policies affect the more significant judgments and estimates used in the preparation of our condensed consolidated financial statements:</w:t>
      </w:r>
    </w:p>
    <w:p>
      <w:pPr>
        <w:spacing w:after="0" w:line="170" w:lineRule="exact"/>
        <w:rPr>
          <w:sz w:val="20"/>
          <w:szCs w:val="20"/>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Research and development costs;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Stock compensation;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Acquisition-related contingent consideration;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 term investments.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The new accounting standard for the recognition of revenue, ASC 606,</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Revenue from</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was adopted for the fiscal year beginning on January 1, 2018. Per the new standard, revenue-generating contracts are assessed to identify distinct performance obligations, allocating transaction prices to those performance obligations, and criteria for satisfaction of a performance obligation. The new standard allows for recognition of revenue only when we have satisfied a performance obligation through transferring control of the promised good or service to a customer. Control, in this instance, may mean the ability to prevent other entities from directing the use of, and receiving benefit from, a good or service. The standard indicates that an entity must determine at contract inception whether it will transfer control of a promised good or service over time or satisfy the performance obligation at a point in time through analysis of the following criteria: (i) the entity has a present right to payment, (ii) the customer has legal title, (iii) the customer has physical possession, (iv) the customer has the significant risks and rewards of ownership and (v) the customer has accepted the asset. We assess collectability based primarily on the customer’s payment history and on the creditworthiness of the customer. The new standard has been applied to contracts for which performance had not been completed as of the date of adoption. For those contracts that were modified prior to the date of adoption, we reflected the aggregate effect of those modifications when determining the appropriate accounting under the new standard. We do not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believe the effect of applying this practical expedient resulted in material differences. Overall, the adoption of the new standard did not significantly alter our methodology for recognition of revenue.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Product Revenues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product revenues consist of U.S. sales of JAKAFI and European sales of ICLUSIG. Product revenues are recognized once we meet the revenue recognition criteria described above. In November 2011, we began shipping JAKAFI to our customers in the U.S., which include specialty pharmacies and wholesalers. In June 2016, we acquired the right to and began shipping ICLUSIG to our customers in the European Union and certain other jurisdictions, which include retail pharmacies, hospital pharmacies and distributors.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U.S. Product shipping and handling costs are included in cost of product revenues.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Customer Credits: </w:t>
      </w:r>
      <w:r>
        <w:rPr>
          <w:rFonts w:ascii="Arial" w:cs="Arial" w:eastAsia="Arial" w:hAnsi="Arial"/>
          <w:sz w:val="18"/>
          <w:szCs w:val="18"/>
          <w:color w:val="auto"/>
        </w:rPr>
        <w:t>Our customers are offered various forms of consideration, including allowances, service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Rebates and Discounts: </w:t>
      </w:r>
      <w:r>
        <w:rPr>
          <w:rFonts w:ascii="Arial" w:cs="Arial" w:eastAsia="Arial" w:hAnsi="Arial"/>
          <w:sz w:val="17"/>
          <w:szCs w:val="17"/>
          <w:color w:val="auto"/>
        </w:rPr>
        <w:t>Allowances for rebates include mandated discounts under the Medicaid Drug Rebate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in the U.S. and mandated discounts in Europe in markets where government-sponsored healthcare systems are the primary payers for healthcare. Rebate amounts are based upon contractual agreements or legal requirements with public sector benefit providers. Rebates are amounts owed after the final dispensing of the product to a benefit plan participant and are based upon contractual agreements or legal requirements with public sector benefit providers. The accrual for rebates is based on statutory discount rates and expected utilization as well as historical data we have accumulated since product launch. Our estimates for expected utilization of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Chargebacks: </w:t>
      </w:r>
      <w:r>
        <w:rPr>
          <w:rFonts w:ascii="Arial" w:cs="Arial" w:eastAsia="Arial" w:hAnsi="Arial"/>
          <w:sz w:val="17"/>
          <w:szCs w:val="17"/>
          <w:color w:val="auto"/>
        </w:rPr>
        <w:t>Chargebacks are discounts that occur when certain contracted customers, which currently consist</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of group purchasing organizations, Public Health Service institutions, non-profit clinics, and Federal government entities purchasing via the Federal Supply Schedule, purchase directly from our wholesalers. Contracted customers generally purchase the product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Medicare Part D Coverage Gap: </w:t>
      </w:r>
      <w:r>
        <w:rPr>
          <w:rFonts w:ascii="Arial" w:cs="Arial" w:eastAsia="Arial" w:hAnsi="Arial"/>
          <w:sz w:val="18"/>
          <w:szCs w:val="18"/>
          <w:color w:val="auto"/>
        </w:rPr>
        <w:t>Medicare Part D prescription drug benefit mandates manufacturers to fund 50%</w:t>
      </w:r>
      <w:r>
        <w:rPr>
          <w:rFonts w:ascii="Arial" w:cs="Arial" w:eastAsia="Arial" w:hAnsi="Arial"/>
          <w:sz w:val="18"/>
          <w:szCs w:val="18"/>
          <w:i w:val="1"/>
          <w:iCs w:val="1"/>
          <w:color w:val="auto"/>
        </w:rPr>
        <w:t xml:space="preserve"> </w:t>
      </w:r>
      <w:r>
        <w:rPr>
          <w:rFonts w:ascii="Arial" w:cs="Arial" w:eastAsia="Arial" w:hAnsi="Arial"/>
          <w:sz w:val="18"/>
          <w:szCs w:val="18"/>
          <w:color w:val="auto"/>
        </w:rPr>
        <w:t>of 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Co-payment Assistance: </w:t>
      </w:r>
      <w:r>
        <w:rPr>
          <w:rFonts w:ascii="Arial" w:cs="Arial" w:eastAsia="Arial" w:hAnsi="Arial"/>
          <w:sz w:val="17"/>
          <w:szCs w:val="17"/>
          <w:color w:val="auto"/>
        </w:rPr>
        <w:t>Patients who have commercial insurance and meet certain eligibility requirements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co-payment assistance. We accrue a liability for co-payment assistance based on actual program participation and estimates of program redemption using data provided by third-party administrators.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Product Royalty Revenues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Royalty revenues on commercial sales for JAKAVI by Novartis are estimated based on information provided by Novartis. Royalty revenues on commercial sales for OLUMIANT by Lilly are estimated based on information provided by Lilly. We exercise judgment in determining whether the information provided is sufficiently reliable for us to base our royalty revenue recognition thereon. If actual royalties vary from estimates, we may need to adjust the prior period, which would affect royalty revenue in the period of adjustment.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Cost of Product Revenues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Cost of product revenues includes all JAKAFI related product costs as well as ICLUSIG related product costs. The ICLUSIG inventories were recorded at fair value less costs to sell in connection with the acquisition of ARIAD Pharmaceuticals (Luxembourg) S.à.r.l. (the “Acquisition”). In addition, cost of product revenues include low single-digit royalties under our collaboration and license agreement to Novartis on all future sales of JAKAFI in the United States. Subsequent to the Acquisition on June 1, 2016, cost of product revenues also includes the amortization of our licensed intellectual property for ICLUSIG using the straight-line method over the estimated useful life of 12.5 years.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Contract and License Revenues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Our typical customer arrangements, which fall within the scope of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include distinct drug compound out-licensing, collection of upfront payments, milestones or royalty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from a counterparty, and provision of commercially available products to suppliers. Our agreements often include contractual milestones, which typically relate to the achievement of pre-specified development, regulatory and commercialization events outside of our control, such as regulatory approval of a compound, first patient dosing or achievement of sales-based thresholds. For such cases, we believe that revenue related to these events should not be recognized until the milestone has been achieved.</w:t>
      </w:r>
    </w:p>
    <w:p>
      <w:pPr>
        <w:spacing w:after="0" w:line="1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Some contracts form collaborative arrangements of various types with third-parties. We assess whether the nature of the arrangement is within the scope of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in conjunction with the new revenue guidance to determine the nature of the performance obligations and associated transaction prices. A collaborative relationship may exist when we participate in an activity or process with another party, such as performance of research and development services or the exchange of intellectual property for use in clinical trials, when both parties share in the risks and rewards that result from the activity or participate and govern contract activities through a joint steering committee.</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regulatory review and approval process, which includes preclinical testing and clinical trials of each drug candidate, is lengthy, expensive and uncertain. Securing approval by the U.S. Food and Drug Administration (FDA) requires the submission of extensive preclinical and clinical data and supporting information to the FDA for each indication to establish a drug candidate’s safety and efficacy. The approval process takes many years, requires the expenditure of substantial resources, involves post-marketing surveillance and may involve ongoing requirements for post-marketing studies. Before commencing clinical investigations of a drug candidate in humans, we must submit an Investigational New Drug application (IND), which must be reviewed by the FDA.</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steps generally required before a drug may be marketed in the United States include preclinical laboratory tests, animal studies and formulation studies, submission to the FDA of an IND for human clinical testing, performance of adequate and well-controlled clinical trials in three phases, as described below, to establish the safety and efficacy of the drug for each indication, submission of a new drug application (NDA) or biologics license application (BLA) to the FDA for review and FDA approval of the NDA or BLA.</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Similar requirements exist within foreign regulatory agencies as well. The time required satisfying the FDA requirements or similar requirements of foreign regulatory agencies may vary substantially based on the type, complexity and novelty of the product or the targeted disease.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Preclinical testing includes laboratory evaluation of product pharmacology, drug metabolism, and toxicity, which includes animal studies, to assess potential safety and efficacy, as well as product chemistry, stability, formulation, development, and testing. The results of the preclinical tests, together with manufacturing information and analytical data, are submitted to the FDA as part of an IND. The FDA may raise safety concerns or questions about the conduct of the clinical trials included in the IND, and any of these concerns or questions must be resolved before clinical trials can proceed. We cannot be sure that submission of an IND will result in the FDA allowing clinical trials to commence. Clinical trials involve the administration of the investigational drug or the marketed drug to human subjects under the supervision of qualified investigators and in accordance with good clinical practices regulations covering the protection of human subjects. Clinical trials typically are conducted in three sequential phases, but the phases may overlap or be combined. Phase I usually involves the initial introduction of the investigational drug into healthy volunteers to evaluate its safety, dosage tolerance, absorption, metabolism, distribution and excretion. Phase II usually involves clinical trials in a limited patient population to evaluate dosage tolerance and optimal dosage, identify possible adverse effects and safety risks, and evaluate and gain preliminary evidence of the efficacy of the drug for specific indications. Phase III clinical trials usually further evaluate clinical efficacy and safety by testing the drug in its final form in an expanded patient population, providing statistical evidence of efficacy and safety, and providing an adequate basis for labeling. We cannot guarantee that Phase I, Phase II or Phase III testing will be completed successfully within any specified period of time, if at all. Furthermore, we, the institutional review board for a trial, or the FDA may suspend clinical trials at any time on various grounds, including a finding that the subjects or patients are being exposed to an unacceptable health risk.</w:t>
      </w:r>
    </w:p>
    <w:p>
      <w:pPr>
        <w:spacing w:after="0" w:line="19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Generally, the milestone events contained in our collaboration agreements coincide with the progression of our drugs from development, to regulatory approval and then to commercialization. The process of successfully discovering a new development candidate, having it approved and successfully commercialized is highly uncertain. As such, the milestone payments we may earn from our partners involve a significant degree of risk to achieve. Therefore, as a drug candidate progresses through the stages of its life-cycle, the value of the drug candidate generally increases.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Research and Development Costs. </w:t>
      </w:r>
      <w:r>
        <w:rPr>
          <w:rFonts w:ascii="Arial" w:cs="Arial" w:eastAsia="Arial" w:hAnsi="Arial"/>
          <w:sz w:val="17"/>
          <w:szCs w:val="17"/>
          <w:color w:val="auto"/>
        </w:rPr>
        <w:t>Our policy is to expense research and development costs as incurred. We often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contract with clinical research organizations (CROs) to facilitate, coordinate and perform agreed upon research and development of a new drug. To ensure that research and development costs are expensed as incurred, we record monthly accruals for clinical trials and preclinical testing costs based on the work performed under the contract.</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These CRO contracts typically call for the payment of fees for services at the initiation of the contract and/or upon the achievement of certain clinical trial milestones. In the event that we prepay CRO fees, we record the prepayment as a prepaid asset and amortize the asset into research and development expense over the period of time the contracted research and development services are performed. Most professional fees, including project and clinical management, data management, monitoring, and medical writing fees are incurred throughout the contract period. These professional fees are expensed based on their percentage of completion at a particular date. Our CRO contracts generally include pass through fees. Pass through fees include, but are not limited to, regulatory expenses, investigator fees, travel costs, and other miscellaneous costs, including shipping and printing fees. We expense the costs of pass through fees under our CRO contracts as they are incurred, based on the best information available to us at the time. The estimates of the pass through fees incurred are based on the amount of work completed for the clinical trial and are monitored through correspondence with the CROs, internal reviews and a review of contractual terms. The factors utilized to derive the estimates include the number of patients enrolled, duration of the clinical trial, estimated patient attrition, screening rate and length of the dosing regimen. CRO fees incurred to set up the clinical trial are expensed during the setup period.</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our clinical trial collaboration agreements, we may be reimbursed for certain development costs incurred. Such costs are recorded as a reduction of research and development expense in the period in which the related expense is incurred.</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Stock Compensation. </w:t>
      </w:r>
      <w:r>
        <w:rPr>
          <w:rFonts w:ascii="Arial" w:cs="Arial" w:eastAsia="Arial" w:hAnsi="Arial"/>
          <w:sz w:val="16"/>
          <w:szCs w:val="16"/>
          <w:color w:val="auto"/>
        </w:rPr>
        <w:t>Share-based payment transactions with employees, which include stock options, restricted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units (RSUs) and performance shares (PSUs), are recognized as compensation expense over the requisite service period based on their estimated fair values as well as expected forfeiture rates.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which we assess at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account for income taxes using an asset and liability approach to financial accounting for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taxes. Under this method, deferred tax assets and liabilities are determined based on the difference between the financial statement carrying amounts and tax bases of assets and liabilities using enacted tax rates in effect for years in which the basis differences are expected to reverse. We periodically assess the likelihood of the realization of deferred tax assets, and reduce the carrying amount of these deferred tax assets to an amount that is considered to be more-likely-than-not to be realizable. Our assessment considers recent cumulative earnings experience, projections of future taxable income (losses) and ongoing prudent and feasible tax planning strategies. When performing our assessment on projections of future taxable income (losses), we consider factors such as the likelihood of regulatory approval and commercial success of products currently under development, among other factors. Significant judgment is required in making this assessment and, to the extent that a reversal of any portion of our valuation allowance against our deferred tax assets is deemed appropriate, a tax benefit will be recognized against our income tax provision in the period of such reversal.</w:t>
      </w:r>
    </w:p>
    <w:p>
      <w:pPr>
        <w:spacing w:after="0" w:line="1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do not recognize a tax benefit for an uncertain tax position unless it is more-likely-than-not that the position will be sustained upon examination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December 22, 2017, the Tax Cuts and Jobs Act of 2017 was signed into law, making significant changes to the Internal Revenue Code. These changes include a federal corporate tax rate decrease from 35% to 21% for tax years beginning after December 31, 2017, the transition of U.S. international taxation from a worldwide tax system to a territorial system, and temporary full expensing of certain business assets. We recognized in our financial statements for the year ended December 31, 2017 the provisional tax impacts related to the revaluation of deferred tax assets and liabilities as well as the temporary full-expensing of certain business assets. We continue to monitor and analyze further issued guidance, however, no additional tax effects of the Act were required to be recorded for the nine months ended September 30, 2018. The financial statement impact is expected to be complete when the 2017 U.S. federal and state corporate income tax returns are filed during the fourth quarter of 2018.</w:t>
      </w:r>
    </w:p>
    <w:p>
      <w:pPr>
        <w:spacing w:after="0" w:line="18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Acquisition-related contingent consideration. </w:t>
      </w:r>
      <w:r>
        <w:rPr>
          <w:rFonts w:ascii="Arial" w:cs="Arial" w:eastAsia="Arial" w:hAnsi="Arial"/>
          <w:sz w:val="17"/>
          <w:szCs w:val="17"/>
          <w:color w:val="auto"/>
        </w:rPr>
        <w:t>Acquisition-related contingent consideration, which consists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future royalty and certain potential milestone obligations to ARIAD/Takeda, was recorded on the acquisition date at the estimated fair value of the obligation, in accordance with the acquisition method of accounting. The fair value of the contingent consideration was determined using an income approach based on estimated ICLUSIG revenues in the European Union and other countries for the approved third line treatment. As the fair value measurement is based on significant inputs that are unobservable in the market, this represents a Level 3 measurement.</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fair value of the acquisition-related contingent consideration is remeasured each reporting period, with changes in fair value recorded in the consolidated statements of operations. Changes in the fair value of the acquisition-related contingent consideration can result from changes to one or multiple inputs including projected revenues and discount rates. These inputs are analyzed on a quarterly basis as changes to the inputs could have a material impact on the amount of acquisition-related contingent consideration recorded during the reporting period.</w:t>
      </w:r>
    </w:p>
    <w:p>
      <w:pPr>
        <w:spacing w:after="0" w:line="1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 xml:space="preserve">Long term investments. </w:t>
      </w:r>
      <w:r>
        <w:rPr>
          <w:rFonts w:ascii="Arial" w:cs="Arial" w:eastAsia="Arial" w:hAnsi="Arial"/>
          <w:sz w:val="17"/>
          <w:szCs w:val="17"/>
          <w:color w:val="auto"/>
        </w:rPr>
        <w:t>Our long term equity investments consist of investments in common stock of publicly-held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companies with whom we have entered into collaboration and license agreements. We classify all of our equity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investments in common stock of publicly-held companies as long term investments. Our equity investments are accounted for at fair value using readily determinable pricing available on a securities exchange on our condensed consolidated balance sheets as a long term investment. All changes in fair value are reported in our condensed consolidated statements of operations as an unrealized gain (loss) on long term investments, upon the adoption of ASU No. 2016-01 effective January 1, 2018.</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assessing whether we exercise significant influence over any of the companies in which we hold equity investments, we consider the nature and magnitude of our investment, any voting and protective rights we hold, any participation in the governance of the other company, and other relevant factors such as the presence of a collaboration or other business relationship. Currently, none of our equity investments in publicly-held companies are considered relationships in which we are able to assert control. In the event or circumstance in which we gain significant influence, but not control, of an equity investee, we will utilize the equity method of accounting, in which our share of income or loss of the equity investee will be reported within our results of operations.</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perform an initial and ongoing evaluation of the entities with which we have variable interests, such as equity ownership, in order to identify entities (i) that do not have sufficient equity investment at risk to permit the entity to finance its activities without additional subordinated financial support or (ii) in which the equity investors lack an essential characteristic of a controlling financial interest as variable interest entities (“VIE” or “VIEs”). If an entity is identified as a VIE, we perform an assessment to determine whether we have both (i) the power to direct activities that most significantly impact the VIE’s economic performance and (ii) have the obligation to absorb losses from or the right to receive benefits of the VIE that could potentially be significant to the VIE. If both of these criteria are satisfied, we are identified as the primary beneficiary of the VIE. As of September 30, 2018, there were no entities in which we held a variable interest which we determined to be VIEs.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which replaced numerous requirements in U.S. GAAP, including industry-specific requirements. This guidance provides a five step model to be applied to all contracts with customers, with an underlying principle that an entity will recognize revenue to depict the transfer of goods or services to customers at an amount that the entity expects to be entitled to in exchange for those goods or services.</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performed an impact assessment which consisted of a review of a representative sample of contracts, discussions with key stakeholders, and cataloging of potential impacts on our financial statements, accounting policies, financial controls, and operations. The guidance did not have a material impact on our revenue recognition practices for product and royalty revenues. The adoption only impacted two areas in our recognition methodology for milestone and contract revenues generated by our collaborative research and license agreements:</w:t>
      </w:r>
    </w:p>
    <w:p>
      <w:pPr>
        <w:spacing w:after="0" w:line="173" w:lineRule="exact"/>
        <w:rPr>
          <w:sz w:val="20"/>
          <w:szCs w:val="20"/>
          <w:color w:val="auto"/>
        </w:rPr>
      </w:pPr>
    </w:p>
    <w:p>
      <w:pPr>
        <w:jc w:val="both"/>
        <w:ind w:left="660" w:hanging="9"/>
        <w:spacing w:after="0" w:line="302" w:lineRule="auto"/>
        <w:tabs>
          <w:tab w:leader="none" w:pos="1478"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the model for distinct licenses of functional intellectual property which may result in a timing difference of revenue recognition. Whereas revenue from these arrangements was previously recognized over a period of time pursuant to revenue recognition guidance that was in place for our arrangements at the time such arrangements commenced, revenue from new arrangements we enter into may now be recognized at a point in time.</w:t>
      </w:r>
    </w:p>
    <w:p>
      <w:pPr>
        <w:spacing w:after="0" w:line="154" w:lineRule="exact"/>
        <w:rPr>
          <w:rFonts w:ascii="Arial" w:cs="Arial" w:eastAsia="Arial" w:hAnsi="Arial"/>
          <w:sz w:val="16"/>
          <w:szCs w:val="16"/>
          <w:color w:val="auto"/>
        </w:rPr>
      </w:pPr>
    </w:p>
    <w:p>
      <w:pPr>
        <w:jc w:val="both"/>
        <w:ind w:left="660" w:hanging="9"/>
        <w:spacing w:after="0" w:line="264" w:lineRule="auto"/>
        <w:tabs>
          <w:tab w:leader="none" w:pos="15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Assessments of milestone payments linked to events that are in our control, may result in variable consideration that may be recognized at an earlier point in time, when it is probable that the milestone will be achieved without a significant future reversal of cumulative revenue expected.</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adopted the new standard for the fiscal period beginning January 1, 2018, utilizing the “modified retrospective” adoption methodology on all contracts for which performance had not been completed as of the date of adoption, and applied the guidance to report new disclosures surrounding our recognition of revenues. There was no cumulative effect of adopting the standard at the date of initial application in retained earnings. We have implemented a controls process to identify and evaluate all revenue-generating contracts with third-party customers on an on-going basis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have provided enhanced disclosures within this Form 10-Q to provide greater detail on our revenue-generating activities, see Notes 3 and 9 to the Condensed Consolidated Financial Statements.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January 2016, the FASB issued ASU No. 2016-01, “Financial Instruments-Overall (Subtopic 825-10): Recognition and Measurement of Financial Assets and Financial Liabilities.” The standard requires several changes including that equity investments (except those accounted for under the equity method of accounting, or those that result in consolidation of the investee) be measured at fair value with changes in fair value recognized in results of operations. These provisions will not impact the accounting for our investments in corporate debt and U.S. government securities. The new guidance also changes certain disclosure requirements and other aspects of current U.S. GAAP. Amendments are to be applied as a cumulative-effect adjustment to the balance sheet as of the beginning of the fiscal year of adoption. The adoption of this standard resulted in a $2.8 million decrease in our accumulated deficit as of January 1, 2018 related to our investment in Calithera Biosciences, Inc.</w:t>
      </w:r>
    </w:p>
    <w:p>
      <w:pPr>
        <w:spacing w:after="0" w:line="19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In February 2016, the FASB issued ASU No. 2016-02, “Leases (Topic 842),” that requires lessees to recognize assets and liabilities on the balance sheet for most leases including operating leases. Lessees will classify leases as either finance or operating leases and lessors classify all leases as sales-type, direct financing or operating leases. The statement of operations presentation and expense recognition for lessees for finance leases is similar to that of capital leases under Accounting Standards Codification (“ASC”) 840 with separate interest and amortization expense with higher periodic expense in the earlier periods of a lease. For operating leases, the statement of operations presentation and expense recognition is similar to that of operating leases under ASC 840 with single lease cost recognized on a straight-line basis. We have implemented a third-party software to facilitate activities for the new accounting and disclosure requirements under ASU No. 2016-02 and, at this time, are undergoing implementation testing activities of the software and additional internal control procedures. In July 2018, the FASB issued clarifying guidance to the topic in ASUs No. 2018-11 and No. 2018-10, which defined several practical expedients for adoption and clarified new accounting methodologies. This guidance is effective for annual periods beginning after December 15, 2018 and interim periods therein and will be adopted using a modified retrospective approach. We are anticipating electing available practical expedients, including the transition option, upon adoption on January 1, 2019. We have implemented a third-party software to facilitate activities for the new accounting and disclosure requirements under ASU No. 2016-02 and, at this time, are undergoing implementation testing activities of the software and additional internal control procedures. In addition, we are assessing the impact to the consolidated financial statements which will include recording a right-of-use asset and a lease liability for all leases with a term of greater than twelve months regardless of their classification.</w:t>
      </w:r>
    </w:p>
    <w:p>
      <w:pPr>
        <w:spacing w:after="0" w:line="19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November 2016, the FASB issued ASU No. 2016-18, “Restricted Cash,” which requires entities to show the changes in total of cash, cash equivalents, restricted cash and restricted cash equivalents in the statement of cash flows. As a result, entities will no longer present transfers between cash and cash equivalents and restricted cash in the statement of cash flows. When cash, cash equivalents, restricted cash and restricted cash equivalents are presented in more than one line item on the balance sheet, the new guidance requires a reconciliation of the totals in the statement of cash flows to the related captions on the balance sheet. The reconciliation can be presented either on the face of the statement of cash flows or in the notes to the financial statements. We adopted the new standard for the period beginning January 1, 2018. Due to the retrospective adoption of the standard, the cash flows from financing activities for the year ended December 31, 2017 and interim periods therein, no longer present the transfer of restricted investments to cash and cash equivalents. The change in total cash, cash equivalents, restricted cash and investments is now presented in the consolidated statement of cash flows and reconciles to the related captions on the consolidated balance sheet.</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January 2017, the FASB issued ASU No. 2017-04, “Intangibles–Goodwill and Other,” which eliminates the requirement to calculate the implied fair value of goodwill to measure a goodwill impairment charge. Under the new standard, entities will record an impairment charge based on the excess of a reporting unit’s carrying amount over its fair value. The new standard is effective for public business entities that are SEC filers for annual or any interim goodwill impairment tests in fiscal years beginning after December 15, 2019. The standard is to be applied on a prospective basis. We are currently analyzing the impact of ASU No. 2017-04 on our consolidated financial statements.</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March 2017, the FASB issued ASU No. 2017-07, “Compensation–Retirement Benefits,” which requires the service cost component of net periodic benefit cost to be presented in the same income statement line as other employee compensation costs arising from services rendered during the period and the other components of net periodic benefit cost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be presented separately from the income statement lines that include service cost and outside of any subtotal of operating income. We adopted the new standard for the period beginning January 1, 2018, resulting in no change in presentation of the service cost component of net periodic benefit cost, which has historically been reported in research and development and selling, general and administrative expenses along with other employee compensation costs. The retrospective adoption resulted in a change in presentation of the other components of net periodic benefit cost for the year ended December 31, 2017, and interim periods therein, which reclassed these costs out of operating income and into other income (expense), net on the consolidated statements of operations. The components of net periodic benefit cost are presented separately within our employee benefit plans footnote.</w:t>
      </w:r>
    </w:p>
    <w:p>
      <w:pPr>
        <w:spacing w:after="0" w:line="1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December 2017, the SEC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Tax Cuts and Jobs Act of 2017 (the “Act”). In accordance with SAB 118, we recorded provisional tax impacts related to the revaluation of deferred tax assets and liabilities as well as the temporary full expensing of certain business assets in our consolidated financial statements for the year ended December 31, 2017. We continue to monitor and analyze further issued guidance, however no additional tax effects of the Act were required to be recorded for the three and nine months ended September 30, 2018. The financial statement impact is expected to be complete when the 2017 U.S. federal and state corporate income tax returns are filed during the fourth quarter of 2018.</w:t>
      </w:r>
    </w:p>
    <w:p>
      <w:pPr>
        <w:spacing w:after="0" w:line="18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January 2018, the FASB released guidance on the accounting for tax on the global intangible low-taxed income ("GILTI") provisions of the Act. The GILTI provisions impose a tax on foreign income in excess of a deemed return on tangible assets of foreign corporations. The guidance indicates that either accounting for deferred taxes related to GILTI inclusions or to treat any taxes on GILTI inclusions as period cost are both acceptable methods subject to an accounting policy election. Effective the first quarter of 2018, we have elected to treat any potential GILTI inclusions as a period charge in the future period in which it is incurred. We have determined there to be no impact associated with GILTI on our condensed consolidated financial statements as of and for the three and nine months ended September 30, 2018.</w:t>
      </w:r>
    </w:p>
    <w:p>
      <w:pPr>
        <w:spacing w:after="0" w:line="16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February 2018, the FASB issued ASU No. 2018-02, “Income Statement – Reporting Comprehensive Income,” which allows reclassification of certain tax effects created as a result of changing methodologies, laws and tax rates legislated in the Act. This new standard allows for stranded income tax effects resulting from the Act to be reclassified into retained earnings to allow for their tax effect to reflect the appropriate tax rate. Due to the full valuation allowance on our U.S. net deferred tax assets, a reclassification of stranded tax effects to retained earnings was not required.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August 2018, the FASB issued ASU No. 2018-14, “Compensation – Retirement Benefits – Defined Benefit Plans</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General,” an update to Subtopic ASC 715-20. The guidance amended year-end disclosure requirements related to defined benefit pension plans, and does not affect interim disclosures. The guidance is effective for fiscal years ending after December 15, 2020, and is permitted for early adoption. The standard is to be applied on a retrospective basis. Incyte sponsors defined benefit plans for employees located in Switzerland. We are currently analyzing the impact of ASU No. 2018-14 on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recorded net income of $29.2 million and basic and diluted net income per share of $0.14 for the three months ended September 30, 2018, as compared to net income of $36.1 million and basic and diluted net loss per share of $0.17 in the corresponding period in 2017. We recorded net income of $40.4 million and basic and diluted net income per share of $0.19 for the nine months ended September 30, 2018, as compared to net loss of $163.5 million and basic and diluted net loss per share of $0.81 in the corresponding period in 2017.</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For the Three Months Ended,</w:t>
            </w:r>
          </w:p>
        </w:tc>
        <w:tc>
          <w:tcPr>
            <w:tcW w:w="200" w:type="dxa"/>
            <w:vAlign w:val="bottom"/>
          </w:tcPr>
          <w:p>
            <w:pPr>
              <w:spacing w:after="0"/>
              <w:rPr>
                <w:sz w:val="14"/>
                <w:szCs w:val="14"/>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For the Nine Months Ended,</w:t>
            </w:r>
          </w:p>
        </w:tc>
      </w:tr>
      <w:tr>
        <w:trPr>
          <w:trHeight w:val="171"/>
        </w:trPr>
        <w:tc>
          <w:tcPr>
            <w:tcW w:w="3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89"/>
              </w:rPr>
              <w:t>September 30,</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416"/>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3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2"/>
                <w:szCs w:val="12"/>
                <w:color w:val="auto"/>
              </w:rPr>
            </w:pPr>
          </w:p>
        </w:tc>
      </w:tr>
      <w:tr>
        <w:trPr>
          <w:trHeight w:val="142"/>
        </w:trPr>
        <w:tc>
          <w:tcPr>
            <w:tcW w:w="3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tcPr>
          <w:p>
            <w:pPr>
              <w:jc w:val="center"/>
              <w:ind w:left="456"/>
              <w:spacing w:after="0" w:line="142" w:lineRule="exact"/>
              <w:rPr>
                <w:sz w:val="20"/>
                <w:szCs w:val="20"/>
                <w:color w:val="auto"/>
              </w:rPr>
            </w:pPr>
            <w:r>
              <w:rPr>
                <w:rFonts w:ascii="Arial" w:cs="Arial" w:eastAsia="Arial" w:hAnsi="Arial"/>
                <w:sz w:val="14"/>
                <w:szCs w:val="14"/>
                <w:b w:val="1"/>
                <w:bCs w:val="1"/>
                <w:color w:val="auto"/>
                <w:w w:val="94"/>
              </w:rPr>
              <w:t>(in millions)</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tcPr>
          <w:p>
            <w:pPr>
              <w:jc w:val="center"/>
              <w:ind w:left="436"/>
              <w:spacing w:after="0" w:line="142" w:lineRule="exact"/>
              <w:rPr>
                <w:sz w:val="20"/>
                <w:szCs w:val="20"/>
                <w:color w:val="auto"/>
              </w:rPr>
            </w:pPr>
            <w:r>
              <w:rPr>
                <w:rFonts w:ascii="Arial" w:cs="Arial" w:eastAsia="Arial" w:hAnsi="Arial"/>
                <w:sz w:val="14"/>
                <w:szCs w:val="14"/>
                <w:b w:val="1"/>
                <w:bCs w:val="1"/>
                <w:color w:val="auto"/>
                <w:w w:val="94"/>
              </w:rPr>
              <w:t>(in millions)</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JAKAFI revenues, net</w:t>
            </w:r>
          </w:p>
        </w:tc>
        <w:tc>
          <w:tcPr>
            <w:tcW w:w="8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5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1,006.9</w:t>
            </w:r>
          </w:p>
        </w:tc>
        <w:tc>
          <w:tcPr>
            <w:tcW w:w="5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180" w:type="dxa"/>
            <w:vAlign w:val="bottom"/>
            <w:shd w:val="clear" w:color="auto" w:fill="CCEEFF"/>
          </w:tcPr>
          <w:p>
            <w:pPr>
              <w:spacing w:after="0"/>
              <w:rPr>
                <w:sz w:val="18"/>
                <w:szCs w:val="18"/>
                <w:color w:val="auto"/>
              </w:rPr>
            </w:pPr>
          </w:p>
        </w:tc>
      </w:tr>
      <w:tr>
        <w:trPr>
          <w:trHeight w:val="216"/>
        </w:trPr>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ICLUSIG revenues, net</w:t>
            </w: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80" w:type="dxa"/>
            <w:vAlign w:val="bottom"/>
            <w:tcBorders>
              <w:bottom w:val="single" w:sz="8" w:color="CCEEFF"/>
            </w:tcBorders>
          </w:tcPr>
          <w:p>
            <w:pPr>
              <w:spacing w:after="0"/>
              <w:rPr>
                <w:sz w:val="18"/>
                <w:szCs w:val="18"/>
                <w:color w:val="auto"/>
              </w:rPr>
            </w:pPr>
          </w:p>
        </w:tc>
      </w:tr>
      <w:tr>
        <w:trPr>
          <w:trHeight w:val="210"/>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product revenues, net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878.5</w:t>
            </w:r>
          </w:p>
        </w:tc>
        <w:tc>
          <w:tcPr>
            <w:tcW w:w="18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JAKAVI product royalty revenues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104.0</w:t>
            </w:r>
          </w:p>
        </w:tc>
        <w:tc>
          <w:tcPr>
            <w:tcW w:w="18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OLUMIANT product royalty revenues</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r>
      <w:tr>
        <w:trPr>
          <w:trHeight w:val="210"/>
        </w:trPr>
        <w:tc>
          <w:tcPr>
            <w:tcW w:w="3440" w:type="dxa"/>
            <w:vAlign w:val="bottom"/>
          </w:tcPr>
          <w:p>
            <w:pPr>
              <w:ind w:left="120"/>
              <w:spacing w:after="0"/>
              <w:rPr>
                <w:sz w:val="20"/>
                <w:szCs w:val="20"/>
                <w:color w:val="auto"/>
              </w:rPr>
            </w:pPr>
            <w:r>
              <w:rPr>
                <w:rFonts w:ascii="Arial" w:cs="Arial" w:eastAsia="Arial" w:hAnsi="Arial"/>
                <w:sz w:val="18"/>
                <w:szCs w:val="18"/>
                <w:color w:val="auto"/>
              </w:rPr>
              <w:t>Total product royalty revenues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108.5</w:t>
            </w:r>
          </w:p>
        </w:tc>
        <w:tc>
          <w:tcPr>
            <w:tcW w:w="18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Milestone revenues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8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Other revenues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r>
      <w:tr>
        <w:trPr>
          <w:trHeight w:val="217"/>
        </w:trPr>
        <w:tc>
          <w:tcPr>
            <w:tcW w:w="3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6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increase in JAKAFI product revenues for the three months ended September 30, 2018 as compared to the corresponding period in 2017 was comprised of a volume increase of $25.9 million and a price increase of $17.8 million. The increase in JAKAFI product revenues for the nine months ended September 30, 2018 as compared to the corresponding period in 2017 was comprised of a volume increase of $110.0 million and a price increase of $65.9 million. Our product revenues may fluctuate from quarter to quarter due to our customers’ purchasing patterns over the course of the year, including as a result of increased inventory building by customers in advance of expected or announced price increases. Product revenues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summary of activity with respect to our sales allowances and accruals:</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Discounts and</w:t>
            </w:r>
          </w:p>
        </w:tc>
        <w:tc>
          <w:tcPr>
            <w:tcW w:w="160" w:type="dxa"/>
            <w:vAlign w:val="bottom"/>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Government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Co-Pay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6"/>
              </w:rPr>
              <w:t>Assistance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Product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Ended September 30, 2018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6"/>
              </w:rPr>
              <w:t>Distribution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b w:val="1"/>
                <w:bCs w:val="1"/>
                <w:color w:val="auto"/>
              </w:rPr>
              <w:t>Rebates and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and Other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right="14"/>
              <w:spacing w:after="0"/>
              <w:rPr>
                <w:sz w:val="20"/>
                <w:szCs w:val="20"/>
                <w:color w:val="auto"/>
              </w:rPr>
            </w:pPr>
            <w:r>
              <w:rPr>
                <w:rFonts w:ascii="Arial" w:cs="Arial" w:eastAsia="Arial" w:hAnsi="Arial"/>
                <w:sz w:val="14"/>
                <w:szCs w:val="14"/>
                <w:b w:val="1"/>
                <w:bCs w:val="1"/>
                <w:color w:val="auto"/>
                <w:w w:val="87"/>
              </w:rPr>
              <w:t>Fees</w:t>
            </w:r>
          </w:p>
        </w:tc>
        <w:tc>
          <w:tcPr>
            <w:tcW w:w="16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w w:val="97"/>
              </w:rPr>
              <w:t>Chargebacks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Arial" w:cs="Arial" w:eastAsia="Arial" w:hAnsi="Arial"/>
                <w:sz w:val="14"/>
                <w:szCs w:val="14"/>
                <w:b w:val="1"/>
                <w:bCs w:val="1"/>
                <w:color w:val="auto"/>
                <w:w w:val="88"/>
              </w:rPr>
              <w:t>Discounts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Returns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Allowances for current period sales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142,091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Allowances for prior period sales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Credits/payments for current period sales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(116,509)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8"/>
              </w:rPr>
              <w:t>(149,764)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Credits/payments for prior period sales</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40" w:type="dxa"/>
            <w:vAlign w:val="bottom"/>
            <w:gridSpan w:val="2"/>
          </w:tcPr>
          <w:p>
            <w:pPr>
              <w:spacing w:after="0"/>
              <w:rPr>
                <w:sz w:val="20"/>
                <w:szCs w:val="20"/>
                <w:color w:val="auto"/>
              </w:rPr>
            </w:pPr>
            <w:r>
              <w:rPr>
                <w:rFonts w:ascii="Arial" w:cs="Arial" w:eastAsia="Arial" w:hAnsi="Arial"/>
                <w:sz w:val="18"/>
                <w:szCs w:val="18"/>
                <w:color w:val="auto"/>
              </w:rPr>
              <w:t>Balance at September 30, 2018</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35,026</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Government rebates and chargebacks are the most significant component of our sales allowances. Increases in certain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JAKAFI price increases greater than the rate of inflation, and any such increase in these government rebates and chargebacks will have a negative impact on our reported product revenues, net. We adjust our estimates for government rebates and chargebacks based on new information regarding actual rebates as it becomes available. Claims by third-party payors for rebates and chargebacks are frequently submitted after the period in which the related sales occurred, which may result in adjustments to prior period accrual balances in the period in which the new information becomes available. We also adjust our allowance for product returns based on new information regarding actual returns as it becomes available.</w:t>
      </w:r>
    </w:p>
    <w:p>
      <w:pPr>
        <w:spacing w:after="0" w:line="1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expect our sales allowances to fluctuate from quarter to quarter as a result of the Medicare Part D Coverage Gap, the volume of purchases eligible for government mandated discounts and rebates as well as changes in discount percentages which are impacted by potential future price increases, rate of inflation, and other factors.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Product royalty revenues on commercial sales of JAKAVI by Novartis are based on net sales of licensed products in licensed territories as provided by Novartis. Product royalty revenues on commercial sales of OLUMIANT by Lilly are based on net sales of licensed products in licensed territories as provided by Lilly.</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milestone revenues are earned from our collaborative partners. During the nine months ended September 30, 2018, under the Lilly agreement, we recognized a $20.0 million development milestone payment for the first patient treated in systemic lupus erythematosus Phase III program for baricitinib and a $100.0 million regulatory milestone payment for the approval of the 2mg dose of OLUMIANT for the treatment of moderately-to-severely active rheumatoid arthritis in adult patients by the FDA. During the nine months ended September 30, 2017, under the Lilly agreement, we recognized a $15.0 million regulatory milestone payment for the approval of baricitinib for the treatment of rheumatoid arthritis by Japan’s Ministry of Health, Labor and Welfare and a $65.0 million regulatory milestone payment for the approval of baricitinib for the treatment of moderate-to-severe rheumatoid arthritis in adult patients by the European Commission and under the Novartis agreement, we recognized a $25.0 million development milestone payment based on the formal initiation by Novartis of a Phase III clinical trial evaluating ruxolitinib in the GVHD field.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For the Three Months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71"/>
        </w:trPr>
        <w:tc>
          <w:tcPr>
            <w:tcW w:w="3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left="459"/>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r>
      <w:tr>
        <w:trPr>
          <w:trHeight w:val="142"/>
        </w:trPr>
        <w:tc>
          <w:tcPr>
            <w:tcW w:w="3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4"/>
          </w:tcPr>
          <w:p>
            <w:pPr>
              <w:jc w:val="center"/>
              <w:ind w:left="439"/>
              <w:spacing w:after="0" w:line="142" w:lineRule="exact"/>
              <w:rPr>
                <w:sz w:val="20"/>
                <w:szCs w:val="20"/>
                <w:color w:val="auto"/>
              </w:rPr>
            </w:pPr>
            <w:r>
              <w:rPr>
                <w:rFonts w:ascii="Arial" w:cs="Arial" w:eastAsia="Arial" w:hAnsi="Arial"/>
                <w:sz w:val="14"/>
                <w:szCs w:val="14"/>
                <w:b w:val="1"/>
                <w:bCs w:val="1"/>
                <w:color w:val="auto"/>
                <w:w w:val="94"/>
              </w:rPr>
              <w:t>(in millions)</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Product costs</w:t>
            </w:r>
          </w:p>
        </w:tc>
        <w:tc>
          <w:tcPr>
            <w:tcW w:w="1040" w:type="dxa"/>
            <w:vAlign w:val="bottom"/>
            <w:gridSpan w:val="2"/>
            <w:shd w:val="clear" w:color="auto" w:fill="CCEEFF"/>
          </w:tcPr>
          <w:p>
            <w:pPr>
              <w:jc w:val="right"/>
              <w:ind w:right="52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3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Royalty expense</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17.0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definite-lived intangible assets</w:t>
            </w:r>
          </w:p>
        </w:tc>
        <w:tc>
          <w:tcPr>
            <w:tcW w:w="3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r>
      <w:tr>
        <w:trPr>
          <w:trHeight w:val="217"/>
        </w:trPr>
        <w:tc>
          <w:tcPr>
            <w:tcW w:w="3740" w:type="dxa"/>
            <w:vAlign w:val="bottom"/>
          </w:tcPr>
          <w:p>
            <w:pPr>
              <w:ind w:left="120"/>
              <w:spacing w:after="0"/>
              <w:rPr>
                <w:sz w:val="20"/>
                <w:szCs w:val="20"/>
                <w:color w:val="auto"/>
              </w:rPr>
            </w:pPr>
            <w:r>
              <w:rPr>
                <w:rFonts w:ascii="Arial" w:cs="Arial" w:eastAsia="Arial" w:hAnsi="Arial"/>
                <w:sz w:val="18"/>
                <w:szCs w:val="18"/>
                <w:color w:val="auto"/>
              </w:rPr>
              <w:t>Total cost of product revenues</w:t>
            </w:r>
          </w:p>
        </w:tc>
        <w:tc>
          <w:tcPr>
            <w:tcW w:w="340" w:type="dxa"/>
            <w:vAlign w:val="bottom"/>
          </w:tcPr>
          <w:p>
            <w:pPr>
              <w:spacing w:after="0"/>
              <w:rPr>
                <w:sz w:val="18"/>
                <w:szCs w:val="18"/>
                <w:color w:val="auto"/>
              </w:rPr>
            </w:pPr>
          </w:p>
        </w:tc>
        <w:tc>
          <w:tcPr>
            <w:tcW w:w="700" w:type="dxa"/>
            <w:vAlign w:val="bottom"/>
            <w:tcBorders>
              <w:bottom w:val="single" w:sz="8" w:color="auto"/>
            </w:tcBorders>
          </w:tcPr>
          <w:p>
            <w:pPr>
              <w:jc w:val="right"/>
              <w:ind w:right="52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24.8</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6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Cost of product revenues includes all JAKAFI related product costs, all ICLUSIG related product costs, low single-digit royalties to Novartis on all sales of JAKAFI in the United States and amortization of our licensed intellectual property for ICLUSIG using the straight-line method over the estimated useful life of 12.5 years. The increase in cost of product revenues for the three and nine months ended September 30, 2018 as compared to the same periods in 2017 is due primarily to increased royalties to Novartis on all JAKAFI sales in the United States.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For the Three</w:t>
            </w:r>
          </w:p>
        </w:tc>
        <w:tc>
          <w:tcPr>
            <w:tcW w:w="100" w:type="dxa"/>
            <w:vAlign w:val="bottom"/>
          </w:tcPr>
          <w:p>
            <w:pPr>
              <w:spacing w:after="0"/>
              <w:rPr>
                <w:sz w:val="14"/>
                <w:szCs w:val="14"/>
                <w:color w:val="auto"/>
              </w:rPr>
            </w:pPr>
          </w:p>
        </w:tc>
        <w:tc>
          <w:tcPr>
            <w:tcW w:w="92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96"/>
              </w:rPr>
              <w:t>For the</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9"/>
        </w:trPr>
        <w:tc>
          <w:tcPr>
            <w:tcW w:w="4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100" w:type="dxa"/>
            <w:vAlign w:val="bottom"/>
          </w:tcPr>
          <w:p>
            <w:pPr>
              <w:spacing w:after="0"/>
              <w:rPr>
                <w:sz w:val="12"/>
                <w:szCs w:val="12"/>
                <w:color w:val="auto"/>
              </w:rPr>
            </w:pPr>
          </w:p>
        </w:tc>
        <w:tc>
          <w:tcPr>
            <w:tcW w:w="162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4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6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4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2"/>
                <w:szCs w:val="12"/>
                <w:color w:val="auto"/>
              </w:rPr>
            </w:pPr>
          </w:p>
        </w:tc>
      </w:tr>
      <w:tr>
        <w:trPr>
          <w:trHeight w:val="142"/>
        </w:trPr>
        <w:tc>
          <w:tcPr>
            <w:tcW w:w="4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tcPr>
          <w:p>
            <w:pPr>
              <w:jc w:val="center"/>
              <w:ind w:right="53"/>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center"/>
              <w:ind w:right="13"/>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2"/>
                <w:szCs w:val="12"/>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 related</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141.5</w:t>
            </w:r>
          </w:p>
        </w:tc>
        <w:tc>
          <w:tcPr>
            <w:tcW w:w="18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Stock compensation</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67.8</w:t>
            </w:r>
          </w:p>
        </w:tc>
        <w:tc>
          <w:tcPr>
            <w:tcW w:w="18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 and outside services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612.6</w:t>
            </w:r>
          </w:p>
        </w:tc>
        <w:tc>
          <w:tcPr>
            <w:tcW w:w="180" w:type="dxa"/>
            <w:vAlign w:val="bottom"/>
            <w:shd w:val="clear" w:color="auto" w:fill="CCEEFF"/>
          </w:tcPr>
          <w:p>
            <w:pPr>
              <w:spacing w:after="0"/>
              <w:rPr>
                <w:sz w:val="18"/>
                <w:szCs w:val="18"/>
                <w:color w:val="auto"/>
              </w:rPr>
            </w:pPr>
          </w:p>
        </w:tc>
      </w:tr>
      <w:tr>
        <w:trPr>
          <w:trHeight w:val="216"/>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Occupancy and all other costs</w:t>
            </w:r>
          </w:p>
        </w:tc>
        <w:tc>
          <w:tcPr>
            <w:tcW w:w="1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80" w:type="dxa"/>
            <w:vAlign w:val="bottom"/>
            <w:tcBorders>
              <w:bottom w:val="single" w:sz="8" w:color="CCEEFF"/>
            </w:tcBorders>
          </w:tcPr>
          <w:p>
            <w:pPr>
              <w:spacing w:after="0"/>
              <w:rPr>
                <w:sz w:val="18"/>
                <w:szCs w:val="18"/>
                <w:color w:val="auto"/>
              </w:rPr>
            </w:pPr>
          </w:p>
        </w:tc>
      </w:tr>
      <w:tr>
        <w:trPr>
          <w:trHeight w:val="217"/>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879.3</w:t>
            </w:r>
          </w:p>
        </w:tc>
        <w:tc>
          <w:tcPr>
            <w:tcW w:w="18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currently account for research and development costs by natural expense line and not costs by project. Salary and benefits related expense increased from the three and nine months ended September 30, 2017 to the three and nine months ended September 30, 2018 due primarily to increased development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w:t>
      </w:r>
    </w:p>
    <w:p>
      <w:pPr>
        <w:spacing w:after="0" w:line="19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decrease in clinical research and outside services expense from the nine months ended September 30, 2017 to the nine months ended September 30, 2018 was primarily due to upfront and milestone expenses totaling $209.1 million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related to our collaborative agreements with Agenus, Calithera and Merus recorded during 2017, partially offset by upfront and milestone expenses totaling $47.4 million related to our collaborative agreements with Agenus, Bristol-Myers Squibb, MacroGenics and Syros and an overall increase in development costs to advance our clinical pipeline during 2018. Research and development expenses for the three and nine months ended September 30, 2018 and 2017 were net of $2.4 million, $7.0 million, $3.2 million and $12.3 million, respectively, of costs reimbursed by our collaborative partners. Research and development expenses may fluctuate from period to period depending upon the stage of certain projects and the level of pre</w:t>
      </w:r>
      <w:r>
        <w:rPr>
          <w:rFonts w:ascii="MS PGothic" w:cs="MS PGothic" w:eastAsia="MS PGothic" w:hAnsi="MS PGothic"/>
          <w:sz w:val="17"/>
          <w:szCs w:val="17"/>
          <w:color w:val="auto"/>
        </w:rPr>
        <w:t>‑</w:t>
      </w:r>
      <w:r>
        <w:rPr>
          <w:rFonts w:ascii="Arial" w:cs="Arial" w:eastAsia="Arial" w:hAnsi="Arial"/>
          <w:sz w:val="17"/>
          <w:szCs w:val="17"/>
          <w:color w:val="auto"/>
        </w:rPr>
        <w:t>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spacing w:after="0" w:line="2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nine months ended September 30, 2017, we wrote-off the acquired IPR&amp;D asset of $12.0 million due to the discontinuation of the OPTIC-2L study, which was recorded in research and development expense on the condensed consolidated statement of operations.</w:t>
      </w:r>
    </w:p>
    <w:p>
      <w:pPr>
        <w:spacing w:after="0" w:line="181"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7"/>
          <w:szCs w:val="17"/>
          <w:color w:val="auto"/>
        </w:rPr>
        <w:t>In July 2010, we elected to co</w:t>
      </w:r>
      <w:r>
        <w:rPr>
          <w:rFonts w:ascii="MS PGothic" w:cs="MS PGothic" w:eastAsia="MS PGothic" w:hAnsi="MS PGothic"/>
          <w:sz w:val="17"/>
          <w:szCs w:val="17"/>
          <w:color w:val="auto"/>
        </w:rPr>
        <w:t>‑</w:t>
      </w:r>
      <w:r>
        <w:rPr>
          <w:rFonts w:ascii="Arial" w:cs="Arial" w:eastAsia="Arial" w:hAnsi="Arial"/>
          <w:sz w:val="17"/>
          <w:szCs w:val="17"/>
          <w:color w:val="auto"/>
        </w:rPr>
        <w:t>develop baricitinib with Lilly in rheumatoid arthritis and we are responsible for funding 30% of the associated future global development costs for this indication from the initiation of the Phase IIb trial through regulatory approval. We also elected to co-develop baricitinib with Lilly in psoriatic arthritis, atopic dermatitis, alopecia areata, systemic lupus erythematosus and axial spondyloarthritis to fund 30% of future global development costs through regulatory approval, including post-launch studies required by a regulatory authority. Research and development expenses recorded under the Lilly agreement representing 30% of the global development costs for baricitinib for the treatment of rheumatoid arthritis, psoriatic arthritis, atopic dermatitis, alopecia areata, systematic lupus erythematosus and axial spondyloarthritis were $18.9 million and $45.6 million, respectively, for the three and nine months ended September 30, 2018. Research and development expenses recorded under the Lilly agreement representing 30% of the global development costs for baricitinib for the treatment of rheumatoid arthritis, psoriatic arthritis and atopic dermatitis were $9.1 million and $27.2 million, respectively, for the three and nine months ended September 30, 2017. We have retained certain mechanisms to give us cost protection as baricitinib advances in clinical development. We can defer our portion of co-development study costs by indication if they exceed a predetermined level. This deferment would be credited against future milestones or royalties and we would still be eligible for the full incremental royalties related to the co-development option. In addition, even if we have started co-development funding for any indication, we can at any time opt out, which will stop future co-development cost sharing. If we elect to do this we would still be eligible for our base royalties plus an incremental pro-rated royalty commensurate with our contribution to the total co-development cost for those indications for which we contributed funding.</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For the Three</w:t>
            </w:r>
          </w:p>
        </w:tc>
        <w:tc>
          <w:tcPr>
            <w:tcW w:w="100" w:type="dxa"/>
            <w:vAlign w:val="bottom"/>
          </w:tcPr>
          <w:p>
            <w:pPr>
              <w:spacing w:after="0"/>
              <w:rPr>
                <w:sz w:val="14"/>
                <w:szCs w:val="14"/>
                <w:color w:val="auto"/>
              </w:rPr>
            </w:pPr>
          </w:p>
        </w:tc>
        <w:tc>
          <w:tcPr>
            <w:tcW w:w="920" w:type="dxa"/>
            <w:vAlign w:val="bottom"/>
            <w:gridSpan w:val="4"/>
          </w:tcPr>
          <w:p>
            <w:pPr>
              <w:jc w:val="center"/>
              <w:ind w:left="340"/>
              <w:spacing w:after="0"/>
              <w:rPr>
                <w:sz w:val="20"/>
                <w:szCs w:val="20"/>
                <w:color w:val="auto"/>
              </w:rPr>
            </w:pPr>
            <w:r>
              <w:rPr>
                <w:rFonts w:ascii="Arial" w:cs="Arial" w:eastAsia="Arial" w:hAnsi="Arial"/>
                <w:sz w:val="14"/>
                <w:szCs w:val="14"/>
                <w:b w:val="1"/>
                <w:bCs w:val="1"/>
                <w:color w:val="auto"/>
                <w:w w:val="96"/>
              </w:rPr>
              <w:t>For the</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9"/>
        </w:trPr>
        <w:tc>
          <w:tcPr>
            <w:tcW w:w="4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5"/>
          </w:tcPr>
          <w:p>
            <w:pPr>
              <w:ind w:left="160"/>
              <w:spacing w:after="0" w:line="149" w:lineRule="exact"/>
              <w:rPr>
                <w:sz w:val="20"/>
                <w:szCs w:val="20"/>
                <w:color w:val="auto"/>
              </w:rPr>
            </w:pPr>
            <w:r>
              <w:rPr>
                <w:rFonts w:ascii="Arial" w:cs="Arial" w:eastAsia="Arial" w:hAnsi="Arial"/>
                <w:sz w:val="14"/>
                <w:szCs w:val="14"/>
                <w:b w:val="1"/>
                <w:bCs w:val="1"/>
                <w:color w:val="auto"/>
              </w:rPr>
              <w:t>Months Ended,</w:t>
            </w:r>
          </w:p>
        </w:tc>
        <w:tc>
          <w:tcPr>
            <w:tcW w:w="100" w:type="dxa"/>
            <w:vAlign w:val="bottom"/>
          </w:tcPr>
          <w:p>
            <w:pPr>
              <w:spacing w:after="0"/>
              <w:rPr>
                <w:sz w:val="12"/>
                <w:szCs w:val="12"/>
                <w:color w:val="auto"/>
              </w:rPr>
            </w:pPr>
          </w:p>
        </w:tc>
        <w:tc>
          <w:tcPr>
            <w:tcW w:w="162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4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6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4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2"/>
                <w:szCs w:val="12"/>
                <w:color w:val="auto"/>
              </w:rPr>
            </w:pPr>
          </w:p>
        </w:tc>
      </w:tr>
      <w:tr>
        <w:trPr>
          <w:trHeight w:val="142"/>
        </w:trPr>
        <w:tc>
          <w:tcPr>
            <w:tcW w:w="4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tcPr>
          <w:p>
            <w:pPr>
              <w:jc w:val="center"/>
              <w:ind w:right="54"/>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5"/>
          </w:tcPr>
          <w:p>
            <w:pPr>
              <w:jc w:val="center"/>
              <w:ind w:right="14"/>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2"/>
                <w:szCs w:val="12"/>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 related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26.9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8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Stock compensation</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180"/>
              <w:spacing w:after="0"/>
              <w:rPr>
                <w:sz w:val="20"/>
                <w:szCs w:val="20"/>
                <w:color w:val="auto"/>
              </w:rPr>
            </w:pPr>
            <w:r>
              <w:rPr>
                <w:rFonts w:ascii="Arial" w:cs="Arial" w:eastAsia="Arial" w:hAnsi="Arial"/>
                <w:sz w:val="18"/>
                <w:szCs w:val="18"/>
                <w:color w:val="auto"/>
                <w:w w:val="96"/>
              </w:rPr>
              <w:t>11.7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31.5</w:t>
            </w:r>
          </w:p>
        </w:tc>
        <w:tc>
          <w:tcPr>
            <w:tcW w:w="1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contract services and outside costs</w:t>
            </w:r>
          </w:p>
        </w:tc>
        <w:tc>
          <w:tcPr>
            <w:tcW w:w="1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6"/>
              </w:rPr>
              <w:t>57.9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160.2</w:t>
            </w:r>
          </w:p>
        </w:tc>
        <w:tc>
          <w:tcPr>
            <w:tcW w:w="180" w:type="dxa"/>
            <w:vAlign w:val="bottom"/>
            <w:shd w:val="clear" w:color="auto" w:fill="CCEEFF"/>
          </w:tcPr>
          <w:p>
            <w:pPr>
              <w:spacing w:after="0"/>
              <w:rPr>
                <w:sz w:val="18"/>
                <w:szCs w:val="18"/>
                <w:color w:val="auto"/>
              </w:rPr>
            </w:pPr>
          </w:p>
        </w:tc>
      </w:tr>
      <w:tr>
        <w:trPr>
          <w:trHeight w:val="217"/>
        </w:trPr>
        <w:tc>
          <w:tcPr>
            <w:tcW w:w="4600" w:type="dxa"/>
            <w:vAlign w:val="bottom"/>
          </w:tcPr>
          <w:p>
            <w:pPr>
              <w:spacing w:after="0"/>
              <w:rPr>
                <w:sz w:val="20"/>
                <w:szCs w:val="20"/>
                <w:color w:val="auto"/>
              </w:rPr>
            </w:pPr>
            <w:r>
              <w:rPr>
                <w:rFonts w:ascii="Arial" w:cs="Arial" w:eastAsia="Arial" w:hAnsi="Arial"/>
                <w:sz w:val="18"/>
                <w:szCs w:val="18"/>
                <w:color w:val="auto"/>
              </w:rPr>
              <w:t>Total selling, general and administrative expenses</w:t>
            </w:r>
          </w:p>
        </w:tc>
        <w:tc>
          <w:tcPr>
            <w:tcW w:w="10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6"/>
              </w:rPr>
              <w:t>96.5</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268.6</w:t>
            </w:r>
          </w:p>
        </w:tc>
        <w:tc>
          <w:tcPr>
            <w:tcW w:w="18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color w:val="auto"/>
        </w:rPr>
        <w:t>Salary and benefits related expense increased from the three and nine months ended September 30, 2017 to the three and nine months ended September 30, 2018 due to increased headcount. This increased headcount was due primarily to the ongoing commercialization efforts related to JAKAFI for intermediate or high</w:t>
      </w:r>
      <w:r>
        <w:rPr>
          <w:rFonts w:ascii="MS PGothic" w:cs="MS PGothic" w:eastAsia="MS PGothic" w:hAnsi="MS PGothic"/>
          <w:sz w:val="16"/>
          <w:szCs w:val="16"/>
          <w:color w:val="auto"/>
        </w:rPr>
        <w:t>‑</w:t>
      </w:r>
      <w:r>
        <w:rPr>
          <w:rFonts w:ascii="Arial" w:cs="Arial" w:eastAsia="Arial" w:hAnsi="Arial"/>
          <w:sz w:val="16"/>
          <w:szCs w:val="16"/>
          <w:color w:val="auto"/>
        </w:rPr>
        <w:t>risk myelofibrosis and uncontrolled polycythemia vera, as well as increased headcount related to our European operations. Stock compensation expense may fluctuate from period to period based on the number of awards granted, stock price volatility and expected award lives, as well as expected award forfeiture rates which are used to value equity</w:t>
      </w:r>
      <w:r>
        <w:rPr>
          <w:rFonts w:ascii="MS PGothic" w:cs="MS PGothic" w:eastAsia="MS PGothic" w:hAnsi="MS PGothic"/>
          <w:sz w:val="16"/>
          <w:szCs w:val="16"/>
          <w:color w:val="auto"/>
        </w:rPr>
        <w:t>‑</w:t>
      </w:r>
      <w:r>
        <w:rPr>
          <w:rFonts w:ascii="Arial" w:cs="Arial" w:eastAsia="Arial" w:hAnsi="Arial"/>
          <w:sz w:val="16"/>
          <w:szCs w:val="16"/>
          <w:color w:val="auto"/>
        </w:rPr>
        <w:t>based compensation. The increase in other contract services and outside costs was primarily the result of an increase in donations to independent non-profit patient assistance organizations in the United States and additional costs related to the commercialization of JAKAFI.</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 in fair value of acquisition-related contingent consideration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Acquisition-related contingent consideration, which consists of our future royalty and certain potential milestone obligations to Takeda, was recorded on the acquisition date, June 1, 2016, at the estimated fair value of the obligation, in accordance with the acquisition method of accounting. The fair value of the acquisition-related contingent consideration is remeasured quarterly. The change in fair value of the acquisition-related contingent consideration for the three and nine months ended September 30, 2018 was $4.7 million and $18.7 million, respectively, which is recorded in change in fair value of acquisition-related contingent consideration on the condensed consolidated statements of operations. The change in fair value of the acquisition-related contingent consideration for the three and nine months ended September 30, 2017 was a benefit of $16.3 million and $1.9 million, respectively, which is recorded in change in fair value of acquisition-related contingent consideration on the condensed consolidated statements of operations. The change in fair value for the three and nine months ended September 30, 2018 was due primarily to the passage of time as there were no other significant changes in the key assumptions during the periods. The change in fair value for the three and nine months ended September 30, 2017 was due primarily to the passage of time and a benefit of $24.0 million recorded during the third quarter related to the lack of expected future sales royalties payable due to the discontinued OPTIC-2L clinical trial.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Other income (expense), net for the three and nine months ended September 30, 2018</w:t>
      </w:r>
      <w:r>
        <w:rPr>
          <w:rFonts w:ascii="Arial" w:cs="Arial" w:eastAsia="Arial" w:hAnsi="Arial"/>
          <w:sz w:val="16"/>
          <w:szCs w:val="16"/>
          <w:i w:val="1"/>
          <w:iCs w:val="1"/>
          <w:color w:val="auto"/>
        </w:rPr>
        <w:t xml:space="preserve"> </w:t>
      </w:r>
      <w:r>
        <w:rPr>
          <w:rFonts w:ascii="Arial" w:cs="Arial" w:eastAsia="Arial" w:hAnsi="Arial"/>
          <w:sz w:val="16"/>
          <w:szCs w:val="16"/>
          <w:color w:val="auto"/>
        </w:rPr>
        <w:t>was $10.2 million and $20.5 million, respectively. Other income (expense), net for the three and nine months ended September 30, 2017 was $5.5 million and $10.7 million, respectively. Upon the adoption of ASU No. 2017-07 effective January 1, 2018, other income (expense), net includes components of net periodic benefit costs, excluding service cost, relating to our European pension plans. The adoption was applied retrospectively which resulted in an insignificant change to loss from operations and other income (expense), net for the three and nine months ended September 30, 2017.</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for the three and nine months ended September 30, 2018 was $0.4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$1.2 million, respectively. Interest expense for the three and nine months ended September 30, 2017 was $0.2 million and $6.5 million, respectively. The decrease in interest expense from the nine months ended September 30, 2017 to the nine months ended September 30, 2018 relates to the conversion of senior notes during the nine months ended September 30, 2017. Included in interest expense for the three and nine months ended September 30, 2018 was $0.3 million and $0.9 million, respectively, of non-cash charges to amortize the discounts on the 2018 Notes and the 2020 Notes. Included in interest expense for the three and nine months ended September 30, 2017 was $0.3 million and $5.8 million, respectively, of non-cash charges to amortize the discounts on the 2018 Notes and the 2020 Notes.</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Unrealized loss on long term investments. </w:t>
      </w:r>
      <w:r>
        <w:rPr>
          <w:rFonts w:ascii="Arial" w:cs="Arial" w:eastAsia="Arial" w:hAnsi="Arial"/>
          <w:sz w:val="17"/>
          <w:szCs w:val="17"/>
          <w:color w:val="auto"/>
        </w:rPr>
        <w:t>Unrealized gains and losses on long term investments will fluctuate from</w:t>
      </w:r>
      <w:r>
        <w:rPr>
          <w:rFonts w:ascii="Arial" w:cs="Arial" w:eastAsia="Arial" w:hAnsi="Arial"/>
          <w:sz w:val="17"/>
          <w:szCs w:val="17"/>
          <w:i w:val="1"/>
          <w:iCs w:val="1"/>
          <w:color w:val="auto"/>
        </w:rPr>
        <w:t xml:space="preserve"> </w:t>
      </w:r>
      <w:r>
        <w:rPr>
          <w:rFonts w:ascii="Arial" w:cs="Arial" w:eastAsia="Arial" w:hAnsi="Arial"/>
          <w:sz w:val="17"/>
          <w:szCs w:val="17"/>
          <w:color w:val="auto"/>
        </w:rPr>
        <w:t>period to period, based on the change in fair value of the securities we hold in our publicly held collaboration partners. With respect to our long term investment in Agenus, the unrealized loss for the three and nine months ended September 30, 2018 was $2.3 million and $19.9 million, respectively. For the three and nine months ended September 30, 2017, the unrealized gain on investment in Agenus was $10.2 million and $6.8 million, respectively. With respect to our long term investment in Calithera, the unrealized gain for the three months ended September 30, 2018 was $0.4 million and the unrealized loss for the nine months ended September 30, 2018 was $5.3 million. For the three and nine months ended September 30, 2017, the unrealized gain on investment in Calithera of $1.5 million and $15.5 million, respectively, was recorded within other comprehensive income. With respect to our long term investment in Merus, the unrealized loss for the three months ended September 30, 2018 was $9.6 million and the unrealized gain for the nine months ended September 30, 2018 was $1.1 million. The unrealized gain on investment in Merus for the three months ended September 30, 2017 was $12.9 million and the unrealized loss for the nine months ended September 30, 2017 was $9.2 million. With respect to our long term investment in Syros, the unrealized gain for the three and nine months ended September 30, 2018 was $1.6 million and $2.2 million, respectively.</w:t>
      </w:r>
    </w:p>
    <w:p>
      <w:pPr>
        <w:spacing w:after="0" w:line="18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Expense related to senior note conversions. </w:t>
      </w:r>
      <w:r>
        <w:rPr>
          <w:rFonts w:ascii="Arial" w:cs="Arial" w:eastAsia="Arial" w:hAnsi="Arial"/>
          <w:sz w:val="16"/>
          <w:szCs w:val="16"/>
          <w:color w:val="auto"/>
        </w:rPr>
        <w:t>Expense related to senior note conversions for the three and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2017 was $0.0 million and $54.9 million for the conversions of our 2018 Notes and 2020 Notes.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Due to historical net losses, we had an accumulated deficit of $1.9 billion as of September 30, 2018. We have funded our research and development operations through sales of equity securities, the issuance of convertible notes, cash received from customers, and collaborative arrangements. At September 30, 2018, we had available cash, cash equivalents and marketable securities of $1.4 billion. Our cash and marketable securities balances are held in a variety of interest-bearing instruments, including money market accounts, corporate debt securities and U.S. government securities. Available cash is invested in accordance with our investment policy’s primary objectives of liquidity, safety of principal and diversity of investments.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operating activities was $252.4 million for the nine months ended September 30, 2018 and net cash used by operating activities was $3.7 million for the nine months ended September 30, 2017. The $256.1 million increase in cash provided by operating activities was due primarily to the payments made to our collaborative partners for new or amended arrangements during the first quarter of 2017, expense related to our senior note conversions during the nine months ended September 30, 2017 and changes in working capital.</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investing activities, other than purchases, sales and maturities of marketable securities, have consisted predominantly of capital expenditures and purchases of long term investments. Net cash used by investing activities was $50.3 million for the nine months ended September 30, 2018, which represented purchases of marketable securities of $104.2 million, capital expenditures of $48.2 million and purchases of long term investments of $8.9 million, offset in part by the sale and maturity of marketable securities of $111.0 million. Net cash used in investing activities was $207.0 million for the nine months ended September 30, 2017, which represented purchases of marketable securities of $131.9 million, capital expenditures of $85.8 million and purchases of long term equity investments of $123.9 million, offset in part by the sale and maturity of marketable securities of $134.6 million. In the future, net cash used by investing activities may fluctuate significantly from period to period due to the timing of strategic equity investments, acquisitions and capital expenditures and maturities/sales and purchases of marketable securities.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financing activities was $10.6 million and $686.5 million, respectively, for the nine months ended September 30, 2018 and 2017, primarily representing proceeds from the issuance of common stock under our stock plans, offset in part by cash paid to ARIAD/Takeda for contingent consideration. In addition, for the nine months ended September 30, 2017, we received proceeds from the issuance of common stock in our public offering, offset in part by cash paid in connection with senior note conversions.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summarizes our significant contractual obligations as of September 30, 2018 and the effect those obligations are expected to have on our liquidity and cash flow in future periods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Less Than</w:t>
            </w:r>
          </w:p>
        </w:tc>
        <w:tc>
          <w:tcPr>
            <w:tcW w:w="1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Over</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600" w:type="dxa"/>
            <w:vAlign w:val="bottom"/>
          </w:tcPr>
          <w:p>
            <w:pPr>
              <w:jc w:val="right"/>
              <w:ind w:right="156"/>
              <w:spacing w:after="0"/>
              <w:rPr>
                <w:sz w:val="20"/>
                <w:szCs w:val="20"/>
                <w:color w:val="auto"/>
              </w:rPr>
            </w:pPr>
            <w:r>
              <w:rPr>
                <w:rFonts w:ascii="Arial" w:cs="Arial" w:eastAsia="Arial" w:hAnsi="Arial"/>
                <w:sz w:val="14"/>
                <w:szCs w:val="14"/>
                <w:b w:val="1"/>
                <w:bCs w:val="1"/>
                <w:color w:val="auto"/>
              </w:rPr>
              <w:t>2 - 3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6"/>
              <w:spacing w:after="0"/>
              <w:rPr>
                <w:sz w:val="20"/>
                <w:szCs w:val="20"/>
                <w:color w:val="auto"/>
              </w:rPr>
            </w:pPr>
            <w:r>
              <w:rPr>
                <w:rFonts w:ascii="Arial" w:cs="Arial" w:eastAsia="Arial" w:hAnsi="Arial"/>
                <w:sz w:val="14"/>
                <w:szCs w:val="14"/>
                <w:b w:val="1"/>
                <w:bCs w:val="1"/>
                <w:color w:val="auto"/>
              </w:rPr>
              <w:t>4 - 5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Principal on convertible senior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on convertible senior debt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Non-cancelable lease obligations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r>
              <w:rPr>
                <w:rFonts w:ascii="Arial" w:cs="Arial" w:eastAsia="Arial" w:hAnsi="Arial"/>
                <w:sz w:val="18"/>
                <w:szCs w:val="18"/>
                <w:u w:val="single" w:color="auto"/>
                <w:color w:val="auto"/>
              </w:rPr>
              <w:t>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which are not reflected in the table above.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2018, we signed an agreement to rent a building in Morges, Switzerland for an initial term of 15 years, with multiple options to extend for an additional 20 years. The building will undergo extensive renovations prior to our occupation and, when completed, will serve as our new European headquarters. Once construction is complete, our future rental payments over the 15 year term are approximately $40.9 million, which excludes the remaining build-out costs to be paid by us.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believe that our cash flow from operations, together with our cash, cash equivalents and marketable securities,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our receipt of any milestone or other payments under any collaborative agreements we may enter into, including the agreements with Novartis and Lilly; and expenditures in connection with strategic relationships and license agreements, including our agreements with Agenus, ARIAD/Takeda, Calithera, Lilly, MacroGenics, Merus and Syros, strategic equity investments or potential acquisitions. 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additional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other than those that are discussed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investments in marketable securities, which are composed primarily of corporate debt securities and U.S. government securities, are subject to default, changes in credit rating and changes in market value. These investments are also subject to interest rate risk and will decrease in value if market interest rates increase. As of September 30, 2018, marketable securities were $263.1 million. Due to the nature of these investments, if market interest rates were to increase immediately and uniformly by 10% from levels as of September 30, 2018, the decline in fair value would not be material.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Evaluation of disclosure controls and procedures. </w:t>
      </w:r>
      <w:r>
        <w:rPr>
          <w:rFonts w:ascii="Arial" w:cs="Arial" w:eastAsia="Arial" w:hAnsi="Arial"/>
          <w:sz w:val="16"/>
          <w:szCs w:val="16"/>
          <w:color w:val="auto"/>
        </w:rPr>
        <w:t>We maintain “disclosure controls and procedures,” as such 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defined in Rule 13a-15(e)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on their evaluation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i w:val="1"/>
          <w:iCs w:val="1"/>
          <w:color w:val="auto"/>
        </w:rPr>
        <w:t>Changes in internal control over financial reporting</w:t>
      </w:r>
      <w:r>
        <w:rPr>
          <w:rFonts w:ascii="Arial" w:cs="Arial" w:eastAsia="Arial" w:hAnsi="Arial"/>
          <w:sz w:val="16"/>
          <w:szCs w:val="16"/>
          <w:color w:val="auto"/>
        </w:rPr>
        <w:t>. There were no changes in our internal control over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reporting (as defined in Rules 13a-15(f) and 15d-15(f) under the Exchange Act) for the three months ended September 30, 2018, that materially affected or are reasonably likely to materially affect our internal control over financial reporting.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COMMERCIALIZATION OF OUR PRODUCTS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depend heavily on our lead product, JAKAFI (ruxolitinib), which is marketed as JAKAVI outside the United States. If we are unable to successfully commercialize JAKAFI in its approved indications or to successfully obtain regulatory approval for and commercialize ruxolitinib for the treatment of additional indications, or if we are significantly delayed or limited in doing so, our business may be materially harmed.</w:t>
      </w:r>
    </w:p>
    <w:p>
      <w:pPr>
        <w:spacing w:after="0" w:line="171"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JAKAFI is our first and, currently, only product marketed by us that is approved for sale in the United States. It was approved by the U.S. Food and Drug Administration, or FDA, in November 2011 for the treatment of patients with intermediate or high</w:t>
      </w:r>
      <w:r>
        <w:rPr>
          <w:rFonts w:ascii="MS PGothic" w:cs="MS PGothic" w:eastAsia="MS PGothic" w:hAnsi="MS PGothic"/>
          <w:sz w:val="16"/>
          <w:szCs w:val="16"/>
          <w:color w:val="auto"/>
        </w:rPr>
        <w:t>‑</w:t>
      </w:r>
      <w:r>
        <w:rPr>
          <w:rFonts w:ascii="Arial" w:cs="Arial" w:eastAsia="Arial" w:hAnsi="Arial"/>
          <w:sz w:val="16"/>
          <w:szCs w:val="16"/>
          <w:color w:val="auto"/>
        </w:rPr>
        <w:t>risk myelofibrosis and in December 2014 for the treatment of patients with polycythemia vera who have had an inadequate response to or are intolerant of hydroxyurea, which we refer to as uncontrolled polycythemia vera. Although we have received regulatory approval for these indications, such approval does not guarantee future revenues. While in June 2016 we acquired exclusive rights to develop and commercialize ICLUSIG in the European Union, or EU, and other countries and in June 2018 the FDA approved for sale OLUMIANT (baricitinib), which we exclusively licensed to Eli Lilly and Company, for the treatment of specified rheumatoid arthritis indications, we anticipate that JAKAFI product sales will continue to contribute a significant percentage of our total revenues over the next several years.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commercial success of JAKAFI and our ability to generate and maintain revenues from the sale of JAKAFI will depend on a number of factors, including:</w:t>
      </w:r>
    </w:p>
    <w:p>
      <w:pPr>
        <w:spacing w:after="0" w:line="170" w:lineRule="exact"/>
        <w:rPr>
          <w:sz w:val="20"/>
          <w:szCs w:val="20"/>
          <w:color w:val="auto"/>
        </w:rPr>
      </w:pPr>
    </w:p>
    <w:p>
      <w:pPr>
        <w:ind w:left="980" w:hanging="329"/>
        <w:spacing w:after="0" w:line="224" w:lineRule="exact"/>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number of patients with intermediate or high</w:t>
      </w:r>
      <w:r>
        <w:rPr>
          <w:rFonts w:ascii="MS PGothic" w:cs="MS PGothic" w:eastAsia="MS PGothic" w:hAnsi="MS PGothic"/>
          <w:sz w:val="17"/>
          <w:szCs w:val="17"/>
          <w:color w:val="auto"/>
        </w:rPr>
        <w:t>‑</w:t>
      </w:r>
      <w:r>
        <w:rPr>
          <w:rFonts w:ascii="Arial" w:cs="Arial" w:eastAsia="Arial" w:hAnsi="Arial"/>
          <w:sz w:val="17"/>
          <w:szCs w:val="17"/>
          <w:color w:val="auto"/>
        </w:rPr>
        <w:t>risk myelofibrosis or uncontrolled polycythemia vera who are diagnosed with the disease and the number of such patients that may be treated with JAKAFI;</w:t>
      </w:r>
    </w:p>
    <w:p>
      <w:pPr>
        <w:spacing w:after="0" w:line="201" w:lineRule="exact"/>
        <w:rPr>
          <w:rFonts w:ascii="Arial" w:cs="Arial" w:eastAsia="Arial" w:hAnsi="Arial"/>
          <w:sz w:val="17"/>
          <w:szCs w:val="17"/>
          <w:color w:val="auto"/>
        </w:rPr>
      </w:pPr>
    </w:p>
    <w:p>
      <w:pPr>
        <w:ind w:left="980" w:hanging="32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acceptance of JAKAFI by patients and the healthcare community;</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physicians, patients and healthcare payors view JAKAFI as therapeutically effective and safe relative to cost and any alternative therapies;</w:t>
      </w:r>
    </w:p>
    <w:p>
      <w:pPr>
        <w:spacing w:after="0" w:line="170"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obtain and maintain sufficient coverage or reimbursement by third</w:t>
      </w:r>
      <w:r>
        <w:rPr>
          <w:rFonts w:ascii="MS PGothic" w:cs="MS PGothic" w:eastAsia="MS PGothic" w:hAnsi="MS PGothic"/>
          <w:sz w:val="18"/>
          <w:szCs w:val="18"/>
          <w:color w:val="auto"/>
        </w:rPr>
        <w:t>‑</w:t>
      </w:r>
      <w:r>
        <w:rPr>
          <w:rFonts w:ascii="Arial" w:cs="Arial" w:eastAsia="Arial" w:hAnsi="Arial"/>
          <w:sz w:val="18"/>
          <w:szCs w:val="18"/>
          <w:color w:val="auto"/>
        </w:rPr>
        <w:t>party payors;</w:t>
      </w:r>
    </w:p>
    <w:p>
      <w:pPr>
        <w:spacing w:after="0" w:line="225" w:lineRule="exact"/>
        <w:rPr>
          <w:rFonts w:ascii="Arial" w:cs="Arial" w:eastAsia="Arial" w:hAnsi="Arial"/>
          <w:sz w:val="18"/>
          <w:szCs w:val="18"/>
          <w:color w:val="auto"/>
        </w:rPr>
      </w:pPr>
    </w:p>
    <w:p>
      <w:pPr>
        <w:ind w:left="980" w:hanging="329"/>
        <w:spacing w:after="0" w:line="223" w:lineRule="exact"/>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to manufacture JAKAFI in sufficient quantities with acceptable quality;</w:t>
      </w:r>
    </w:p>
    <w:p>
      <w:pPr>
        <w:spacing w:after="0" w:line="203" w:lineRule="exact"/>
        <w:rPr>
          <w:rFonts w:ascii="Arial" w:cs="Arial" w:eastAsia="Arial" w:hAnsi="Arial"/>
          <w:sz w:val="18"/>
          <w:szCs w:val="18"/>
          <w:color w:val="auto"/>
        </w:rPr>
      </w:pPr>
    </w:p>
    <w:p>
      <w:pPr>
        <w:ind w:left="980" w:hanging="329"/>
        <w:spacing w:after="0" w:line="196" w:lineRule="exact"/>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ability of our company and our third</w:t>
      </w:r>
      <w:r>
        <w:rPr>
          <w:rFonts w:ascii="MS PGothic" w:cs="MS PGothic" w:eastAsia="MS PGothic" w:hAnsi="MS PGothic"/>
          <w:sz w:val="17"/>
          <w:szCs w:val="17"/>
          <w:color w:val="auto"/>
        </w:rPr>
        <w:t>‑</w:t>
      </w:r>
      <w:r>
        <w:rPr>
          <w:rFonts w:ascii="Arial" w:cs="Arial" w:eastAsia="Arial" w:hAnsi="Arial"/>
          <w:sz w:val="17"/>
          <w:szCs w:val="17"/>
          <w:color w:val="auto"/>
        </w:rPr>
        <w:t>party providers to provide marketing and distribution support for</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JAKAFI;</w:t>
      </w:r>
    </w:p>
    <w:p>
      <w:pPr>
        <w:spacing w:after="0" w:line="210" w:lineRule="exact"/>
        <w:rPr>
          <w:rFonts w:ascii="Arial" w:cs="Arial" w:eastAsia="Arial" w:hAnsi="Arial"/>
          <w:sz w:val="17"/>
          <w:szCs w:val="17"/>
          <w:color w:val="auto"/>
        </w:rPr>
      </w:pPr>
    </w:p>
    <w:p>
      <w:pPr>
        <w:ind w:left="980" w:hanging="32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maintenance of regulatory approval for the approved indications in the United States; and</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develop, obtain regulatory approval for and commercialize ruxolitinib in the United States for additional indications.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are not successful in commercializing JAKAFI in the United States, or are significantly delayed or limited in doing so, our business may be materially harmed and we may need to delay other drug discovery and development initiatives or even significantly curtail operations.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our receipt of royalties under our collaboration agreements with Novartis for sales of JAKAVI outside the United States and with Lilly for worldwide sales of OLUMIANT will depend on factors similar to those listed above for jurisdictions outside the United States.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obtain, or maintain at anticipated levels, reimbursement for our products from government health administration authorities, private health insurers and other organizations, our pricing may be affected or our product sales, results of operations or financial condition could be harmed.</w:t>
      </w:r>
    </w:p>
    <w:p>
      <w:pPr>
        <w:spacing w:after="0" w:line="181"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We may not be able to sell our products on a profitable basis or our profitability may be reduced if we are required to sell our products at lower than anticipated prices or reimbursement is unavailable or limited in scope or amount. JAKAFI and ICLUSIG are expensive and almost all patients will require some form of third-party coverage to afford their cost. Our future revenues and profitability will be adversely affected if we cannot depend on government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 to defray the cost of our products to the patient. Reimbursement systems in international markets vary significantly by country and by region, and reimbursement approvals must be obtained on a country-by-country basis. Reimbursement in the EU must be negotiated on a country-by-country basis and in many countries the product cannot be commercially launched until reimbursement is approved. The timing to complete the negotiation process in each country is highly uncertain, and in some countries, we expect that it may exceed 12 months. Risks related to pricing and reimbursement are described below under “—Other Risks Relating to our Business— Health care reform measures could impact the pricing and profitability of pharmaceuticals, and adversely affect the commercial viability of our products and drug candidates. Our ability to generate revenues will be diminished if we are unable to obtain an adequate level of reimbursement from private insurers, government insurance programs or other third-party payors of health care costs, which could be affected by current and potential healthcare reform legislation.” If government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 refuse to provide coverage and reimbursement with respect to our products, determine to provide a lower level of coverage and reimbursement than anticipated, or reduce previously approved levels of coverage and reimbursement, then our pricing or reimbursement for our products may be affected and our product sales, results of operations or financial condition could be harmed.</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depend upon a limited number of specialty pharmacies and wholesalers for a significant portion of any revenues from JAKAFI, and the loss of, or significant reduction in sales to, any one of these specialty pharmacies or wholesalers could adversely affect our operations and financial condition.</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sell JAKAFI primarily to specialty pharmacies and wholesalers. Specialty pharmacies dispense JAKAFI to patients in fulfillment of prescriptions and wholesalers sell JAKAFI to hospitals and physician offices. We do not promote JAKAFI to specialty pharmacies or wholesalers, and they do not set or determine demand for JAKAFI. Our ability to successfully commercialize JAKAFI will depend, in part, on the extent to which we are able to provide adequate distribution of JAKAFI to patients. Although we have contracted with a number of specialty pharmacies and wholesalers, they are expected generally to carry a very limited inventory and may be reluctant to be part of our distribution network in the future if demand for the product does not increase. Further, it is possible that these specialty pharmacies and wholesalers could decide to change their policies or fees, or both, at some time in the future. This could result in their refusal to carry smaller volume products such as JAKAFI, or lower margins or the need to find alternative methods of distributing our product. Although we believe we can find alternative channels to distribute JAKAFI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47"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6"/>
          <w:szCs w:val="16"/>
          <w:color w:val="auto"/>
        </w:rPr>
        <w:t>Prior to our commercialization of JAKAFI, we had no experience selling and marketing drug products and with pricing and obtaining adequate third</w:t>
      </w:r>
      <w:r>
        <w:rPr>
          <w:rFonts w:ascii="MS PGothic" w:cs="MS PGothic" w:eastAsia="MS PGothic" w:hAnsi="MS PGothic"/>
          <w:sz w:val="16"/>
          <w:szCs w:val="16"/>
          <w:color w:val="auto"/>
        </w:rPr>
        <w:t>‑</w:t>
      </w:r>
      <w:r>
        <w:rPr>
          <w:rFonts w:ascii="Arial" w:cs="Arial" w:eastAsia="Arial" w:hAnsi="Arial"/>
          <w:sz w:val="16"/>
          <w:szCs w:val="16"/>
          <w:color w:val="auto"/>
        </w:rPr>
        <w:t>party reimbursement for drug products. Under our collaboration and license agreement with Novartis, we have retained commercialization rights to JAKAFI in the United States. We have established commercial capabilities in the United States, but cannot guarantee that we will be able to enter into and maintain any marketing, distribution or third</w:t>
      </w:r>
      <w:r>
        <w:rPr>
          <w:rFonts w:ascii="MS PGothic" w:cs="MS PGothic" w:eastAsia="MS PGothic" w:hAnsi="MS PGothic"/>
          <w:sz w:val="16"/>
          <w:szCs w:val="16"/>
          <w:color w:val="auto"/>
        </w:rPr>
        <w:t>‑</w:t>
      </w:r>
      <w:r>
        <w:rPr>
          <w:rFonts w:ascii="Arial" w:cs="Arial" w:eastAsia="Arial" w:hAnsi="Arial"/>
          <w:sz w:val="16"/>
          <w:szCs w:val="16"/>
          <w:color w:val="auto"/>
        </w:rPr>
        <w:t>party logistics agreements with third</w:t>
      </w:r>
      <w:r>
        <w:rPr>
          <w:rFonts w:ascii="MS PGothic" w:cs="MS PGothic" w:eastAsia="MS PGothic" w:hAnsi="MS PGothic"/>
          <w:sz w:val="16"/>
          <w:szCs w:val="16"/>
          <w:color w:val="auto"/>
        </w:rPr>
        <w:t>‑</w:t>
      </w:r>
      <w:r>
        <w:rPr>
          <w:rFonts w:ascii="Arial" w:cs="Arial" w:eastAsia="Arial" w:hAnsi="Arial"/>
          <w:sz w:val="16"/>
          <w:szCs w:val="16"/>
          <w:color w:val="auto"/>
        </w:rPr>
        <w:t>party providers on acceptable terms, if at all. In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connection with our June 2016 acquisition from ARIAD Pharmaceuticals, Inc. we licensed rights to develop and commercialize ICLUSIG in certain countries and we acquired the European sales, marketing and distribution operations of ARIAD. We may not be able to maintain those operations or retain their personnel or distribution arrangements. We may not be able to correctly judge the size and experience of the sales and marketing force and the scale of distribution capabilities necessary to successfully market and sell our products. Establishing and maintaining sales, marketing and distribution capabilities are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Competition for personnel with experience in sales and marketing can be high. Our expenses associated with building and maintaining the sales force and distribution capabilities may be disproportional compared to the revenues we may be able to generate on sales of our products.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applicable laws and regulations, we could lose our approval to market our products or be subject to other governmental enforcement activity.</w:t>
      </w:r>
    </w:p>
    <w:p>
      <w:pPr>
        <w:spacing w:after="0" w:line="170"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We cannot guarantee that we will be able to maintain regulatory approval to market our products in the jurisdictions in which they are currently marketed. If we do not maintain our regulatory approval to market our products, in particular JAKAFI, our results of operations will be materially harmed. We and our collaborators,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labeling, advertising, promotion, risk mitigation, and adverse event reporting requirements.</w:t>
      </w:r>
    </w:p>
    <w:p>
      <w:pPr>
        <w:spacing w:after="0" w:line="207"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The commercialization of our products is subject to post</w:t>
      </w:r>
      <w:r>
        <w:rPr>
          <w:rFonts w:ascii="MS PGothic" w:cs="MS PGothic" w:eastAsia="MS PGothic" w:hAnsi="MS PGothic"/>
          <w:sz w:val="16"/>
          <w:szCs w:val="16"/>
          <w:color w:val="auto"/>
        </w:rPr>
        <w:t>‑</w:t>
      </w:r>
      <w:r>
        <w:rPr>
          <w:rFonts w:ascii="Arial" w:cs="Arial" w:eastAsia="Arial" w:hAnsi="Arial"/>
          <w:sz w:val="16"/>
          <w:szCs w:val="16"/>
          <w:color w:val="auto"/>
        </w:rPr>
        <w: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or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Failure to comply with the laws and regulations administered by the FDA or other agencies could result in:</w:t>
      </w:r>
    </w:p>
    <w:p>
      <w:pPr>
        <w:spacing w:after="0" w:line="225" w:lineRule="exact"/>
        <w:rPr>
          <w:sz w:val="20"/>
          <w:szCs w:val="20"/>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administrative and judicial sanctions, including warning letters;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fines and other civil penalties;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suspension or withdrawal of regulatory approval to market our products;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interruption of production;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recall or seizure;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occurrence of any such event may have a material adverse effect on our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testing of JAKAFI and ICLUSIG, the manufacturing, marketing and sale of JAKAFI and the marketing and sale of ICLUSIG expose us to product liability and other risks. Side effects and other problems experienced by patients from the use of our products could:</w:t>
      </w:r>
    </w:p>
    <w:p>
      <w:pPr>
        <w:spacing w:after="0" w:line="181" w:lineRule="exact"/>
        <w:rPr>
          <w:sz w:val="20"/>
          <w:szCs w:val="20"/>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lessen the frequency with which physicians decide to prescribe our products;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encourage physicians to stop prescribing our products to their patients who previously had been prescribed our products;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cause serious harm to patients that may give rise to product liability claims against us;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result in our need to withdraw or recall our products from the marketplace.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our products are used by a wide patient population, new risks and side effects may be discovered, the rate of known risks or side effects may increase, and risks previously viewed as less significant could be determined to be significant.</w:t>
      </w:r>
    </w:p>
    <w:p>
      <w:pPr>
        <w:spacing w:after="0" w:line="181"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Previously unknown risks and adverse effects of our products may also be discovered in connection with unapproved, or off</w:t>
      </w:r>
      <w:r>
        <w:rPr>
          <w:rFonts w:ascii="MS PGothic" w:cs="MS PGothic" w:eastAsia="MS PGothic" w:hAnsi="MS PGothic"/>
          <w:sz w:val="16"/>
          <w:szCs w:val="16"/>
          <w:color w:val="auto"/>
        </w:rPr>
        <w:t>‑</w:t>
      </w:r>
      <w:r>
        <w:rPr>
          <w:rFonts w:ascii="Arial" w:cs="Arial" w:eastAsia="Arial" w:hAnsi="Arial"/>
          <w:sz w:val="16"/>
          <w:szCs w:val="16"/>
          <w:color w:val="auto"/>
        </w:rPr>
        <w:t>label, uses of our products. We are prohibited by law from promoting or in any way supporting or encouraging the promotion of our products for off</w:t>
      </w:r>
      <w:r>
        <w:rPr>
          <w:rFonts w:ascii="MS PGothic" w:cs="MS PGothic" w:eastAsia="MS PGothic" w:hAnsi="MS PGothic"/>
          <w:sz w:val="16"/>
          <w:szCs w:val="16"/>
          <w:color w:val="auto"/>
        </w:rPr>
        <w:t>‑</w:t>
      </w:r>
      <w:r>
        <w:rPr>
          <w:rFonts w:ascii="Arial" w:cs="Arial" w:eastAsia="Arial" w:hAnsi="Arial"/>
          <w:sz w:val="16"/>
          <w:szCs w:val="16"/>
          <w:color w:val="auto"/>
        </w:rPr>
        <w:t>label uses, but physicians are permitted to use products for off</w:t>
      </w:r>
      <w:r>
        <w:rPr>
          <w:rFonts w:ascii="MS PGothic" w:cs="MS PGothic" w:eastAsia="MS PGothic" w:hAnsi="MS PGothic"/>
          <w:sz w:val="16"/>
          <w:szCs w:val="16"/>
          <w:color w:val="auto"/>
        </w:rPr>
        <w:t>‑</w:t>
      </w:r>
      <w:r>
        <w:rPr>
          <w:rFonts w:ascii="Arial" w:cs="Arial" w:eastAsia="Arial" w:hAnsi="Arial"/>
          <w:sz w:val="16"/>
          <w:szCs w:val="16"/>
          <w:color w:val="auto"/>
        </w:rPr>
        <w:t>label purposes. In addition, we are studying and expect to continue to study JAKAFI in diseases for potential additional indications in controlled clinical settings, and independent investigators are doing so as well. In the event of any new risks or adverse effects discovered as new patients are treated for intermediate or high</w:t>
      </w:r>
      <w:r>
        <w:rPr>
          <w:rFonts w:ascii="MS PGothic" w:cs="MS PGothic" w:eastAsia="MS PGothic" w:hAnsi="MS PGothic"/>
          <w:sz w:val="16"/>
          <w:szCs w:val="16"/>
          <w:color w:val="auto"/>
        </w:rPr>
        <w:t>‑</w:t>
      </w:r>
      <w:r>
        <w:rPr>
          <w:rFonts w:ascii="Arial" w:cs="Arial" w:eastAsia="Arial" w:hAnsi="Arial"/>
          <w:sz w:val="16"/>
          <w:szCs w:val="16"/>
          <w:color w:val="auto"/>
        </w:rPr>
        <w:t>risk myelofibrosis or uncontrolled polycythemia vera and as JAKAFI is studied in or used by patients for off</w:t>
      </w:r>
      <w:r>
        <w:rPr>
          <w:rFonts w:ascii="MS PGothic" w:cs="MS PGothic" w:eastAsia="MS PGothic" w:hAnsi="MS PGothic"/>
          <w:sz w:val="16"/>
          <w:szCs w:val="16"/>
          <w:color w:val="auto"/>
        </w:rPr>
        <w:t>‑</w:t>
      </w:r>
      <w:r>
        <w:rPr>
          <w:rFonts w:ascii="Arial" w:cs="Arial" w:eastAsia="Arial" w:hAnsi="Arial"/>
          <w:sz w:val="16"/>
          <w:szCs w:val="16"/>
          <w:color w:val="auto"/>
        </w:rPr>
        <w:t>label indications, regulatory authorities may delay or revoke their approvals, we may be required to conduct additional clinical trials, make changes in labeling of JAKAFI, reformulate JAKAFI or make changes and obtain new approvals. We may also experience a significant drop in the sales of JAKAFI, experience harm to our reputation and the reputation of JAKAFI in the marketplace or become subject to lawsuits, including class actions. Any of these results could decrease or prevent sales of JAKAFI or substantially increase the costs and expenses of commercializing JAKAFI. Similar results could occur with respect to our commercialization of ICLUSIG.</w:t>
      </w:r>
    </w:p>
    <w:p>
      <w:pPr>
        <w:spacing w:after="0" w:line="206"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Patients who have been enrolled in our clinical trials or who may use our products in the future often have severe and advanced stages of disease and known as well as unknown significant pre</w:t>
      </w:r>
      <w:r>
        <w:rPr>
          <w:rFonts w:ascii="MS PGothic" w:cs="MS PGothic" w:eastAsia="MS PGothic" w:hAnsi="MS PGothic"/>
          <w:sz w:val="16"/>
          <w:szCs w:val="16"/>
          <w:color w:val="auto"/>
        </w:rPr>
        <w:t>‑</w:t>
      </w:r>
      <w:r>
        <w:rPr>
          <w:rFonts w:ascii="Arial" w:cs="Arial" w:eastAsia="Arial" w:hAnsi="Arial"/>
          <w:sz w:val="16"/>
          <w:szCs w:val="16"/>
          <w:color w:val="auto"/>
        </w:rPr>
        <w:t>existing and potentially life</w:t>
      </w:r>
      <w:r>
        <w:rPr>
          <w:rFonts w:ascii="MS PGothic" w:cs="MS PGothic" w:eastAsia="MS PGothic" w:hAnsi="MS PGothic"/>
          <w:sz w:val="16"/>
          <w:szCs w:val="16"/>
          <w:color w:val="auto"/>
        </w:rPr>
        <w:t>‑</w:t>
      </w:r>
      <w:r>
        <w:rPr>
          <w:rFonts w:ascii="Arial" w:cs="Arial" w:eastAsia="Arial" w:hAnsi="Arial"/>
          <w:sz w:val="16"/>
          <w:szCs w:val="16"/>
          <w:color w:val="auto"/>
        </w:rPr>
        <w:t>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Factors similar to those listed above also apply to our collaboration partner Novartis and to ICLUSIG for jurisdictions outside the United States.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market our products in a manner that violates various laws and regulations, we may be subject to civil or criminal penalties.</w:t>
      </w:r>
    </w:p>
    <w:p>
      <w:pPr>
        <w:spacing w:after="0" w:line="170"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7"/>
          <w:szCs w:val="17"/>
          <w:color w:val="auto"/>
        </w:rPr>
        <w:t>In addition to FDA and related regulatory requirements, we are subject to health care “fraud and abuse” laws, such as the federal False Claims Act, the anti</w:t>
      </w:r>
      <w:r>
        <w:rPr>
          <w:rFonts w:ascii="MS PGothic" w:cs="MS PGothic" w:eastAsia="MS PGothic" w:hAnsi="MS PGothic"/>
          <w:sz w:val="17"/>
          <w:szCs w:val="17"/>
          <w:color w:val="auto"/>
        </w:rPr>
        <w:t>‑</w:t>
      </w:r>
      <w:r>
        <w:rPr>
          <w:rFonts w:ascii="Arial" w:cs="Arial" w:eastAsia="Arial" w:hAnsi="Arial"/>
          <w:sz w:val="17"/>
          <w:szCs w:val="17"/>
          <w:color w:val="auto"/>
        </w:rPr>
        <w:t>kickback provisions of the federal Social Security Act, and other state and federal laws and regulations. Federal and state anti</w:t>
      </w:r>
      <w:r>
        <w:rPr>
          <w:rFonts w:ascii="MS PGothic" w:cs="MS PGothic" w:eastAsia="MS PGothic" w:hAnsi="MS PGothic"/>
          <w:sz w:val="17"/>
          <w:szCs w:val="17"/>
          <w:color w:val="auto"/>
        </w:rPr>
        <w:t>‑</w:t>
      </w:r>
      <w:r>
        <w:rPr>
          <w:rFonts w:ascii="Arial" w:cs="Arial" w:eastAsia="Arial" w:hAnsi="Arial"/>
          <w:sz w:val="17"/>
          <w:szCs w:val="17"/>
          <w:color w:val="auto"/>
        </w:rPr>
        <w:t>kickback laws prohibit, among other things, knowingly and willfully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offering, paying, soliciting or receiving remuneration to induce, or in return for purchasing, leasing, ordering or arranging for the purchase, lease or order of any health care item or service reimbursable under Medicare, Medicaid, or other federally</w:t>
      </w:r>
      <w:r>
        <w:rPr>
          <w:rFonts w:ascii="MS PGothic" w:cs="MS PGothic" w:eastAsia="MS PGothic" w:hAnsi="MS PGothic"/>
          <w:sz w:val="18"/>
          <w:szCs w:val="18"/>
          <w:color w:val="auto"/>
        </w:rPr>
        <w:t>‑</w:t>
      </w:r>
      <w:r>
        <w:rPr>
          <w:rFonts w:ascii="Arial" w:cs="Arial" w:eastAsia="Arial" w:hAnsi="Arial"/>
          <w:sz w:val="18"/>
          <w:szCs w:val="18"/>
          <w:color w:val="auto"/>
        </w:rPr>
        <w:t xml:space="preserve"> or state</w:t>
      </w:r>
      <w:r>
        <w:rPr>
          <w:rFonts w:ascii="MS PGothic" w:cs="MS PGothic" w:eastAsia="MS PGothic" w:hAnsi="MS PGothic"/>
          <w:sz w:val="18"/>
          <w:szCs w:val="18"/>
          <w:color w:val="auto"/>
        </w:rPr>
        <w:t>‑</w:t>
      </w:r>
      <w:r>
        <w:rPr>
          <w:rFonts w:ascii="Arial" w:cs="Arial" w:eastAsia="Arial" w:hAnsi="Arial"/>
          <w:sz w:val="18"/>
          <w:szCs w:val="18"/>
          <w:color w:val="auto"/>
        </w:rPr>
        <w:t>financed health 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spacing w:after="0" w:line="203"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7"/>
          <w:szCs w:val="17"/>
          <w:color w:val="auto"/>
        </w:rPr>
        <w:t>Although physicians are permitted, based on their medical judgment, to prescribe products for indications other than those approved by the FDA, manufacturers are prohibited from promoting their products for such off</w:t>
      </w:r>
      <w:r>
        <w:rPr>
          <w:rFonts w:ascii="MS PGothic" w:cs="MS PGothic" w:eastAsia="MS PGothic" w:hAnsi="MS PGothic"/>
          <w:sz w:val="17"/>
          <w:szCs w:val="17"/>
          <w:color w:val="auto"/>
        </w:rPr>
        <w:t>‑</w:t>
      </w:r>
      <w:r>
        <w:rPr>
          <w:rFonts w:ascii="Arial" w:cs="Arial" w:eastAsia="Arial" w:hAnsi="Arial"/>
          <w:sz w:val="17"/>
          <w:szCs w:val="17"/>
          <w:color w:val="auto"/>
        </w:rPr>
        <w:t>label uses. We market JAKAFI for intermediate or high</w:t>
      </w:r>
      <w:r>
        <w:rPr>
          <w:rFonts w:ascii="MS PGothic" w:cs="MS PGothic" w:eastAsia="MS PGothic" w:hAnsi="MS PGothic"/>
          <w:sz w:val="17"/>
          <w:szCs w:val="17"/>
          <w:color w:val="auto"/>
        </w:rPr>
        <w:t>‑</w:t>
      </w:r>
      <w:r>
        <w:rPr>
          <w:rFonts w:ascii="Arial" w:cs="Arial" w:eastAsia="Arial" w:hAnsi="Arial"/>
          <w:sz w:val="17"/>
          <w:szCs w:val="17"/>
          <w:color w:val="auto"/>
        </w:rPr>
        <w:t>risk myelofibrosis and uncontrolled polycythemia vera and provide promotional materials to physicians regarding the use of JAKAFI for these indications. Although we believe that our promotional materials for physicians do not constitute off</w:t>
      </w:r>
      <w:r>
        <w:rPr>
          <w:rFonts w:ascii="MS PGothic" w:cs="MS PGothic" w:eastAsia="MS PGothic" w:hAnsi="MS PGothic"/>
          <w:sz w:val="17"/>
          <w:szCs w:val="17"/>
          <w:color w:val="auto"/>
        </w:rPr>
        <w:t>‑</w:t>
      </w:r>
      <w:r>
        <w:rPr>
          <w:rFonts w:ascii="Arial" w:cs="Arial" w:eastAsia="Arial" w:hAnsi="Arial"/>
          <w:sz w:val="17"/>
          <w:szCs w:val="17"/>
          <w:color w:val="auto"/>
        </w:rPr>
        <w:t>label promotion of JAKAFI, the FDA or other agencies may disagree. If the FDA or another agency determines that our promotional materials or other activities constitute off</w:t>
      </w:r>
      <w:r>
        <w:rPr>
          <w:rFonts w:ascii="MS PGothic" w:cs="MS PGothic" w:eastAsia="MS PGothic" w:hAnsi="MS PGothic"/>
          <w:sz w:val="17"/>
          <w:szCs w:val="17"/>
          <w:color w:val="auto"/>
        </w:rPr>
        <w:t>‑</w:t>
      </w:r>
      <w:r>
        <w:rPr>
          <w:rFonts w:ascii="Arial" w:cs="Arial" w:eastAsia="Arial" w:hAnsi="Arial"/>
          <w:sz w:val="17"/>
          <w:szCs w:val="17"/>
          <w:color w:val="auto"/>
        </w:rPr>
        <w:t>label promotion of JAKAFI,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w:t>
      </w:r>
    </w:p>
    <w:p>
      <w:pPr>
        <w:spacing w:after="0" w:line="20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European Union and member countries impose similar strict restrictions on the promotion and marketing of drug products. The off-label promotion of medicinal products is prohibited in the EU and in other territories.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spacing w:after="0" w:line="188"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The majority of states also have statutes or regulations similar to the federal anti</w:t>
      </w:r>
      <w:r>
        <w:rPr>
          <w:rFonts w:ascii="MS PGothic" w:cs="MS PGothic" w:eastAsia="MS PGothic" w:hAnsi="MS PGothic"/>
          <w:sz w:val="16"/>
          <w:szCs w:val="16"/>
          <w:color w:val="auto"/>
        </w:rPr>
        <w:t>‑</w:t>
      </w:r>
      <w:r>
        <w:rPr>
          <w:rFonts w:ascii="Arial" w:cs="Arial" w:eastAsia="Arial" w:hAnsi="Arial"/>
          <w:sz w:val="16"/>
          <w:szCs w:val="16"/>
          <w:color w:val="auto"/>
        </w:rPr>
        <w:t>kickback law and false claims laws, which apply to items and services reimbursed under Medicaid and other state programs, or, in several states, apply regardless of the payor. In recent years, several states and localities, including California, Connecticut, the District of Columbia, Massachusetts, Minnesota, Nevada, New Mexico, Texas, Vermont, and West Virginia, have enacted legislation requiring pharmaceutical companies to establish marketing compliance programs, file periodic reports with the state or make periodic public disclosures on sales, marketing, pricing, clinical trials, and other activities. Similar legislation is being considered in other states. Additionally, as part of the Patient Protection and Affordable Care Act, the federal government has enacted the Physician Payment Sunshine provisions. The Sunshine provisions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and could receive adverse publicity. See also “—Other Risks Relating to our Business—If we fail to comply with the extensive legal and regulatory requirements affecting the health care industry, we could face increased costs, penalties and a loss of business” below.</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our products could harm our business and result in a decrease in our revenue.</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Present and potential competitors for JAKAFI could include major pharmaceutical and biotechnology companies, as well as specialty pharmaceutical firms. For example, in February 2018, Celgene Corporation acquired Impact Biomedicines, which was developing fedratinib, a drug candidate for the treatment of myelofibrosis and polycythemia vera. See “—Other Risks Relating to our Business— We face significant competition for our drug discovery and development efforts, and if we do not compete effectively, our commercial opportunities will be reduced or eliminated” for a description of risks relating to this type of competition. In addition, JAKAFI could face competition from generic products. As a result of the Drug Price Competition and Patent Term Restoration Act of 1984, commonly known as the Hatch-Waxman Act, in the United States, generic manufacturers may seek approval of a generic version of an innovative pharmaceutical by filing with the FDA an Abbreviated New Drug Application, or ANDA. The Hatch-Waxman Act provides significant incentives to generic manufacturers to challenge U.S. patents on successful innovative pharmaceutical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products. In February 2016, we received a notice letter regarding an ANDA that requested approval to market a generic version of JAKAFI and purported to challenge patents covering ruxolitinib phosphate and its use that expire in 2028. The notice letter does not challenge the ruxolitinib composition of matter patent, which expires in December 2027. To date, to our knowledge, the FDA has taken no action with respect to this ANDA. Separately, in January 2018 the Patent Trial and Appeal Board of United States Patent and Trademark Office denied a petition challenging our patent covering deuterated ruxolitinib analogs, although the challenging party retains the right to challenge the validity of the patent in federal court. There can be no assurance that our patents will be upheld or that any litigation in which we might engage with any such generic manufacturer would be successful in protecting JAKAFI’s exclusivity. The entry of a generic version of JAKAFI could result in a decrease in JAKAFI sales and materially harm our business, operating results and financial condition.</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ICLUSIG currently competes with existing therapies that are approved for the treatment of patients with chronic myeloid leukemia, or CML, who are resistant or intolerant to prior tyrosine kinase inhibitor, or TKI, therapies, on the basis of, among other things, efficacy, cost, breadth of approved use and the safety and side-effect profile. In addition, a generic version of imatinib was launched in the United States in February 2016, and generic versions are expected to be launched in other markets. Although we currently believe that generic versions of imatinib will not materially impact our commercialization of ICLUSIG, given ICLUSIG’s various indication statements globally that are currently focused on resistant or intolerant CML, we cannot be certain how physicians, payors, patients, regulatory authorities and other market participants will respond to the availability of generic versions of imatinib.</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RISKS RELATING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unsuccessful in our efforts to discover and develop drug candidates and commercialize drug products.</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 of our drug candidates, other than JAKAFI/JAKAVI, has received regulatory approval. Our ability to discover and develop drug candidates and to commercialize additional drug products will depend on our ability to:</w:t>
      </w:r>
    </w:p>
    <w:p>
      <w:pPr>
        <w:spacing w:after="0" w:line="170" w:lineRule="exact"/>
        <w:rPr>
          <w:sz w:val="20"/>
          <w:szCs w:val="20"/>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hire and retain key employees;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identify high quality therapeutic targets;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identify potential drug candidates;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 products internally or license drug candidates from others;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identify and enroll suitable human subjects, either in the United States or abroad, for our clinical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complete laboratory testing;</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commence, conduct and complete safe and effective clinical trials on humans;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and maintain necessary intellectual property rights to our products;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obtain and maintain necessary regulatory approvals for our products, both in the United States and abroad;</w:t>
      </w:r>
    </w:p>
    <w:p>
      <w:pPr>
        <w:spacing w:after="0" w:line="236" w:lineRule="exact"/>
        <w:rPr>
          <w:rFonts w:ascii="Arial" w:cs="Arial" w:eastAsia="Arial" w:hAnsi="Arial"/>
          <w:sz w:val="17"/>
          <w:szCs w:val="17"/>
          <w:color w:val="auto"/>
        </w:rPr>
      </w:pPr>
    </w:p>
    <w:p>
      <w:pPr>
        <w:ind w:left="980" w:hanging="329"/>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enter into arrangements with third parties to provide services or to manufacture our products on our behalf;</w:t>
      </w:r>
    </w:p>
    <w:p>
      <w:pPr>
        <w:spacing w:after="0" w:line="236" w:lineRule="exact"/>
        <w:rPr>
          <w:rFonts w:ascii="Arial" w:cs="Arial" w:eastAsia="Arial" w:hAnsi="Arial"/>
          <w:sz w:val="17"/>
          <w:szCs w:val="17"/>
          <w:color w:val="auto"/>
        </w:rPr>
      </w:pPr>
    </w:p>
    <w:p>
      <w:pPr>
        <w:ind w:left="980" w:hanging="329"/>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deploy sales and marketing resources effectively or enter into arrangements with third parties to provide these functions in compliance with all applicable laws;</w:t>
      </w:r>
    </w:p>
    <w:p>
      <w:pPr>
        <w:spacing w:after="0" w:line="170" w:lineRule="exact"/>
        <w:rPr>
          <w:rFonts w:ascii="Arial" w:cs="Arial" w:eastAsia="Arial" w:hAnsi="Arial"/>
          <w:sz w:val="18"/>
          <w:szCs w:val="18"/>
          <w:color w:val="auto"/>
        </w:rPr>
      </w:pPr>
    </w:p>
    <w:p>
      <w:pPr>
        <w:ind w:left="980" w:hanging="329"/>
        <w:spacing w:after="0" w:line="223" w:lineRule="exact"/>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appropriate coverage and reimbursement levels for the cost of our products from governmental authorities, private health insurers and other third</w:t>
      </w:r>
      <w:r>
        <w:rPr>
          <w:rFonts w:ascii="MS PGothic" w:cs="MS PGothic" w:eastAsia="MS PGothic" w:hAnsi="MS PGothic"/>
          <w:sz w:val="18"/>
          <w:szCs w:val="18"/>
          <w:color w:val="auto"/>
        </w:rPr>
        <w:t>‑</w:t>
      </w:r>
      <w:r>
        <w:rPr>
          <w:rFonts w:ascii="Arial" w:cs="Arial" w:eastAsia="Arial" w:hAnsi="Arial"/>
          <w:sz w:val="18"/>
          <w:szCs w:val="18"/>
          <w:color w:val="auto"/>
        </w:rPr>
        <w:t>party payors;</w:t>
      </w:r>
    </w:p>
    <w:p>
      <w:pPr>
        <w:spacing w:after="0" w:line="203"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lease facilities at reasonable rates to support our growth;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enter into arrangements with third parties to license and commercialize our products.</w:t>
      </w:r>
    </w:p>
    <w:p>
      <w:pPr>
        <w:spacing w:after="0" w:line="225"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color w:val="auto"/>
        </w:rPr>
        <w:t>We have limited experience with many of the activities listed above and may not be successful in discovering, developing, or commercializing additional drug products. Discovery and development of drug candidates are expensive, uncertain and time</w:t>
      </w:r>
      <w:r>
        <w:rPr>
          <w:rFonts w:ascii="MS PGothic" w:cs="MS PGothic" w:eastAsia="MS PGothic" w:hAnsi="MS PGothic"/>
          <w:sz w:val="17"/>
          <w:szCs w:val="17"/>
          <w:color w:val="auto"/>
        </w:rPr>
        <w:t>‑</w:t>
      </w:r>
      <w:r>
        <w:rPr>
          <w:rFonts w:ascii="Arial" w:cs="Arial" w:eastAsia="Arial" w:hAnsi="Arial"/>
          <w:sz w:val="17"/>
          <w:szCs w:val="17"/>
          <w:color w:val="auto"/>
        </w:rPr>
        <w:t>consuming, and we do not know if our efforts will lead to discovery of any drug candidates that can be successfully developed and marketed. Of the compounds or biologics that we identify as potential drug products or that we may in</w:t>
      </w:r>
      <w:r>
        <w:rPr>
          <w:rFonts w:ascii="MS PGothic" w:cs="MS PGothic" w:eastAsia="MS PGothic" w:hAnsi="MS PGothic"/>
          <w:sz w:val="17"/>
          <w:szCs w:val="17"/>
          <w:color w:val="auto"/>
        </w:rPr>
        <w:t>‑</w:t>
      </w:r>
      <w:r>
        <w:rPr>
          <w:rFonts w:ascii="Arial" w:cs="Arial" w:eastAsia="Arial" w:hAnsi="Arial"/>
          <w:sz w:val="17"/>
          <w:szCs w:val="17"/>
          <w:color w:val="auto"/>
        </w:rPr>
        <w:t>license from other companies, including potential products for which we are conducting clinical trials, only a few, if any, are likely to lead to successful drug development programs and commercialized drug products.</w:t>
      </w:r>
    </w:p>
    <w:p>
      <w:pPr>
        <w:spacing w:after="0" w:line="2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depend heavily on the success of our most advanced drug candidates. We might not be able to commercialize any of our drug candidates successfully, and we may spend significant time and money attempting to do so.</w:t>
      </w:r>
    </w:p>
    <w:p>
      <w:pPr>
        <w:spacing w:after="0" w:line="12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invested significant resources in the development of our most advanced drug candidates. Ruxolitinib is in Phase III clinical trials for the treatment of patients with steroid-refractory graft-versus-host disease and is in other clinical trials. Itacitinib is in a Phase III clinical trial for the treatment of patients with acute graft-versus-host disease. Further, we have a number of drug candidates in Phase I and Phase II clinical trials. Our ability to generate product revenues will depend on the successful development and eventual commercialization of our most advanced drug candidates. We, or our collaborators or licensees, may decide to discontinue development of any or all of our drug candidates at any time for commercial, scientific or other reasons. For example: in early 2016, we decided to discontinue the clinical trials of ruxolitinib in pancreatic cancer and solid tumors and itacitinib in pancreatic cancer; and, in April 2018, we along with Merck stopped the ECHO-301 study with epacadostat, and we also significantly downsized the epacadostat development program. If a product is developed but not approved or marketed, we may have spent significant amounts of time and money on it, which could adversely affect our operating results and financial condition as well as our business plans.</w:t>
      </w:r>
    </w:p>
    <w:p>
      <w:pPr>
        <w:spacing w:after="0" w:line="173"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If we or our collaborators are unable to obtain regulatory approval for our drug candidates in the United States and foreign jurisdictions, we or our collaborators will not be permitted to commercialize products resulting from our research.</w:t>
      </w:r>
    </w:p>
    <w:p>
      <w:pPr>
        <w:spacing w:after="0" w:line="10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compounds currently in clinical trials. If regulatory approval of a product is granted, this approval will be limited to those disease states and conditions for which the product is demonstrated through clinical trials to be safe and effective.</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drug candidates may be stopped, due to many potential factors, including:</w:t>
      </w:r>
    </w:p>
    <w:p>
      <w:pPr>
        <w:spacing w:after="0" w:line="189" w:lineRule="exact"/>
        <w:rPr>
          <w:sz w:val="20"/>
          <w:szCs w:val="20"/>
          <w:color w:val="auto"/>
        </w:rPr>
      </w:pPr>
    </w:p>
    <w:p>
      <w:pPr>
        <w:ind w:left="980" w:hanging="329"/>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high degree of risk and uncertainty associated with drug development;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formulate or manufacture sufficient quantities of materials for use in clinical trials;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variability in the number and types of patients available for each study;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unforeseen safety issues or side effects;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poor or unanticipated effectiveness of drug candidates during the clinical trials; or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government or regulatory delays.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For example, the FDA has in the past required, and could in the future require, that we or our collaborators conduct additional trials of any of our drug candidates, which would result in delays. In April 2017, we and our collaborator Lilly announced that the FDA had issued a complete response letter for the New Drug Application, or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w:t>
      </w:r>
    </w:p>
    <w:p>
      <w:pPr>
        <w:spacing w:after="0" w:line="17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Compounds or biologics developed by us or with or by our collaborators and licensees may not prove to be safe and effective in clinical trials and may not meet all of the applicable regulatory requirements needed to receive marketing approval. For example, in January 2016, a Phase II trial that was evaluating ruxolitinib in combination with regorafenib in patients with relapsed or refractory metastatic colorectal cancer and high C-reactive protein was stopped early after a planned analysis of interim efficacy data determined that the likelihood of the trial meeting its efficacy endpoint was insufficient. In addition, in February 2016, we made a decision to discontinue our JANUS 1 study, our JANUS 2 study, our other studies of ruxolitinib in colorectal, breast and lung cancer, and our study of INCB39110 in pancreatic cancer after a planned analysis of interim efficacy data of JANUS 1 demonstrated that ruxolitinib plus capecitabine did not show a sufficient level of efficacy to warrant continuation. Also, in April 2018, we along with Merck announced that the ECHO-301 study had been stopped and we also significantly downsized the epacadostat development program. If clinical trials of any of our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spacing w:after="0" w:line="178"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b w:val="1"/>
          <w:bCs w:val="1"/>
          <w:i w:val="1"/>
          <w:iCs w:val="1"/>
          <w:color w:val="auto"/>
        </w:rPr>
        <w:t>Health care reform measures could impact the pricing and profitability of pharmaceuticals, and adversely affect the commercial viability of our products and drug candidates. Our ability to generate revenues will be diminished if we are unable to obtain an adequate level of reimbursement from private insurers, government insurance programs or other third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party payors of health care costs, which could be affected by current and potential healthcare reform legislation.</w:t>
      </w:r>
    </w:p>
    <w:p>
      <w:pPr>
        <w:spacing w:after="0" w:line="203"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Our ability to commercialize our current and any future approved products successfully will depend in part on the extent to which adequate reimbursement levels for the cost of our products and related treatment are obtained from third</w:t>
      </w:r>
      <w:r>
        <w:rPr>
          <w:rFonts w:ascii="MS PGothic" w:cs="MS PGothic" w:eastAsia="MS PGothic" w:hAnsi="MS PGothic"/>
          <w:sz w:val="18"/>
          <w:szCs w:val="18"/>
          <w:color w:val="auto"/>
        </w:rPr>
        <w:t>‑</w:t>
      </w:r>
      <w:r>
        <w:rPr>
          <w:rFonts w:ascii="Arial" w:cs="Arial" w:eastAsia="Arial" w:hAnsi="Arial"/>
          <w:sz w:val="18"/>
          <w:szCs w:val="18"/>
          <w:color w:val="auto"/>
        </w:rPr>
        <w:t>party payors, such as private insurers, government insurance programs, including Medicare and Medicaid, health maintenance organizations (HMOs) and other health care related organizations.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recent years, through legislative and regulatory actions, the federal government has made substantial changes to various payment systems under the Medicare and other federal health care programs. Comprehensive reforms to the U.S. healthcare system were enacted, including changes to the methods for, and amounts of, Medicare reimbursement. While there is currently significant uncertainty regarding the implementation of some of these reforms or the scope of amended or additional reforms, the implementation of reforms could significantly reduce payments from Medicare and Medicaid. Reforms or other changes to these payment systems, may change the availability, methods and rates of reimbursements from Medicare, private insurers and other third-party payors for our current and any future approved products. Some of these changes and proposed changes could result in reduced reimbursement rates or in eliminating dual sources of payment, which could reduce the price that we or any of our collaborators or licensees receive for any products in the future, and which would adversely affect our business strategy, operations and financial results. Further federal and state proposals to regulate prices of pharmaceutical products and other health care reforms are possible, which could limit the prices that can be charged for any of our products and may further limit the commercial viability of our products and drug candidates. In certain foreign markets, pricing or profitability of prescription pharmaceuticals is subject to government control. If reimbursement for our products is unavailable or limited in scope or amount, or if pricing is set at unsatisfactory levels, our business could be materially harmed. There may be future changes that result in reductions in current coverage and reimbursement levels for our current or any future approved products, and we cannot predict the scope of any future changes or the impact that those changes would have on our operations.</w:t>
      </w:r>
    </w:p>
    <w:p>
      <w:pPr>
        <w:spacing w:after="0" w:line="175"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Third</w:t>
      </w:r>
      <w:r>
        <w:rPr>
          <w:rFonts w:ascii="MS PGothic" w:cs="MS PGothic" w:eastAsia="MS PGothic" w:hAnsi="MS PGothic"/>
          <w:sz w:val="16"/>
          <w:szCs w:val="16"/>
          <w:color w:val="auto"/>
        </w:rPr>
        <w:t>‑</w:t>
      </w:r>
      <w:r>
        <w:rPr>
          <w:rFonts w:ascii="Arial" w:cs="Arial" w:eastAsia="Arial" w:hAnsi="Arial"/>
          <w:sz w:val="16"/>
          <w:szCs w:val="16"/>
          <w:color w:val="auto"/>
        </w:rPr>
        <w:t>party payors are increasingly challenging the prices charged for medical products and services. Also, the trend toward managed health care in the United States, the organizations for which could control or significantly influence the purchase of health care services and products, as well as legislative and regulatory proposals to reform health care or reduce government insurance programs, may all result in lower prices for or rejection of our products. Adoption of our products by the medical community may be limited without adequate reimbursement for those products. Cost control initiatives may decrease coverage and payment levels for our products and, in turn, the price that we will be able to charge for any product. Our products may not be considered cost</w:t>
      </w:r>
      <w:r>
        <w:rPr>
          <w:rFonts w:ascii="MS PGothic" w:cs="MS PGothic" w:eastAsia="MS PGothic" w:hAnsi="MS PGothic"/>
          <w:sz w:val="16"/>
          <w:szCs w:val="16"/>
          <w:color w:val="auto"/>
        </w:rPr>
        <w:t>‑</w:t>
      </w:r>
      <w:r>
        <w:rPr>
          <w:rFonts w:ascii="Arial" w:cs="Arial" w:eastAsia="Arial" w:hAnsi="Arial"/>
          <w:sz w:val="16"/>
          <w:szCs w:val="16"/>
          <w:color w:val="auto"/>
        </w:rPr>
        <w: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w:t>
      </w:r>
    </w:p>
    <w:p>
      <w:pPr>
        <w:spacing w:after="0" w:line="208"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The continuing efforts of legislatures, health agencies and third</w:t>
      </w:r>
      <w:r>
        <w:rPr>
          <w:rFonts w:ascii="MS PGothic" w:cs="MS PGothic" w:eastAsia="MS PGothic" w:hAnsi="MS PGothic"/>
          <w:sz w:val="18"/>
          <w:szCs w:val="18"/>
          <w:color w:val="auto"/>
        </w:rPr>
        <w:t>‑</w:t>
      </w:r>
      <w:r>
        <w:rPr>
          <w:rFonts w:ascii="Arial" w:cs="Arial" w:eastAsia="Arial" w:hAnsi="Arial"/>
          <w:sz w:val="18"/>
          <w:szCs w:val="18"/>
          <w:color w:val="auto"/>
        </w:rPr>
        <w:t>party payors to contain or reduce the costs of health 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have licensed to Novartis rights to ruxolitinib outside of the United States and worldwide rights to our MET inhibitor compounds and licensed to Lilly worldwide rights to baricitinib. We have also licensed to Pfizer our portfolio of CCR2 antagonist compounds. Under the terms of our agreements with these collaborators, we have no or limited control over the further clinical development of these drug candidates and any revenues we may receive if these drug candidates receive regulatory approval and are commercialized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baricitinib or any of our other out-licensed drug candidates.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lead to our loss of potential revenues from product sales and milestones and delay our achievement, if any, of profitability. Additionally, conflicts may arise if, among other things, there is a dispute about the achievement and payment of a milestone amount or the ownership of intellectual property that is developed during the course of a collaborative relationship.</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existing collaborative and license agreements can be terminated by our collaborators and licensees for convenience, among other circumstances. If any of our collaborators or licensees terminates its agreement with us, or terminates its rights with respect to certain indications or drug candidates, we may not be able to find a new collaborator for them,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spacing w:after="0" w:line="193"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and financial condition.</w:t>
      </w:r>
    </w:p>
    <w:p>
      <w:pPr>
        <w:spacing w:after="0" w:line="14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An important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our Novartis, Lilly and Pfizer collaborations, we have entered into clinical study relationships with respect to epacadostat and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interested in it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and our revenues.</w:t>
      </w:r>
    </w:p>
    <w:p>
      <w:pPr>
        <w:spacing w:after="0" w:line="16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Our collaborations with respect to epacadostat involved the study of our collaborators’ drugs used in combination with epacadostat on a number of indications or tumor types, many of which were the same across multiple collaborations. We cannot assure you that potential conflicts will not arise or be alleged among these collaborations. If a business combination involving a collaborator or licensee and a third-party were to occur, the effect could be to terminate or cause delays in development of a drug candidate.</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enter into additional licensing agreements or if these arrangements are unsuccessful, our business and operations might be adversely affected.</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therapeutics targets that fit within our focus on oncology, such as our collaborations with Agenus Inc.,</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Calithera Biosciences, Inc., MacroGenics, Inc., Merus N.V., and Syros Pharmaceuticals, Inc.,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As discussed above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conflicts or other issues may arise with our licensors. Those conflicts could result in delays in our plans to develop drug candidates or result in the expenditure of additional funds to resolve those conflicts that could have an adverse effect on our results of operations. We may also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Even if a drug candidate that we develop receives regulatory approval, we may decide not to commercialize it if we determine that commercialization of that product would require more money and time than we are willing to invest.</w:t>
      </w:r>
    </w:p>
    <w:p>
      <w:pPr>
        <w:spacing w:after="0" w:line="124"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Even if any of our drug candidates receives regulatory approval, it could be subject to post</w:t>
      </w:r>
      <w:r>
        <w:rPr>
          <w:rFonts w:ascii="MS PGothic" w:cs="MS PGothic" w:eastAsia="MS PGothic" w:hAnsi="MS PGothic"/>
          <w:sz w:val="16"/>
          <w:szCs w:val="16"/>
          <w:color w:val="auto"/>
        </w:rPr>
        <w:t>‑</w:t>
      </w:r>
      <w:r>
        <w:rPr>
          <w:rFonts w:ascii="Arial" w:cs="Arial" w:eastAsia="Arial" w:hAnsi="Arial"/>
          <w:sz w:val="16"/>
          <w:szCs w:val="16"/>
          <w:color w:val="auto"/>
        </w:rPr>
        <w:t>regulatory surveillance, and may have to be withdrawn from the market or subject to restrictions if previously unknown problems occur. Regulatory agencies may also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have not approved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approved drug product that we bring to the market may not gain market acceptance by physicians, patients, healthcare payors and others in the medical community.</w:t>
      </w:r>
    </w:p>
    <w:p>
      <w:pPr>
        <w:spacing w:after="0" w:line="170"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color w:val="auto"/>
        </w:rPr>
        <w:t>Even if we are successful in gaining regulatory approval of any of our drug candidates in addition to JAKAFI or acquire rights to approved drug products in addition to ICLUSIG, we may not generate significant product revenues and we may not become profitable if these drug products do not achieve an adequate level of acceptance. Physicians may not recommend our drug products until longer</w:t>
      </w:r>
      <w:r>
        <w:rPr>
          <w:rFonts w:ascii="MS PGothic" w:cs="MS PGothic" w:eastAsia="MS PGothic" w:hAnsi="MS PGothic"/>
          <w:sz w:val="16"/>
          <w:szCs w:val="16"/>
          <w:color w:val="auto"/>
        </w:rPr>
        <w:t>‑</w:t>
      </w:r>
      <w:r>
        <w:rPr>
          <w:rFonts w:ascii="Arial" w:cs="Arial" w:eastAsia="Arial" w:hAnsi="Arial"/>
          <w:sz w:val="16"/>
          <w:szCs w:val="16"/>
          <w:color w:val="auto"/>
        </w:rPr>
        <w:t>term clinical data or other factors demonstrate the safety and efficacy of our drug products as compared to other alternative treatments. Even if the clinical safety and efficacy of our drug products is established, physicians may elect not to prescribe these drug products for a variety of reasons, including the reimbursement policies of government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 and the effectiveness of our competitors in marketing their products.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Market acceptance of our drug products, if approved for commercial sale, will depend on a number of factors, including:</w:t>
      </w:r>
    </w:p>
    <w:p>
      <w:pPr>
        <w:spacing w:after="0" w:line="170" w:lineRule="exact"/>
        <w:rPr>
          <w:sz w:val="20"/>
          <w:szCs w:val="20"/>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willingness and ability of patients and the healthcare community to use our drug products;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to manufacture our drug products in sufficient quantities with acceptable quality and to offer our drug products for sale at competitive prices;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line="224" w:lineRule="exact"/>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perception of patients and the healthcare community, including third</w:t>
      </w:r>
      <w:r>
        <w:rPr>
          <w:rFonts w:ascii="MS PGothic" w:cs="MS PGothic" w:eastAsia="MS PGothic" w:hAnsi="MS PGothic"/>
          <w:sz w:val="17"/>
          <w:szCs w:val="17"/>
          <w:color w:val="auto"/>
        </w:rPr>
        <w:t>‑</w:t>
      </w:r>
      <w:r>
        <w:rPr>
          <w:rFonts w:ascii="Arial" w:cs="Arial" w:eastAsia="Arial" w:hAnsi="Arial"/>
          <w:sz w:val="17"/>
          <w:szCs w:val="17"/>
          <w:color w:val="auto"/>
        </w:rPr>
        <w:t>party payors, regarding the safety, efficacy and benefits of our drug products compared to those of competing products or therapies;</w:t>
      </w:r>
    </w:p>
    <w:p>
      <w:pPr>
        <w:spacing w:after="0" w:line="201" w:lineRule="exact"/>
        <w:rPr>
          <w:rFonts w:ascii="Arial" w:cs="Arial" w:eastAsia="Arial" w:hAnsi="Arial"/>
          <w:sz w:val="17"/>
          <w:szCs w:val="17"/>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pricing and reimbursement of our drug products relative to existing treatments;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marketing and distribution support for our drug products.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limited capacity to conduct preclinical testing and clinical trials, and our resulting dependence on other parties could result in delays in and additional costs for our drug development efforts.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limited internal resources and capacity to perform preclinical testing and clinical trials. As part of our development strategy, we often hire clinical research organizations, or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company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for our drug discovery and development efforts, and if we do not compete effectively, our commercial opportunities will be reduced or eliminated.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Our drug discovery and development efforts may target diseases and conditions that are already subject to existing therapies or that are being developed by our competitors, many of which have substantially greater resources, larger research and development staffs and facilities, more experience in completing preclinical testing and clinical trials, and formulation, marketing and manufacturing capabilities. As a result of these resources, our competitors may develop drug products that render our products obsolete or noncompetitive by developing more effective drugs, developing their products more efficiently or pricing their products more competitively. Our ability to develop competitive products would be limited if our competitors succeeded in obtaining regulatory approvals for drug candidates more rapidly than we were able to or in obtaining patent protection or other intellectual property rights that limited our drug development efforts. Any drug products resulting from our research and development efforts, or from our joint efforts with collaborators or licensees, might not be able to compete successfully with our competitors’ existing and future products, or obtain regulatory approval in the United States or elsewhere. The development of products or processes by our competitors with significant advantages over those that we are developing could harm our future revenues and profitability.</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reliance on other parties to manufacture our drug products and drug candidates could result in a short supply of the drugs, delays in clinical trials or drug development, increased costs, and withdrawal or denial of a regulatory authority’s approval.</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do not currently operate manufacturing facilities for clinical or commercial production of JAKAFI and our other drug candidates or for ICLUSIG. We currently hire third parties to manufacture the raw materials, active pharmaceutical ingredient, or API, and finished drug product of JAKAFI, ICLUSIG and our other drug candidates for clinical trials. In addition, we expect to continue to rely on third parties for the manufacture of commercial supplies of raw materials, API and finished drug product for any drugs that we successfully develop. We also hire third parties to package and label the finished product. The FDA requires that the raw materials, API and finished product for JAKAFI and our other drug candidates be manufactured according to its current Good Manufacturing Practices regulations and regulatory authorities in other countries have similar requirements. There are only a limited number of manufacturers that comply with these requirements. Failure to comply with current Good Manufacturing Practices and the applicable regulatory requirements of other countries in the manufacture of our drug candidates and products could result in the FDA</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or a foreign regulatory authority halting our clinical trials, withdrawing or denying regulatory approval of our drug product, enforcing product recalls or other enforcement actions, which could have a material adverse effect on our business.</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These problems include difficulties with production costs and yields, quality control and assurance and shortages of qualified personnel.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API and finished product of JAKAFI, ICLUSIG and our other drug candidates and, in the case of JAKAFI, we only have a single source for its raw materials.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w:t>
      </w:r>
    </w:p>
    <w:p>
      <w:pPr>
        <w:spacing w:after="0" w:line="17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 number of our collaborations involve the manufacture of antibodies. Either we or our collaborators have primary responsibility for manufacturing activities, and we are currently using third-party contract manufacturing organizations.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170"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Our activities, and the activities of our collaborators, partners and third</w:t>
      </w:r>
      <w:r>
        <w:rPr>
          <w:rFonts w:ascii="MS PGothic" w:cs="MS PGothic" w:eastAsia="MS PGothic" w:hAnsi="MS PGothic"/>
          <w:sz w:val="16"/>
          <w:szCs w:val="16"/>
          <w:color w:val="auto"/>
        </w:rPr>
        <w:t>‑</w:t>
      </w:r>
      <w:r>
        <w:rPr>
          <w:rFonts w:ascii="Arial" w:cs="Arial" w:eastAsia="Arial" w:hAnsi="Arial"/>
          <w:sz w:val="16"/>
          <w:szCs w:val="16"/>
          <w:color w:val="auto"/>
        </w:rPr>
        <w:t>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In addition, pharmaceutical and biotechnology companies have been the target of lawsuits and investigations alleging violations of government regulations, including claims asserting submission of incorrect pricing information, impermissible off</w:t>
      </w:r>
      <w:r>
        <w:rPr>
          <w:rFonts w:ascii="MS PGothic" w:cs="MS PGothic" w:eastAsia="MS PGothic" w:hAnsi="MS PGothic"/>
          <w:sz w:val="16"/>
          <w:szCs w:val="16"/>
          <w:color w:val="auto"/>
        </w:rPr>
        <w:t>‑</w:t>
      </w:r>
      <w:r>
        <w:rPr>
          <w:rFonts w:ascii="Arial" w:cs="Arial" w:eastAsia="Arial" w:hAnsi="Arial"/>
          <w:sz w:val="16"/>
          <w:szCs w:val="16"/>
          <w:color w:val="auto"/>
        </w:rPr>
        <w:t>label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w:t>
      </w:r>
      <w:r>
        <w:rPr>
          <w:rFonts w:ascii="MS PGothic" w:cs="MS PGothic" w:eastAsia="MS PGothic" w:hAnsi="MS PGothic"/>
          <w:sz w:val="16"/>
          <w:szCs w:val="16"/>
          <w:color w:val="auto"/>
        </w:rPr>
        <w:t>‑</w:t>
      </w:r>
      <w:r>
        <w:rPr>
          <w:rFonts w:ascii="Arial" w:cs="Arial" w:eastAsia="Arial" w:hAnsi="Arial"/>
          <w:sz w:val="16"/>
          <w:szCs w:val="16"/>
          <w:color w:val="auto"/>
        </w:rPr>
        <w:t>bribery or anti</w:t>
      </w:r>
      <w:r>
        <w:rPr>
          <w:rFonts w:ascii="MS PGothic" w:cs="MS PGothic" w:eastAsia="MS PGothic" w:hAnsi="MS PGothic"/>
          <w:sz w:val="16"/>
          <w:szCs w:val="16"/>
          <w:color w:val="auto"/>
        </w:rPr>
        <w:t>‑</w:t>
      </w:r>
      <w:r>
        <w:rPr>
          <w:rFonts w:ascii="Arial" w:cs="Arial" w:eastAsia="Arial" w:hAnsi="Arial"/>
          <w:sz w:val="16"/>
          <w:szCs w:val="16"/>
          <w:color w:val="auto"/>
        </w:rPr>
        <w:t>corruption laws, or violations related to environmental matters. There is also enhanced scrutiny of company-sponsored patient assistance programs, including insurance premium and co-pay assistance programs and donations to third-party charities that provide such assistance. Violations of governmental regulation by us, our vendors or donation recipients may be punishable by criminal and civil sanctions, including fines and civil monetary penalties and exclusion from participation in government programs, including Medicare and Medicaid. In addition to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local governments, legislative bodies and enforcement agencies with respect to these legal and regulatory compliance matters could also result in reduced demand for our products, reduced coverage of our products by health care payors, or both. We cannot ensure that our compliance controls, policies, and procedures will in every instance protect us from acts committed by our employees, collaborators, partners or third</w:t>
      </w:r>
      <w:r>
        <w:rPr>
          <w:rFonts w:ascii="MS PGothic" w:cs="MS PGothic" w:eastAsia="MS PGothic" w:hAnsi="MS PGothic"/>
          <w:sz w:val="16"/>
          <w:szCs w:val="16"/>
          <w:color w:val="auto"/>
        </w:rPr>
        <w:t>‑</w:t>
      </w:r>
      <w:r>
        <w:rPr>
          <w:rFonts w:ascii="Arial" w:cs="Arial" w:eastAsia="Arial" w:hAnsi="Arial"/>
          <w:sz w:val="16"/>
          <w:szCs w:val="16"/>
          <w:color w:val="auto"/>
        </w:rPr>
        <w:t>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our drug discovery and development operations are conducted at our headquarters in Wilmington, Delaware, the loss of access to this facility would negatively impact our business.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facility in Wilmington, Delaware is our headquarters and is also where we conduct all of our drug discovery, research, development and marketing activities. In addition, natural disasters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manage our growth effectively, our ability to develop and commercialize products could suffer.</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part of our business strategy, we may pursue additional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in June 2016, we completed the acquisition of the European operations of ARIAD and obtained the exclusive license to develop and commercialize ICLUSIG in Europe and other countries.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We may not realize the anticipated benefits of any acquisition, joint venture, strategic alliance or investment. We may not be able to integrate acquisitions successfully into our existing business, maintain the key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Any acquisitions or investments made by us also could result in significant write-offs or the incurrence of debt and contingent liabilities, any of which could harm our operating results. For example, in the year ended December 31, 2017, we recorded unrealized losses related to our investments in Agenus Inc. and Merus N.V., and we may in the future experience additional losses related to our investments. In addition, if we choose to issue shares of our stock as consideration for any acquisition, dilution to our stockholders could result.</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Risks associated with the expansion of our operations outside of the United States could adversely affect our business.</w:t>
      </w:r>
    </w:p>
    <w:p>
      <w:pPr>
        <w:spacing w:after="0" w:line="26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acquisition of ARIAD’s European operations significantly expanded our operations in Europe, and we plan to continue to expand our operations and conduct certain development activities outside of the United States, including our recent expansion in Japan. We have limited experience with conducting activities outside of the United States. International operations and business expansion plans are subject to numerous additional risks, including:</w:t>
      </w:r>
    </w:p>
    <w:p>
      <w:pPr>
        <w:spacing w:after="0" w:line="171" w:lineRule="exact"/>
        <w:rPr>
          <w:sz w:val="20"/>
          <w:szCs w:val="20"/>
          <w:color w:val="auto"/>
        </w:rPr>
      </w:pPr>
    </w:p>
    <w:p>
      <w:pPr>
        <w:jc w:val="both"/>
        <w:ind w:left="980" w:hanging="329"/>
        <w:spacing w:after="0" w:line="26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regulations, tariffs, export and import restrictions, employment, immigration and labor laws, regulatory requirements, and other governmental approvals, permits and licenses;</w:t>
      </w:r>
    </w:p>
    <w:p>
      <w:pPr>
        <w:spacing w:after="0" w:line="181"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and difficulties in connection with assimilating and integrating any operations and personnel we might acquire into our company;</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risks associated with obtaining and maintaining, or the failure to obtain or maintain, regulatory approvals for the sale or use of our products in various countries;</w:t>
      </w:r>
    </w:p>
    <w:p>
      <w:pPr>
        <w:spacing w:after="0" w:line="170" w:lineRule="exact"/>
        <w:rPr>
          <w:rFonts w:ascii="Arial" w:cs="Arial" w:eastAsia="Arial" w:hAnsi="Arial"/>
          <w:sz w:val="18"/>
          <w:szCs w:val="18"/>
          <w:color w:val="auto"/>
        </w:rPr>
      </w:pPr>
    </w:p>
    <w:p>
      <w:pPr>
        <w:ind w:left="980" w:hanging="329"/>
        <w:spacing w:after="0" w:line="223" w:lineRule="exact"/>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complexities associated with managing government payor systems, multiple payor</w:t>
      </w:r>
      <w:r>
        <w:rPr>
          <w:rFonts w:ascii="MS PGothic" w:cs="MS PGothic" w:eastAsia="MS PGothic" w:hAnsi="MS PGothic"/>
          <w:sz w:val="18"/>
          <w:szCs w:val="18"/>
          <w:color w:val="auto"/>
        </w:rPr>
        <w:t>‑</w:t>
      </w:r>
      <w:r>
        <w:rPr>
          <w:rFonts w:ascii="Arial" w:cs="Arial" w:eastAsia="Arial" w:hAnsi="Arial"/>
          <w:sz w:val="18"/>
          <w:szCs w:val="18"/>
          <w:color w:val="auto"/>
        </w:rPr>
        <w:t>reimbursement regimes or patient self</w:t>
      </w:r>
      <w:r>
        <w:rPr>
          <w:rFonts w:ascii="MS PGothic" w:cs="MS PGothic" w:eastAsia="MS PGothic" w:hAnsi="MS PGothic"/>
          <w:sz w:val="18"/>
          <w:szCs w:val="18"/>
          <w:color w:val="auto"/>
        </w:rPr>
        <w:t>‑</w:t>
      </w:r>
      <w:r>
        <w:rPr>
          <w:rFonts w:ascii="Arial" w:cs="Arial" w:eastAsia="Arial" w:hAnsi="Arial"/>
          <w:sz w:val="18"/>
          <w:szCs w:val="18"/>
          <w:color w:val="auto"/>
        </w:rPr>
        <w:t>pay systems;</w:t>
      </w:r>
    </w:p>
    <w:p>
      <w:pPr>
        <w:spacing w:after="0" w:line="203" w:lineRule="exact"/>
        <w:rPr>
          <w:rFonts w:ascii="Arial" w:cs="Arial" w:eastAsia="Arial" w:hAnsi="Arial"/>
          <w:sz w:val="18"/>
          <w:szCs w:val="18"/>
          <w:color w:val="auto"/>
        </w:rPr>
      </w:pPr>
    </w:p>
    <w:p>
      <w:pPr>
        <w:jc w:val="both"/>
        <w:ind w:left="980" w:hanging="329"/>
        <w:spacing w:after="0" w:line="26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obtaining financing in foreign markets, difficulty enforcing contracts and intellectual property rights, difficulty collecting accounts receivable and exposure to foreign currency exchange rate fluctuations;</w:t>
      </w:r>
    </w:p>
    <w:p>
      <w:pPr>
        <w:spacing w:after="0" w:line="181" w:lineRule="exact"/>
        <w:rPr>
          <w:rFonts w:ascii="Arial" w:cs="Arial" w:eastAsia="Arial" w:hAnsi="Arial"/>
          <w:sz w:val="18"/>
          <w:szCs w:val="18"/>
          <w:color w:val="auto"/>
        </w:rPr>
      </w:pPr>
    </w:p>
    <w:p>
      <w:pPr>
        <w:jc w:val="both"/>
        <w:ind w:left="980" w:hanging="329"/>
        <w:spacing w:after="0" w:line="26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political and economic conditions in the countries in operate, including terrorism and political unrest, curtailment of trade and other business restrictions, and uncertainties associated with the future relationship between the United Kingdom and the European Union; and</w:t>
      </w:r>
    </w:p>
    <w:p>
      <w:pPr>
        <w:spacing w:after="0" w:line="181" w:lineRule="exact"/>
        <w:rPr>
          <w:rFonts w:ascii="Arial" w:cs="Arial" w:eastAsia="Arial" w:hAnsi="Arial"/>
          <w:sz w:val="18"/>
          <w:szCs w:val="18"/>
          <w:color w:val="auto"/>
        </w:rPr>
      </w:pPr>
    </w:p>
    <w:p>
      <w:pPr>
        <w:jc w:val="both"/>
        <w:ind w:left="980" w:hanging="329"/>
        <w:spacing w:after="0" w:line="220" w:lineRule="exact"/>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activities that may fall within the purview of the U.S. Foreign Corrupt Practices Act, its books and records provisions or its anti</w:t>
      </w:r>
      <w:r>
        <w:rPr>
          <w:rFonts w:ascii="MS PGothic" w:cs="MS PGothic" w:eastAsia="MS PGothic" w:hAnsi="MS PGothic"/>
          <w:sz w:val="18"/>
          <w:szCs w:val="18"/>
          <w:color w:val="auto"/>
        </w:rPr>
        <w:t>‑</w:t>
      </w:r>
      <w:r>
        <w:rPr>
          <w:rFonts w:ascii="Arial" w:cs="Arial" w:eastAsia="Arial" w:hAnsi="Arial"/>
          <w:sz w:val="18"/>
          <w:szCs w:val="18"/>
          <w:color w:val="auto"/>
        </w:rPr>
        <w:t>bribery provisions, or similar anti</w:t>
      </w:r>
      <w:r>
        <w:rPr>
          <w:rFonts w:ascii="MS PGothic" w:cs="MS PGothic" w:eastAsia="MS PGothic" w:hAnsi="MS PGothic"/>
          <w:sz w:val="18"/>
          <w:szCs w:val="18"/>
          <w:color w:val="auto"/>
        </w:rPr>
        <w:t>‑</w:t>
      </w:r>
      <w:r>
        <w:rPr>
          <w:rFonts w:ascii="Arial" w:cs="Arial" w:eastAsia="Arial" w:hAnsi="Arial"/>
          <w:sz w:val="18"/>
          <w:szCs w:val="18"/>
          <w:color w:val="auto"/>
        </w:rPr>
        <w:t>bribery or anti</w:t>
      </w:r>
      <w:r>
        <w:rPr>
          <w:rFonts w:ascii="MS PGothic" w:cs="MS PGothic" w:eastAsia="MS PGothic" w:hAnsi="MS PGothic"/>
          <w:sz w:val="18"/>
          <w:szCs w:val="18"/>
          <w:color w:val="auto"/>
        </w:rPr>
        <w:t>‑</w:t>
      </w:r>
      <w:r>
        <w:rPr>
          <w:rFonts w:ascii="Arial" w:cs="Arial" w:eastAsia="Arial" w:hAnsi="Arial"/>
          <w:sz w:val="18"/>
          <w:szCs w:val="18"/>
          <w:color w:val="auto"/>
        </w:rPr>
        <w:t>corruption laws and regulations, such as the U.K. Anti-Bribery Act and the U.K. Criminal Finances Act.</w:t>
      </w:r>
    </w:p>
    <w:p>
      <w:pPr>
        <w:spacing w:after="0" w:line="20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could face substantial liabilities and may be required to limit commercialization of our products and our results of operations could be harmed.</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cause injury to our reputation, participants and investigators to withdraw from clinical trials, and potential collaborators or licensees to seek other partners, any of which could impact our results of operations.</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Since December 30, 2017, we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our activities involve the use of hazardous materials, we may be subject to claims relating to improper handling, storage or disposal of these materials that could be time consuming and costly.</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 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losses in the future and we may not achieve or maintain profitability in the future.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Due to historical net losses, we had an accumulated deficit of $1.9 billion as of September 30, 2018. We intend to continue to spend significant amounts on our efforts to discover and develop drugs. As a result, we may incur losses in future periods as well.</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anticipate that our drug discovery and development efforts and related expenditures will increase as we focus on the studies, including preclinical tests and clinical trials prior to seeking regulatory approval, that are required before we can sell a drug product.</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development of drug products will require us to spend significant funds on research, development, testing, obtaining regulatory approvals, manufacturing and marketing. To date, we do not have any drug products that have generated significant revenues other than from sales of JAKAFI and we cannot assure you that we will generate significant revenues from the drug candidates that we license or develop, including ICLUSIG, for several years, if ever.</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cannot be certain whether or when we will achieve profitability because of the significant uncertainties relating to our ability to generate commercially successful drug products. Even if we are successful in obtaining regulatory approvals for manufacturing and commercializing drug products in addition to JAKAFI and ICLUSIG, we may incur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losses if our drug products do not generate significant revenues. If we achieve profitability, we may not be able to sustain or increase profitability.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87" w:lineRule="exact"/>
        <w:rPr>
          <w:sz w:val="20"/>
          <w:szCs w:val="20"/>
          <w:color w:val="auto"/>
        </w:rPr>
      </w:pPr>
    </w:p>
    <w:p>
      <w:pPr>
        <w:jc w:val="both"/>
        <w:ind w:firstLine="648"/>
        <w:spacing w:after="0" w:line="223" w:lineRule="exact"/>
        <w:rPr>
          <w:sz w:val="20"/>
          <w:szCs w:val="20"/>
          <w:color w:val="auto"/>
        </w:rPr>
      </w:pPr>
      <w:r>
        <w:rPr>
          <w:rFonts w:ascii="Arial" w:cs="Arial" w:eastAsia="Arial" w:hAnsi="Arial"/>
          <w:sz w:val="18"/>
          <w:szCs w:val="18"/>
          <w:color w:val="auto"/>
        </w:rPr>
        <w:t>Our future funding requirements will depend on many factors and we anticipate that we may need to raise additional capital to fund our business plan and research and development efforts going</w:t>
      </w:r>
      <w:r>
        <w:rPr>
          <w:rFonts w:ascii="MS PGothic" w:cs="MS PGothic" w:eastAsia="MS PGothic" w:hAnsi="MS PGothic"/>
          <w:sz w:val="18"/>
          <w:szCs w:val="18"/>
          <w:color w:val="auto"/>
        </w:rPr>
        <w:t>‑</w:t>
      </w:r>
      <w:r>
        <w:rPr>
          <w:rFonts w:ascii="Arial" w:cs="Arial" w:eastAsia="Arial" w:hAnsi="Arial"/>
          <w:sz w:val="18"/>
          <w:szCs w:val="18"/>
          <w:color w:val="auto"/>
        </w:rPr>
        <w:t>forward.</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factors that may affect our future funding requirements include:</w:t>
      </w:r>
    </w:p>
    <w:p>
      <w:pPr>
        <w:spacing w:after="0" w:line="225" w:lineRule="exact"/>
        <w:rPr>
          <w:sz w:val="20"/>
          <w:szCs w:val="20"/>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of revenues generated from our business activities;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changes in the breadth of our research and development programs;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of research and development, preclinical testing and clinical trials conducted by us or our current or future collaborators or licensees, if any;</w:t>
      </w:r>
    </w:p>
    <w:p>
      <w:pPr>
        <w:spacing w:after="0" w:line="170" w:lineRule="exact"/>
        <w:rPr>
          <w:rFonts w:ascii="Arial" w:cs="Arial" w:eastAsia="Arial" w:hAnsi="Arial"/>
          <w:sz w:val="18"/>
          <w:szCs w:val="18"/>
          <w:color w:val="auto"/>
        </w:rPr>
      </w:pPr>
    </w:p>
    <w:p>
      <w:pPr>
        <w:ind w:left="980" w:hanging="329"/>
        <w:spacing w:after="0" w:line="184" w:lineRule="exact"/>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exercise of any co</w:t>
      </w:r>
      <w:r>
        <w:rPr>
          <w:rFonts w:ascii="MS PGothic" w:cs="MS PGothic" w:eastAsia="MS PGothic" w:hAnsi="MS PGothic"/>
          <w:sz w:val="16"/>
          <w:szCs w:val="16"/>
          <w:color w:val="auto"/>
        </w:rPr>
        <w:t>‑</w:t>
      </w:r>
      <w:r>
        <w:rPr>
          <w:rFonts w:ascii="Arial" w:cs="Arial" w:eastAsia="Arial" w:hAnsi="Arial"/>
          <w:sz w:val="16"/>
          <w:szCs w:val="16"/>
          <w:color w:val="auto"/>
        </w:rPr>
        <w:t>development options with collaborators that may require us to fund future development;</w:t>
      </w:r>
    </w:p>
    <w:p>
      <w:pPr>
        <w:spacing w:after="0" w:line="248" w:lineRule="exact"/>
        <w:rPr>
          <w:rFonts w:ascii="Arial" w:cs="Arial" w:eastAsia="Arial" w:hAnsi="Arial"/>
          <w:sz w:val="16"/>
          <w:szCs w:val="16"/>
          <w:color w:val="auto"/>
        </w:rPr>
      </w:pPr>
    </w:p>
    <w:p>
      <w:pPr>
        <w:ind w:left="980" w:hanging="329"/>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acquisition of businesses, technologies, or drug candidates, or the licensing of technologies or drug candidates, if any;</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for future facility requirements;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maintain and establish new corporate relationships and research collaborations;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225"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time and costs involved in filing, prosecuting, defending and enforcing patent and intellectual property claims;</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receipt of contingent licensing or milestone fees or royalties on product sales from our current or future collaborative and license arrangements, if established; and</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of regulatory approvals, if any.</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additional convertible debt securities in the future may be dilutive to our stockholders and may provide for rights, preferences or privileges senior to those of our holders of common stock, and debt financing arrangements may require us to pledge certain assets or enter into covenants that could restrict our operations or our ability to incur further indebtedness.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marketable securities and long term investments are subject to risks that could adversely affect our overall financial position.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invest our cash in accordance with an established internal policy and customarily in instruments, corporate bonds and money market funds which historically have been highly liquid and carried relatively low risk. In recent periods, similar types of investments and money market funds have experienced losses in value or liquidity issues that differ from their historical pattern.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discussed under “Other Risks Relating to Our Business— 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such as Agenus and Merus,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loss in value of our long term investments could adversely affect our financial position on the consolidated balance sheets and consolidated statements of operations.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current revenues are derived from JAKAFI and ICLUSIG product sales, JAKAVI and OLUMIANT product royalties, collaborations and from licensing our intellectual property. If we are unable to achieve milestones, develop products or renew or enter into new collaborations, our revenues may decrease, and future milestone and royalty payments may not contribute significantly to revenues for several years, and may never result in revenues.</w:t>
      </w:r>
    </w:p>
    <w:p>
      <w:pPr>
        <w:spacing w:after="0" w:line="15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derived substantially all of our revenues for the nine months ended September 30, 2018 from JAKAFI and ICLUSIG product revenues, JAKAVI and OLUMIANT product royalties and our collaborations and licensing our intellectual property to others. Future revenues from research and development collaborations depend upon continuation of the collaborations, the achievement of milestones and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discussed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would affect potential future royalty and milestone revenue.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INTELLECTUAL PROPERTY AND LEGAL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subject to arbitration, litigation and infringement claims, they could be costly and disrupt our drug discovery and development efforts.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technology that we use to make and develop our drug products, the technology that we incorporate in our products, and the products we are developing may be subject to claims that they infringe the patents or proprietary rights of others. The success of our drug discovery and development efforts will also depend on our ability to develop new compounds, drugs and technologies without infringing or misappropriating the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may be involved in future lawsuits or other legal proceedings alleging patent infringement or other intellectual property rights or contract violations. In addition, litigation or other legal proceedings may be necessary to:</w:t>
      </w:r>
    </w:p>
    <w:p>
      <w:pPr>
        <w:spacing w:after="0" w:line="147" w:lineRule="exact"/>
        <w:rPr>
          <w:sz w:val="20"/>
          <w:szCs w:val="20"/>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assert claims of infringement;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enforce our patents or trademarks;</w:t>
      </w:r>
    </w:p>
    <w:p>
      <w:pPr>
        <w:spacing w:after="0" w:line="22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protect our trade secrets or know</w:t>
      </w:r>
      <w:r>
        <w:rPr>
          <w:rFonts w:ascii="MS PGothic" w:cs="MS PGothic" w:eastAsia="MS PGothic" w:hAnsi="MS PGothic"/>
          <w:sz w:val="18"/>
          <w:szCs w:val="18"/>
          <w:color w:val="auto"/>
        </w:rPr>
        <w:t>‑</w:t>
      </w:r>
      <w:r>
        <w:rPr>
          <w:rFonts w:ascii="Arial" w:cs="Arial" w:eastAsia="Arial" w:hAnsi="Arial"/>
          <w:sz w:val="18"/>
          <w:szCs w:val="18"/>
          <w:color w:val="auto"/>
        </w:rPr>
        <w:t>how; or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determine the enforceability, scope and validity of the proprietary rights of others.</w:t>
      </w:r>
    </w:p>
    <w:p>
      <w:pPr>
        <w:spacing w:after="0" w:line="225"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color w:val="auto"/>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 may not be able to obtain any necessary licenses on acceptable terms, if at all. If we are unable to develop non</w:t>
      </w:r>
      <w:r>
        <w:rPr>
          <w:rFonts w:ascii="MS PGothic" w:cs="MS PGothic" w:eastAsia="MS PGothic" w:hAnsi="MS PGothic"/>
          <w:sz w:val="16"/>
          <w:szCs w:val="16"/>
          <w:color w:val="auto"/>
        </w:rPr>
        <w:t>‑</w:t>
      </w:r>
      <w:r>
        <w:rPr>
          <w:rFonts w:ascii="Arial" w:cs="Arial" w:eastAsia="Arial" w:hAnsi="Arial"/>
          <w:sz w:val="16"/>
          <w:szCs w:val="16"/>
          <w:color w:val="auto"/>
        </w:rPr>
        <w:t>infringing technology or license technology on a timely basis or on reasonable terms, our business could be harmed.</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ruxolitinib and our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ruxolitinib and our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 Competition for our products could potentially harm our business and result in a decrease in our revenue,” a potential generic drug company competitor has challenged certain patents relating to JAKAFI.</w:t>
      </w:r>
    </w:p>
    <w:p>
      <w:pPr>
        <w:spacing w:after="0" w:line="172"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Additionally, when we do not control the prosecution, maintenance and enforcement of certain important intellectual property, such as a drug candidate in</w:t>
      </w:r>
      <w:r>
        <w:rPr>
          <w:rFonts w:ascii="MS PGothic" w:cs="MS PGothic" w:eastAsia="MS PGothic" w:hAnsi="MS PGothic"/>
          <w:sz w:val="18"/>
          <w:szCs w:val="18"/>
          <w:color w:val="auto"/>
        </w:rPr>
        <w:t>‑</w:t>
      </w:r>
      <w:r>
        <w:rPr>
          <w:rFonts w:ascii="Arial" w:cs="Arial" w:eastAsia="Arial" w:hAnsi="Arial"/>
          <w:sz w:val="18"/>
          <w:szCs w:val="18"/>
          <w:color w:val="auto"/>
        </w:rPr>
        <w:t>licensed to us or subject to a collaboration with a third-party, the protection of the intellectual property rights may not be in our hands. If we do not control the intellectual property rights in</w:t>
      </w:r>
      <w:r>
        <w:rPr>
          <w:rFonts w:ascii="MS PGothic" w:cs="MS PGothic" w:eastAsia="MS PGothic" w:hAnsi="MS PGothic"/>
          <w:sz w:val="18"/>
          <w:szCs w:val="18"/>
          <w:color w:val="auto"/>
        </w:rPr>
        <w:t>‑</w:t>
      </w:r>
      <w:r>
        <w:rPr>
          <w:rFonts w:ascii="Arial" w:cs="Arial" w:eastAsia="Arial" w:hAnsi="Arial"/>
          <w:sz w:val="18"/>
          <w:szCs w:val="18"/>
          <w:color w:val="auto"/>
        </w:rPr>
        <w:t>licensed to us with respect to a drug candidate and the entity that controls the intellectual property rights does not adequately protect those rights, our rights may be impaired, which may impact our ability to develop, market and commercialize the in</w:t>
      </w:r>
      <w:r>
        <w:rPr>
          <w:rFonts w:ascii="MS PGothic" w:cs="MS PGothic" w:eastAsia="MS PGothic" w:hAnsi="MS PGothic"/>
          <w:sz w:val="18"/>
          <w:szCs w:val="18"/>
          <w:color w:val="auto"/>
        </w:rPr>
        <w:t>‑</w:t>
      </w:r>
      <w:r>
        <w:rPr>
          <w:rFonts w:ascii="Arial" w:cs="Arial" w:eastAsia="Arial" w:hAnsi="Arial"/>
          <w:sz w:val="18"/>
          <w:szCs w:val="18"/>
          <w:color w:val="auto"/>
        </w:rPr>
        <w:t>licensed drug candidate.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means of protecting our proprietary rights may not be adequate, and our competitors may:</w:t>
      </w:r>
    </w:p>
    <w:p>
      <w:pPr>
        <w:spacing w:after="0" w:line="225" w:lineRule="exact"/>
        <w:rPr>
          <w:sz w:val="20"/>
          <w:szCs w:val="20"/>
          <w:color w:val="auto"/>
        </w:rPr>
      </w:pPr>
    </w:p>
    <w:p>
      <w:pPr>
        <w:ind w:left="980" w:hanging="329"/>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independently develop substantially equivalent proprietary information, products and techniques;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otherwise gain access to our proprietary information; or</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 around patents issued to us or our other intellectual property.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spacing w:after="0" w:line="171"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If the effective term of our patents is decreased due to changes in the United States patent laws or if we need to refile some of our patent applications, the value of our patent portfolio and the revenues we derive from it may be decreased.</w:t>
      </w:r>
    </w:p>
    <w:p>
      <w:pPr>
        <w:spacing w:after="0" w:line="101"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The value of our patents depends, in part, on their duration. A shorter period of patent protection could lessen the value of our rights under any patents that we obtain and may decrease the revenues we derive from our patents. The United States patent laws were amended in 1995 to change the term of patent protection from 17 years from patent issuance to 20 years from the earliest effective filing date of the application. Because the time from filing to issuance of biotechnology applications may be more than three years depending on the subject matter, a 20</w:t>
      </w:r>
      <w:r>
        <w:rPr>
          <w:rFonts w:ascii="MS PGothic" w:cs="MS PGothic" w:eastAsia="MS PGothic" w:hAnsi="MS PGothic"/>
          <w:sz w:val="18"/>
          <w:szCs w:val="18"/>
          <w:color w:val="auto"/>
        </w:rPr>
        <w:t>‑</w:t>
      </w:r>
      <w:r>
        <w:rPr>
          <w:rFonts w:ascii="Arial" w:cs="Arial" w:eastAsia="Arial" w:hAnsi="Arial"/>
          <w:sz w:val="18"/>
          <w:szCs w:val="18"/>
          <w:color w:val="auto"/>
        </w:rPr>
        <w:t>year patent term from the filing date may result in substantially shorter patent protection.</w:t>
      </w:r>
    </w:p>
    <w:p>
      <w:pPr>
        <w:spacing w:after="0" w:line="20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Additionally, United States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 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spacing w:after="0" w:line="166"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7"/>
          <w:szCs w:val="17"/>
          <w:color w:val="auto"/>
        </w:rPr>
        <w:t>Other changes in the United States patent laws or changes in the interpretation of patent laws could diminish the value of our patents or narrow the scope of our patent protection. For example, the Supreme Court of the United States recently ruled that isolated DNA sequences cannot be patented. Although we no longer receive significant revenues generated from our former information products business, the majority of our gene patent portfolio from that business consists of patents on isolated DNA sequences, and this ruling limits our ability to derive additional revenues from our gene patent portfolio. Additionally, the Supreme Court resolved a split among the circuit courts of appeals regarding antitrust challenges to settlements of patent infringement lawsuits under the Hatch</w:t>
      </w:r>
      <w:r>
        <w:rPr>
          <w:rFonts w:ascii="MS PGothic" w:cs="MS PGothic" w:eastAsia="MS PGothic" w:hAnsi="MS PGothic"/>
          <w:sz w:val="17"/>
          <w:szCs w:val="17"/>
          <w:color w:val="auto"/>
        </w:rPr>
        <w:t>‑</w:t>
      </w:r>
      <w:r>
        <w:rPr>
          <w:rFonts w:ascii="Arial" w:cs="Arial" w:eastAsia="Arial" w:hAnsi="Arial"/>
          <w:sz w:val="17"/>
          <w:szCs w:val="17"/>
          <w:color w:val="auto"/>
        </w:rPr>
        <w:t>Waxman Act between brand</w:t>
      </w:r>
      <w:r>
        <w:rPr>
          <w:rFonts w:ascii="MS PGothic" w:cs="MS PGothic" w:eastAsia="MS PGothic" w:hAnsi="MS PGothic"/>
          <w:sz w:val="17"/>
          <w:szCs w:val="17"/>
          <w:color w:val="auto"/>
        </w:rPr>
        <w:t>‑</w:t>
      </w:r>
      <w:r>
        <w:rPr>
          <w:rFonts w:ascii="Arial" w:cs="Arial" w:eastAsia="Arial" w:hAnsi="Arial"/>
          <w:sz w:val="17"/>
          <w:szCs w:val="17"/>
          <w:color w:val="auto"/>
        </w:rPr>
        <w:t>name drug companies and generic drug companies. The Court rejected the “scope of the patent” test and ruled that settlements involving “reverse payments” from brand</w:t>
      </w:r>
      <w:r>
        <w:rPr>
          <w:rFonts w:ascii="MS PGothic" w:cs="MS PGothic" w:eastAsia="MS PGothic" w:hAnsi="MS PGothic"/>
          <w:sz w:val="17"/>
          <w:szCs w:val="17"/>
          <w:color w:val="auto"/>
        </w:rPr>
        <w:t>‑</w:t>
      </w:r>
      <w:r>
        <w:rPr>
          <w:rFonts w:ascii="Arial" w:cs="Arial" w:eastAsia="Arial" w:hAnsi="Arial"/>
          <w:sz w:val="17"/>
          <w:szCs w:val="17"/>
          <w:color w:val="auto"/>
        </w:rPr>
        <w:t>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spacing w:after="0" w:line="20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International patent protection is particularly uncertain and costly, and our involvement in opposition proceedings in foreign countries may result in the expenditure of substantial sums and management resources.</w:t>
      </w:r>
    </w:p>
    <w:p>
      <w:pPr>
        <w:spacing w:after="0" w:line="147"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United States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For example, there is a patent opposition proceeding in India against our Indian patent that covers the composition of matter and use of certain Janus Kinase inhibitors, including ruxolitinib phosphate, for the treatment of myeloid proliferative disorders, cancer, immune</w:t>
      </w:r>
      <w:r>
        <w:rPr>
          <w:rFonts w:ascii="MS PGothic" w:cs="MS PGothic" w:eastAsia="MS PGothic" w:hAnsi="MS PGothic"/>
          <w:sz w:val="16"/>
          <w:szCs w:val="16"/>
          <w:color w:val="auto"/>
        </w:rPr>
        <w:t>‑</w:t>
      </w:r>
      <w:r>
        <w:rPr>
          <w:rFonts w:ascii="Arial" w:cs="Arial" w:eastAsia="Arial" w:hAnsi="Arial"/>
          <w:sz w:val="16"/>
          <w:szCs w:val="16"/>
          <w:color w:val="auto"/>
        </w:rPr>
        <w:t>related diseases, skin disorders, and other diseases. Successful challenges to our patent or other intellectual property rights through</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INFORMATION TECHNOLOGY AND DATA PRIVACY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Significant disruptions of information technology systems, breaches of data security, or unauthorized disclosures of sensitive data or personally identifiable information or individually identifiable health information could adversely affect our business, and could subject us to liability or reputational damage.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us potentially vulnerable to IT system breakdowns, malicious intrusion, and computer viruses, which may result in the impairment of our ability to operate our business effectively.</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currently in the process of enhancing our IT systems to address our planned growth as well as to support our planned manufacturing operations. There are inherent costs and risks associated with implementing the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our systems and the systems of our third-party providers and collaborators are potentially vulnerable to data security breaches which may expose sensitive data to unauthorized persons or to the public. Such data security breaches could lead to the loss of confidential information, trade secrets or other intellectual property, could lead to the public exposure of personal information (including personally identifiable information or individually identifiable health information) of our employees, clinical trial patients, customers, business partners, and others, or could lead to potential identity theft. Data security breaches could also result in loss of clinical trial data or damage to the integrity of that data. In addition, the increased use of social media by our employees and contractors could result in inadvertent disclosure of sensitive data or personal information, including but not limited to, confidential information, trade secrets and other intellectual property.</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that protect personally identifiable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1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the European Parliament and the Council of the European Union adopted a comprehensive general data privacy regulation, known as the GDPR, which took effect in May 2018 and governs the collection and use of personal data in the European Union.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 rules on the transfer of personal data out of the European Union to the United States, provides an enforcement authority and imposes large penalties for noncompliance, including the potential for fines of up to €20 million or 4% of the annual global revenues of the infringer, whichever is greater.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Increasing use of social media could give rise to liability, breaches of data security, or reputational damage.</w:t>
      </w:r>
    </w:p>
    <w:p>
      <w:pPr>
        <w:spacing w:after="0" w:line="23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00" w:type="dxa"/>
            <w:vAlign w:val="bottom"/>
          </w:tcPr>
          <w:p>
            <w:pPr>
              <w:spacing w:after="0"/>
              <w:rPr>
                <w:sz w:val="14"/>
                <w:szCs w:val="14"/>
                <w:color w:val="auto"/>
              </w:rPr>
            </w:pPr>
          </w:p>
        </w:tc>
        <w:tc>
          <w:tcPr>
            <w:tcW w:w="6880" w:type="dxa"/>
            <w:vAlign w:val="bottom"/>
            <w:gridSpan w:val="3"/>
            <w:vMerge w:val="restart"/>
          </w:tcPr>
          <w:p>
            <w:pPr>
              <w:ind w:left="218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0" w:type="dxa"/>
            <w:vAlign w:val="bottom"/>
          </w:tcPr>
          <w:p>
            <w:pPr>
              <w:spacing w:after="0"/>
              <w:rPr>
                <w:sz w:val="14"/>
                <w:szCs w:val="14"/>
                <w:color w:val="auto"/>
              </w:rPr>
            </w:pPr>
          </w:p>
        </w:tc>
        <w:tc>
          <w:tcPr>
            <w:tcW w:w="6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7880" w:type="dxa"/>
            <w:vAlign w:val="bottom"/>
            <w:tcBorders>
              <w:top w:val="single" w:sz="8" w:color="auto"/>
            </w:tcBorders>
            <w:gridSpan w:val="4"/>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Rule 13a-14(a) Certification of Chief Executive Officer</w:t>
              </w:r>
            </w:hyperlink>
          </w:p>
        </w:tc>
        <w:tc>
          <w:tcPr>
            <w:tcW w:w="0" w:type="dxa"/>
            <w:vAlign w:val="bottom"/>
          </w:tcPr>
          <w:p>
            <w:pPr>
              <w:spacing w:after="0"/>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39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91">
              <w:r>
                <w:rPr>
                  <w:rFonts w:ascii="Arial" w:cs="Arial" w:eastAsia="Arial" w:hAnsi="Arial"/>
                  <w:sz w:val="18"/>
                  <w:szCs w:val="18"/>
                  <w:color w:val="0000EE"/>
                  <w:w w:val="93"/>
                </w:rPr>
                <w:t>Rule 13a-14(a) Certification of Chief Financial Officer</w:t>
              </w:r>
            </w:hyperlink>
          </w:p>
        </w:tc>
        <w:tc>
          <w:tcPr>
            <w:tcW w:w="40" w:type="dxa"/>
            <w:vAlign w:val="bottom"/>
            <w:tcBorders>
              <w:top w:val="single" w:sz="8" w:color="0000EE"/>
            </w:tcBorders>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788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92">
              <w:r>
                <w:rPr>
                  <w:rFonts w:ascii="Arial" w:cs="Arial" w:eastAsia="Arial" w:hAnsi="Arial"/>
                  <w:sz w:val="18"/>
                  <w:szCs w:val="18"/>
                  <w:color w:val="0000EE"/>
                  <w:w w:val="93"/>
                </w:rPr>
                <w:t>Statement of the Chief Executive Officer under Section 906 of the Sarbanes-Oxley Act of 2002 (18 U.S.C.</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80" w:type="dxa"/>
            <w:vAlign w:val="bottom"/>
            <w:gridSpan w:val="4"/>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Section 1350)</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8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788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93">
              <w:r>
                <w:rPr>
                  <w:rFonts w:ascii="Arial" w:cs="Arial" w:eastAsia="Arial" w:hAnsi="Arial"/>
                  <w:sz w:val="18"/>
                  <w:szCs w:val="18"/>
                  <w:color w:val="0000EE"/>
                  <w:w w:val="94"/>
                </w:rPr>
                <w:t>Statement of the Chief Financial Officer under Section 906 of the Sarbanes-Oxley Act of 2002 (18 U.S.C.</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80" w:type="dxa"/>
            <w:vAlign w:val="bottom"/>
            <w:gridSpan w:val="4"/>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Section 1350)</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8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88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32"/>
        </w:trPr>
        <w:tc>
          <w:tcPr>
            <w:tcW w:w="11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88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11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88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11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88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32"/>
        </w:trPr>
        <w:tc>
          <w:tcPr>
            <w:tcW w:w="11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880" w:type="dxa"/>
            <w:vAlign w:val="bottom"/>
            <w:gridSpan w:val="4"/>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r>
        <w:trPr>
          <w:trHeight w:val="432"/>
        </w:trPr>
        <w:tc>
          <w:tcPr>
            <w:tcW w:w="11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880" w:type="dxa"/>
            <w:vAlign w:val="bottom"/>
            <w:gridSpan w:val="4"/>
          </w:tcPr>
          <w:p>
            <w:pPr>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80" w:hanging="277"/>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280" w:hanging="277"/>
        <w:spacing w:after="0" w:line="259" w:lineRule="auto"/>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5900" w:type="dxa"/>
            <w:vAlign w:val="bottom"/>
            <w:gridSpan w:val="2"/>
          </w:tcPr>
          <w:p>
            <w:pPr>
              <w:ind w:left="1380"/>
              <w:spacing w:after="0"/>
              <w:rPr>
                <w:sz w:val="20"/>
                <w:szCs w:val="20"/>
                <w:color w:val="auto"/>
              </w:rPr>
            </w:pPr>
            <w:r>
              <w:rPr>
                <w:rFonts w:ascii="Arial" w:cs="Arial" w:eastAsia="Arial" w:hAnsi="Arial"/>
                <w:sz w:val="18"/>
                <w:szCs w:val="18"/>
                <w:color w:val="auto"/>
              </w:rPr>
              <w:t>INCYTE CORPORATION</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Dated: October 30, 2018</w:t>
            </w:r>
          </w:p>
        </w:tc>
        <w:tc>
          <w:tcPr>
            <w:tcW w:w="1780" w:type="dxa"/>
            <w:vAlign w:val="bottom"/>
          </w:tcPr>
          <w:p>
            <w:pPr>
              <w:ind w:left="138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HERVÉ HOPPENOT</w:t>
            </w:r>
          </w:p>
        </w:tc>
      </w:tr>
      <w:tr>
        <w:trPr>
          <w:trHeight w:val="195"/>
        </w:trPr>
        <w:tc>
          <w:tcPr>
            <w:tcW w:w="3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120" w:type="dxa"/>
            <w:vAlign w:val="bottom"/>
          </w:tcPr>
          <w:p>
            <w:pPr>
              <w:spacing w:after="0" w:line="195" w:lineRule="exact"/>
              <w:rPr>
                <w:sz w:val="20"/>
                <w:szCs w:val="20"/>
                <w:color w:val="auto"/>
              </w:rPr>
            </w:pPr>
            <w:r>
              <w:rPr>
                <w:rFonts w:ascii="Arial" w:cs="Arial" w:eastAsia="Arial" w:hAnsi="Arial"/>
                <w:sz w:val="18"/>
                <w:szCs w:val="18"/>
                <w:color w:val="auto"/>
              </w:rPr>
              <w:t>Hervé Hoppenot</w:t>
            </w:r>
          </w:p>
        </w:tc>
      </w:tr>
      <w:tr>
        <w:trPr>
          <w:trHeight w:val="216"/>
        </w:trPr>
        <w:tc>
          <w:tcPr>
            <w:tcW w:w="3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3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Dated: October 30, 2018</w:t>
            </w:r>
          </w:p>
        </w:tc>
        <w:tc>
          <w:tcPr>
            <w:tcW w:w="1780" w:type="dxa"/>
            <w:vAlign w:val="bottom"/>
          </w:tcPr>
          <w:p>
            <w:pPr>
              <w:ind w:left="138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W. GRYSKA</w:t>
            </w:r>
          </w:p>
        </w:tc>
      </w:tr>
      <w:tr>
        <w:trPr>
          <w:trHeight w:val="211"/>
        </w:trPr>
        <w:tc>
          <w:tcPr>
            <w:tcW w:w="3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David W. Gryska</w:t>
            </w:r>
          </w:p>
        </w:tc>
      </w:tr>
    </w:tbl>
    <w:p>
      <w:pPr>
        <w:ind w:left="4940"/>
        <w:spacing w:after="0"/>
        <w:rPr>
          <w:sz w:val="20"/>
          <w:szCs w:val="20"/>
          <w:color w:val="auto"/>
        </w:rPr>
      </w:pPr>
      <w:r>
        <w:rPr>
          <w:rFonts w:ascii="Arial" w:cs="Arial" w:eastAsia="Arial" w:hAnsi="Arial"/>
          <w:sz w:val="18"/>
          <w:szCs w:val="18"/>
          <w:color w:val="auto"/>
        </w:rPr>
        <w:t>Chief Financial Officer</w:t>
      </w:r>
    </w:p>
    <w:p>
      <w:pPr>
        <w:spacing w:after="0" w:line="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Hervé Hoppenot, certify that:</w:t>
      </w:r>
    </w:p>
    <w:p>
      <w:pPr>
        <w:spacing w:after="0" w:line="144" w:lineRule="exact"/>
        <w:rPr>
          <w:sz w:val="20"/>
          <w:szCs w:val="20"/>
          <w:color w:val="auto"/>
        </w:rPr>
      </w:pPr>
    </w:p>
    <w:p>
      <w:pPr>
        <w:ind w:left="520" w:hanging="517"/>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Incyte Corporation;</w:t>
      </w:r>
    </w:p>
    <w:p>
      <w:pPr>
        <w:spacing w:after="0" w:line="144" w:lineRule="exact"/>
        <w:rPr>
          <w:rFonts w:ascii="Arial" w:cs="Arial" w:eastAsia="Arial" w:hAnsi="Arial"/>
          <w:sz w:val="18"/>
          <w:szCs w:val="18"/>
          <w:color w:val="auto"/>
        </w:rPr>
      </w:pPr>
    </w:p>
    <w:p>
      <w:pPr>
        <w:jc w:val="both"/>
        <w:ind w:left="520" w:hanging="517"/>
        <w:spacing w:after="0" w:line="224"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20" w:right="100" w:hanging="517"/>
        <w:spacing w:after="0" w:line="224"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20" w:right="240" w:hanging="517"/>
        <w:spacing w:after="0" w:line="238" w:lineRule="auto"/>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1020" w:right="60" w:hanging="504"/>
        <w:spacing w:after="0" w:line="219" w:lineRule="auto"/>
        <w:tabs>
          <w:tab w:leader="none" w:pos="10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020" w:right="40" w:hanging="504"/>
        <w:spacing w:after="0" w:line="219" w:lineRule="auto"/>
        <w:tabs>
          <w:tab w:leader="none" w:pos="10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1020" w:right="220" w:hanging="504"/>
        <w:spacing w:after="0" w:line="224" w:lineRule="auto"/>
        <w:tabs>
          <w:tab w:leader="none" w:pos="10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020" w:right="140" w:hanging="504"/>
        <w:spacing w:after="0" w:line="219" w:lineRule="auto"/>
        <w:tabs>
          <w:tab w:leader="none" w:pos="10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520" w:right="20" w:hanging="517"/>
        <w:spacing w:after="0" w:line="224"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020" w:hanging="504"/>
        <w:spacing w:after="0" w:line="224" w:lineRule="auto"/>
        <w:tabs>
          <w:tab w:leader="none" w:pos="10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1020" w:right="120" w:hanging="504"/>
        <w:spacing w:after="0" w:line="235" w:lineRule="auto"/>
        <w:tabs>
          <w:tab w:leader="none" w:pos="10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2018</w:t>
      </w:r>
    </w:p>
    <w:p>
      <w:pPr>
        <w:spacing w:after="0" w:line="15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-1905</wp:posOffset>
            </wp:positionV>
            <wp:extent cx="28727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Hervé Hoppenot</w:t>
      </w:r>
    </w:p>
    <w:p>
      <w:pPr>
        <w:ind w:left="45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553720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David W. Gryska, certify that:</w:t>
      </w:r>
    </w:p>
    <w:p>
      <w:pPr>
        <w:spacing w:after="0" w:line="144" w:lineRule="exact"/>
        <w:rPr>
          <w:sz w:val="20"/>
          <w:szCs w:val="20"/>
          <w:color w:val="auto"/>
        </w:rPr>
      </w:pPr>
    </w:p>
    <w:p>
      <w:pPr>
        <w:ind w:left="520" w:hanging="517"/>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Incyte Corporation;</w:t>
      </w:r>
    </w:p>
    <w:p>
      <w:pPr>
        <w:spacing w:after="0" w:line="144" w:lineRule="exact"/>
        <w:rPr>
          <w:rFonts w:ascii="Arial" w:cs="Arial" w:eastAsia="Arial" w:hAnsi="Arial"/>
          <w:sz w:val="18"/>
          <w:szCs w:val="18"/>
          <w:color w:val="auto"/>
        </w:rPr>
      </w:pPr>
    </w:p>
    <w:p>
      <w:pPr>
        <w:jc w:val="both"/>
        <w:ind w:left="520" w:hanging="517"/>
        <w:spacing w:after="0" w:line="224"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20" w:right="100" w:hanging="517"/>
        <w:spacing w:after="0" w:line="224"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20" w:right="240" w:hanging="517"/>
        <w:spacing w:after="0" w:line="238" w:lineRule="auto"/>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1020" w:right="60" w:hanging="504"/>
        <w:spacing w:after="0" w:line="219" w:lineRule="auto"/>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020" w:right="40" w:hanging="504"/>
        <w:spacing w:after="0" w:line="219" w:lineRule="auto"/>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1020" w:right="220" w:hanging="504"/>
        <w:spacing w:after="0" w:line="224" w:lineRule="auto"/>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020" w:right="140" w:hanging="504"/>
        <w:spacing w:after="0" w:line="219" w:lineRule="auto"/>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520" w:right="20" w:hanging="517"/>
        <w:spacing w:after="0" w:line="224"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020" w:hanging="504"/>
        <w:spacing w:after="0" w:line="224" w:lineRule="auto"/>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1020" w:right="120" w:hanging="504"/>
        <w:spacing w:after="0" w:line="235" w:lineRule="auto"/>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2018</w:t>
      </w:r>
    </w:p>
    <w:p>
      <w:pPr>
        <w:spacing w:after="0" w:line="14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DAVID W. GRYSKA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-1905</wp:posOffset>
            </wp:positionV>
            <wp:extent cx="28727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David W. Gryska</w:t>
      </w:r>
    </w:p>
    <w:p>
      <w:pPr>
        <w:ind w:left="45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553720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28"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With reference to the Quarterly Report of Incyte Corporation (the “Company”) on Form 10-Q for the quarter ended September 30, 2018, as filed with the Securities and Exchange Commission on the date hereof (the “Report”), I, Hervé Hoppenot, Chief Executive Officer of the Company, certify, for the purposes of 18 U.S.C. § 1350, as adopted pursuant to § 906 of the Sarbanes-Oxley Act of 2002, that, to my knowledge:</w:t>
      </w:r>
    </w:p>
    <w:p>
      <w:pPr>
        <w:spacing w:after="0" w:line="122" w:lineRule="exact"/>
        <w:rPr>
          <w:sz w:val="20"/>
          <w:szCs w:val="20"/>
          <w:color w:val="auto"/>
        </w:rPr>
      </w:pPr>
    </w:p>
    <w:p>
      <w:pPr>
        <w:ind w:left="340" w:hanging="337"/>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320" w:right="360" w:hanging="317"/>
        <w:spacing w:after="0" w:line="235" w:lineRule="auto"/>
        <w:tabs>
          <w:tab w:leader="none" w:pos="34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-1905</wp:posOffset>
            </wp:positionV>
            <wp:extent cx="28727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Hervé Hoppenot</w:t>
      </w:r>
    </w:p>
    <w:p>
      <w:pPr>
        <w:ind w:left="4540"/>
        <w:spacing w:after="0" w:line="203" w:lineRule="auto"/>
        <w:rPr>
          <w:sz w:val="20"/>
          <w:szCs w:val="20"/>
          <w:color w:val="auto"/>
        </w:rPr>
      </w:pPr>
      <w:r>
        <w:rPr>
          <w:rFonts w:ascii="Arial" w:cs="Arial" w:eastAsia="Arial" w:hAnsi="Arial"/>
          <w:sz w:val="18"/>
          <w:szCs w:val="18"/>
          <w:color w:val="auto"/>
        </w:rPr>
        <w:t>Chief Executive Officer</w:t>
      </w:r>
    </w:p>
    <w:p>
      <w:pPr>
        <w:ind w:left="4540"/>
        <w:spacing w:after="0"/>
        <w:rPr>
          <w:sz w:val="20"/>
          <w:szCs w:val="20"/>
          <w:color w:val="auto"/>
        </w:rPr>
      </w:pPr>
      <w:r>
        <w:rPr>
          <w:rFonts w:ascii="Arial" w:cs="Arial" w:eastAsia="Arial" w:hAnsi="Arial"/>
          <w:sz w:val="18"/>
          <w:szCs w:val="18"/>
          <w:color w:val="auto"/>
        </w:rPr>
        <w:t>October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664845</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28"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With reference to the Quarterly Report of Incyte Corporation (the “Company”) on Form 10-Q for the quarter ended September 30, 2018, as filed with the Securities and Exchange Commission on the date hereof (the “Report”), I, David W. Gryska, Chief Financial Officer of the Company, certify, for the purposes of 18 U.S.C. § 1350, as adopted pursuant to § 906 of the Sarbanes-Oxley Act of 2002, that, to my knowledge:</w:t>
      </w:r>
    </w:p>
    <w:p>
      <w:pPr>
        <w:spacing w:after="0" w:line="122" w:lineRule="exact"/>
        <w:rPr>
          <w:sz w:val="20"/>
          <w:szCs w:val="20"/>
          <w:color w:val="auto"/>
        </w:rPr>
      </w:pPr>
    </w:p>
    <w:p>
      <w:pPr>
        <w:ind w:left="340" w:hanging="337"/>
        <w:spacing w:after="0"/>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320" w:right="360" w:hanging="317"/>
        <w:spacing w:after="0" w:line="235" w:lineRule="auto"/>
        <w:tabs>
          <w:tab w:leader="none" w:pos="34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DAVID W. GRYSKA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-1905</wp:posOffset>
            </wp:positionV>
            <wp:extent cx="287274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2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David W. Gryska</w:t>
      </w:r>
    </w:p>
    <w:p>
      <w:pPr>
        <w:ind w:left="4540"/>
        <w:spacing w:after="0" w:line="203" w:lineRule="auto"/>
        <w:rPr>
          <w:sz w:val="20"/>
          <w:szCs w:val="20"/>
          <w:color w:val="auto"/>
        </w:rPr>
      </w:pPr>
      <w:r>
        <w:rPr>
          <w:rFonts w:ascii="Arial" w:cs="Arial" w:eastAsia="Arial" w:hAnsi="Arial"/>
          <w:sz w:val="18"/>
          <w:szCs w:val="18"/>
          <w:color w:val="auto"/>
        </w:rPr>
        <w:t>Chief Financial Officer</w:t>
      </w:r>
    </w:p>
    <w:p>
      <w:pPr>
        <w:ind w:left="4540"/>
        <w:spacing w:after="0"/>
        <w:rPr>
          <w:sz w:val="20"/>
          <w:szCs w:val="20"/>
          <w:color w:val="auto"/>
        </w:rPr>
      </w:pPr>
      <w:r>
        <w:rPr>
          <w:rFonts w:ascii="Arial" w:cs="Arial" w:eastAsia="Arial" w:hAnsi="Arial"/>
          <w:sz w:val="18"/>
          <w:szCs w:val="18"/>
          <w:color w:val="auto"/>
        </w:rPr>
        <w:t>October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553720</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2"/>
    </w:lvl>
  </w:abstractNum>
  <w:abstractNum w:abstractNumId="5">
    <w:nsid w:val="B03E0C6"/>
    <w:multiLevelType w:val="hybridMultilevel"/>
    <w:lvl w:ilvl="0">
      <w:lvlJc w:val="left"/>
      <w:lvlText w:val="(%1)"/>
      <w:numFmt w:val="lowerRoman"/>
      <w:start w:val="1"/>
    </w:lvl>
  </w:abstractNum>
  <w:abstractNum w:abstractNumId="6">
    <w:nsid w:val="189A769B"/>
    <w:multiLevelType w:val="hybridMultilevel"/>
    <w:lvl w:ilvl="0">
      <w:lvlJc w:val="left"/>
      <w:lvlText w:val="\endash "/>
      <w:numFmt w:val="bullet"/>
      <w:start w:val="1"/>
    </w:lvl>
  </w:abstractNum>
  <w:abstractNum w:abstractNumId="7">
    <w:nsid w:val="54E49EB4"/>
    <w:multiLevelType w:val="hybridMultilevel"/>
    <w:lvl w:ilvl="0">
      <w:lvlJc w:val="left"/>
      <w:lvlText w:val="%1."/>
      <w:numFmt w:val="decimal"/>
      <w:start w:val="3"/>
    </w:lvl>
  </w:abstractNum>
  <w:abstractNum w:abstractNumId="8">
    <w:nsid w:val="71F32454"/>
    <w:multiLevelType w:val="hybridMultilevel"/>
    <w:lvl w:ilvl="0">
      <w:lvlJc w:val="left"/>
      <w:lvlText w:val="%1."/>
      <w:numFmt w:val="decimal"/>
      <w:start w:val="4"/>
    </w:lvl>
  </w:abstractNum>
  <w:abstractNum w:abstractNumId="9">
    <w:nsid w:val="2CA88611"/>
    <w:multiLevelType w:val="hybridMultilevel"/>
    <w:lvl w:ilvl="0">
      <w:lvlJc w:val="left"/>
      <w:lvlText w:val="%1."/>
      <w:numFmt w:val="decimal"/>
      <w:start w:val="5"/>
    </w:lvl>
  </w:abstractNum>
  <w:abstractNum w:abstractNumId="10">
    <w:nsid w:val="836C40E"/>
    <w:multiLevelType w:val="hybridMultilevel"/>
    <w:lvl w:ilvl="0">
      <w:lvlJc w:val="left"/>
      <w:lvlText w:val="%1."/>
      <w:numFmt w:val="decimal"/>
      <w:start w:val="8"/>
    </w:lvl>
  </w:abstractNum>
  <w:abstractNum w:abstractNumId="11">
    <w:nsid w:val="2901D82"/>
    <w:multiLevelType w:val="hybridMultilevel"/>
    <w:lvl w:ilvl="0">
      <w:lvlJc w:val="left"/>
      <w:lvlText w:val="%1."/>
      <w:numFmt w:val="decimal"/>
      <w:start w:val="10"/>
    </w:lvl>
  </w:abstractNum>
  <w:abstractNum w:abstractNumId="12">
    <w:nsid w:val="3A95F874"/>
    <w:multiLevelType w:val="hybridMultilevel"/>
    <w:lvl w:ilvl="0">
      <w:lvlJc w:val="left"/>
      <w:lvlText w:val="%1."/>
      <w:numFmt w:val="decimal"/>
      <w:start w:val="11"/>
    </w:lvl>
  </w:abstractNum>
  <w:abstractNum w:abstractNumId="13">
    <w:nsid w:val="8138641"/>
    <w:multiLevelType w:val="hybridMultilevel"/>
    <w:lvl w:ilvl="0">
      <w:lvlJc w:val="left"/>
      <w:lvlText w:val="%1."/>
      <w:numFmt w:val="decimal"/>
      <w:start w:val="12"/>
    </w:lvl>
  </w:abstractNum>
  <w:abstractNum w:abstractNumId="14">
    <w:nsid w:val="1E7FF521"/>
    <w:multiLevelType w:val="hybridMultilevel"/>
    <w:lvl w:ilvl="0">
      <w:lvlJc w:val="left"/>
      <w:lvlText w:val="%1."/>
      <w:numFmt w:val="decimal"/>
      <w:start w:val="13"/>
    </w:lvl>
  </w:abstractNum>
  <w:abstractNum w:abstractNumId="15">
    <w:nsid w:val="7C3DBD3D"/>
    <w:multiLevelType w:val="hybridMultilevel"/>
    <w:lvl w:ilvl="0">
      <w:lvlJc w:val="left"/>
      <w:lvlText w:val="%1."/>
      <w:numFmt w:val="decimal"/>
      <w:start w:val="14"/>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lowerRoman"/>
      <w:start w:val="1"/>
    </w:lvl>
  </w:abstractNum>
  <w:abstractNum w:abstractNumId="25">
    <w:nsid w:val="5072367"/>
    <w:multiLevelType w:val="hybridMultilevel"/>
    <w:lvl w:ilvl="0">
      <w:lvlJc w:val="left"/>
      <w:lvlText w:val="\endash "/>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2019-12-28T18:39:20Z</dcterms:created>
  <dcterms:modified xsi:type="dcterms:W3CDTF">2019-12-28T18:39:20Z</dcterms:modified>
</cp:coreProperties>
</file>