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578217.xml.htm"/>
      <w:bookmarkStart w:id="1" w:name="kswkform4_17845782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Stein Steven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 AUGUSTINE CUT-OFF</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INCYTE CORP</w:t>
              </w:r>
            </w:hyperlink>
            <w:r>
              <w:rPr/>
              <w:t xml:space="preserve"> [ </w:t>
            </w:r>
            <w:r>
              <w:rPr>
                <w:rFonts w:ascii="Times;serif" w:hAnsi="Times;serif"/>
                <w:color w:val="0000FF"/>
                <w:sz w:val="24"/>
                <w:shd w:fill="FFFFFF" w:val="clear"/>
              </w:rPr>
              <w:t>INCY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CMO &amp; Head of Late-Stage Dev.</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114.73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21,118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9,798</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30,916</w:t>
            </w:r>
            <w:r>
              <w:rPr>
                <w:rFonts w:ascii="Times;serif" w:hAnsi="Times;serif"/>
                <w:color w:val="008000"/>
                <w:position w:val="7"/>
                <w:sz w:val="16"/>
                <w:sz w:val="20"/>
                <w:shd w:fill="FFFFFF" w:val="clear"/>
              </w:rPr>
              <w:t>(2)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24,496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24,496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24,496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116.65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42,298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42,298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42,298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award of restricted stock units ("RSUs") that will vest 25% annually over four years. The RSUs may be settled only for shares of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Including the July 16, 2026 grant, this includes an aggregate of 29,338 shares of common stock issuable pursuant to previously reported restricted stock units and earned performance stock units that have not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share represents the right to receive up to 200% of one share of common stock. Such shares may be earned based upon the issuer's relative total shareholder return ("TSR") over a three-year performance period beginning on January 1, 2026 as compared to the TSR of companies in a fixed peer group, as set forth in the Performance Share Award Agreement. The earned shares will vest on the third anniversary of the grant date subject to the Reporting Person's continued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July 16, 2026 options become exercisable in 37 installments, with the first 25% vesting after one year and the remainder vesting monthly over three years. Remarks: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Feeney,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73776" TargetMode="External"/><Relationship Id="rId5" Type="http://schemas.openxmlformats.org/officeDocument/2006/relationships/hyperlink" Target="http://www.sec.gov/cgi-bin/browse-edgar?action=getcompany&amp;CIK=0000879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785</Words>
  <Characters>4194</Characters>
  <CharactersWithSpaces>4876</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