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Christiana Stamoulis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Incyte Corp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1801 Augustine Cut-Off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Wilmington, DE 19803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Incyte Corp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13,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001-12400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Stamoulis: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Organization and Summary of Significant Accounting Policies Milestones and Contract Revenues, page 85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how you recognize milestones earned under collaborative arrangements.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tell us how you measure the amounts recognized and determine the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recognition. Help us understand your accounting by identifying the currently active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collaborative arrangements under which you may receive milestone payments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obligations.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Concentrations of Credit Risk, page 92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customers that accounted for at least 10% of total revenues.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do not name these customers as required by Item 101(c)(1)(vii)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 S-K. Christiana Stamoulis Incyte Corp</w:t>
      </w:r>
    </w:p>
    <w:p>
      <w:pPr>
        <w:ind w:right="8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2020 Page 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Keira Nakada at (202) 551-3659 or Linda Cvrkel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LastNameChristiana Stamoulis</w:t>
            </w:r>
          </w:p>
        </w:tc>
        <w:tc>
          <w:tcPr>
            <w:tcW w:w="2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Comapany NameIncyte</w:t>
            </w: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Corporation Finance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25,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2020 Page</w:t>
            </w: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  <w:tc>
          <w:tcPr>
            <w:tcW w:w="284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Trade &amp;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44" w:right="1440" w:bottom="43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2021-08-15T20:18:36Z</dcterms:created>
  <dcterms:modified xsi:type="dcterms:W3CDTF">2021-08-15T20:18:36Z</dcterms:modified>
</cp:coreProperties>
</file>