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131" w:lineRule="exact"/>
        <w:rPr>
          <w:sz w:val="24"/>
          <w:szCs w:val="24"/>
          <w:color w:val="auto"/>
        </w:rPr>
      </w:pPr>
    </w:p>
    <w:p>
      <w:pPr>
        <w:ind w:left="640" w:right="300" w:hanging="326"/>
        <w:spacing w:after="0" w:line="267" w:lineRule="auto"/>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640" w:right="280" w:hanging="326"/>
        <w:spacing w:after="0" w:line="267" w:lineRule="auto"/>
        <w:tabs>
          <w:tab w:leader="none" w:pos="6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64" w:lineRule="exact"/>
        <w:rPr>
          <w:sz w:val="24"/>
          <w:szCs w:val="24"/>
          <w:color w:val="auto"/>
        </w:rPr>
      </w:pPr>
    </w:p>
    <w:p>
      <w:pPr>
        <w:ind w:left="348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001-12400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INCYTE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63"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548"/>
              <w:spacing w:after="0"/>
              <w:rPr>
                <w:sz w:val="20"/>
                <w:szCs w:val="20"/>
                <w:color w:val="auto"/>
              </w:rPr>
            </w:pPr>
            <w:r>
              <w:rPr>
                <w:rFonts w:ascii="Arial" w:cs="Arial" w:eastAsia="Arial" w:hAnsi="Arial"/>
                <w:sz w:val="16"/>
                <w:szCs w:val="16"/>
                <w:b w:val="1"/>
                <w:bCs w:val="1"/>
                <w:color w:val="auto"/>
              </w:rPr>
              <w:t>94-3136539</w:t>
            </w:r>
          </w:p>
        </w:tc>
      </w:tr>
      <w:tr>
        <w:trPr>
          <w:trHeight w:val="203"/>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4"/>
              </w:rPr>
              <w:t>(IRS Employer</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4"/>
              </w:rPr>
              <w:t>incorporation or organization)</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7"/>
              </w:rPr>
              <w:t>Identification No.)</w:t>
            </w:r>
          </w:p>
        </w:tc>
      </w:tr>
      <w:tr>
        <w:trPr>
          <w:trHeight w:val="397"/>
        </w:trPr>
        <w:tc>
          <w:tcPr>
            <w:tcW w:w="680" w:type="dxa"/>
            <w:vAlign w:val="bottom"/>
          </w:tcPr>
          <w:p>
            <w:pPr>
              <w:spacing w:after="0"/>
              <w:rPr>
                <w:sz w:val="24"/>
                <w:szCs w:val="24"/>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2"/>
              </w:rPr>
              <w:t>1801 Augustine Cut-Off</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5"/>
              </w:rPr>
              <w:t>Wilmington, DE 19803</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right"/>
              <w:ind w:right="1728"/>
              <w:spacing w:after="0"/>
              <w:rPr>
                <w:sz w:val="20"/>
                <w:szCs w:val="20"/>
                <w:color w:val="auto"/>
              </w:rPr>
            </w:pPr>
            <w:r>
              <w:rPr>
                <w:rFonts w:ascii="Arial" w:cs="Arial" w:eastAsia="Arial" w:hAnsi="Arial"/>
                <w:sz w:val="16"/>
                <w:szCs w:val="16"/>
                <w:b w:val="1"/>
                <w:bCs w:val="1"/>
                <w:color w:val="auto"/>
              </w:rPr>
              <w:t>19803</w:t>
            </w:r>
          </w:p>
        </w:tc>
      </w:tr>
      <w:tr>
        <w:trPr>
          <w:trHeight w:val="206"/>
        </w:trPr>
        <w:tc>
          <w:tcPr>
            <w:tcW w:w="680" w:type="dxa"/>
            <w:vAlign w:val="bottom"/>
          </w:tcPr>
          <w:p>
            <w:pPr>
              <w:spacing w:after="0"/>
              <w:rPr>
                <w:sz w:val="17"/>
                <w:szCs w:val="17"/>
                <w:color w:val="auto"/>
              </w:rPr>
            </w:pPr>
          </w:p>
        </w:tc>
        <w:tc>
          <w:tcPr>
            <w:tcW w:w="3080" w:type="dxa"/>
            <w:vAlign w:val="bottom"/>
            <w:gridSpan w:val="2"/>
          </w:tcPr>
          <w:p>
            <w:pPr>
              <w:jc w:val="center"/>
              <w:ind w:right="239"/>
              <w:spacing w:after="0"/>
              <w:rPr>
                <w:sz w:val="20"/>
                <w:szCs w:val="20"/>
                <w:color w:val="auto"/>
              </w:rPr>
            </w:pPr>
            <w:r>
              <w:rPr>
                <w:rFonts w:ascii="Arial" w:cs="Arial" w:eastAsia="Arial" w:hAnsi="Arial"/>
                <w:sz w:val="16"/>
                <w:szCs w:val="16"/>
                <w:color w:val="auto"/>
                <w:w w:val="93"/>
              </w:rPr>
              <w:t>(Address of principal executive offices)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80" w:type="dxa"/>
            <w:vAlign w:val="bottom"/>
            <w:gridSpan w:val="2"/>
          </w:tcPr>
          <w:p>
            <w:pPr>
              <w:jc w:val="center"/>
              <w:ind w:right="1268"/>
              <w:spacing w:after="0"/>
              <w:rPr>
                <w:sz w:val="20"/>
                <w:szCs w:val="20"/>
                <w:color w:val="auto"/>
              </w:rPr>
            </w:pPr>
            <w:r>
              <w:rPr>
                <w:rFonts w:ascii="Arial" w:cs="Arial" w:eastAsia="Arial" w:hAnsi="Arial"/>
                <w:sz w:val="16"/>
                <w:szCs w:val="16"/>
                <w:color w:val="auto"/>
                <w:w w:val="92"/>
              </w:rPr>
              <w:t>(Zip Code)</w:t>
            </w:r>
          </w:p>
        </w:tc>
      </w:tr>
      <w:tr>
        <w:trPr>
          <w:trHeight w:val="320"/>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40" w:type="dxa"/>
            <w:vAlign w:val="bottom"/>
            <w:gridSpan w:val="2"/>
          </w:tcPr>
          <w:p>
            <w:pPr>
              <w:jc w:val="center"/>
              <w:ind w:left="204"/>
              <w:spacing w:after="0"/>
              <w:rPr>
                <w:sz w:val="20"/>
                <w:szCs w:val="20"/>
                <w:color w:val="auto"/>
              </w:rPr>
            </w:pPr>
            <w:r>
              <w:rPr>
                <w:rFonts w:ascii="Arial" w:cs="Arial" w:eastAsia="Arial" w:hAnsi="Arial"/>
                <w:sz w:val="16"/>
                <w:szCs w:val="16"/>
                <w:b w:val="1"/>
                <w:bCs w:val="1"/>
                <w:color w:val="auto"/>
                <w:w w:val="93"/>
              </w:rPr>
              <w:t>(302) 498-6700</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6"/>
        </w:trPr>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40" w:type="dxa"/>
            <w:vAlign w:val="bottom"/>
            <w:gridSpan w:val="4"/>
          </w:tcPr>
          <w:p>
            <w:pPr>
              <w:jc w:val="center"/>
              <w:ind w:left="879"/>
              <w:spacing w:after="0"/>
              <w:rPr>
                <w:sz w:val="20"/>
                <w:szCs w:val="20"/>
                <w:color w:val="auto"/>
              </w:rPr>
            </w:pPr>
            <w:r>
              <w:rPr>
                <w:rFonts w:ascii="Arial" w:cs="Arial" w:eastAsia="Arial" w:hAnsi="Arial"/>
                <w:sz w:val="16"/>
                <w:szCs w:val="16"/>
                <w:color w:val="auto"/>
                <w:w w:val="91"/>
              </w:rPr>
              <w:t>(Registrant’s telephone number, including area code)</w:t>
            </w: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97"/>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40" w:type="dxa"/>
            <w:vAlign w:val="bottom"/>
            <w:gridSpan w:val="4"/>
          </w:tcPr>
          <w:p>
            <w:pPr>
              <w:jc w:val="center"/>
              <w:ind w:left="8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3"/>
        </w:trPr>
        <w:tc>
          <w:tcPr>
            <w:tcW w:w="6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0" w:type="dxa"/>
            <w:vAlign w:val="bottom"/>
          </w:tcPr>
          <w:p>
            <w:pPr>
              <w:spacing w:after="0"/>
              <w:rPr>
                <w:sz w:val="22"/>
                <w:szCs w:val="22"/>
                <w:color w:val="auto"/>
              </w:rPr>
            </w:pPr>
          </w:p>
        </w:tc>
        <w:tc>
          <w:tcPr>
            <w:tcW w:w="28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Pr>
          <w:p>
            <w:pPr>
              <w:spacing w:after="0"/>
              <w:rPr>
                <w:sz w:val="22"/>
                <w:szCs w:val="22"/>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r>
        <w:trPr>
          <w:trHeight w:val="176"/>
        </w:trPr>
        <w:tc>
          <w:tcPr>
            <w:tcW w:w="3760" w:type="dxa"/>
            <w:vAlign w:val="bottom"/>
            <w:gridSpan w:val="3"/>
          </w:tcPr>
          <w:p>
            <w:pPr>
              <w:jc w:val="center"/>
              <w:ind w:right="1259"/>
              <w:spacing w:after="0"/>
              <w:rPr>
                <w:sz w:val="20"/>
                <w:szCs w:val="20"/>
                <w:color w:val="auto"/>
              </w:rPr>
            </w:pPr>
            <w:r>
              <w:rPr>
                <w:rFonts w:ascii="Arial" w:cs="Arial" w:eastAsia="Arial" w:hAnsi="Arial"/>
                <w:sz w:val="14"/>
                <w:szCs w:val="14"/>
                <w:color w:val="auto"/>
                <w:w w:val="91"/>
              </w:rPr>
              <w:t>Common Stock, $.001 par value per share</w:t>
            </w:r>
          </w:p>
        </w:tc>
        <w:tc>
          <w:tcPr>
            <w:tcW w:w="400" w:type="dxa"/>
            <w:vAlign w:val="bottom"/>
          </w:tcPr>
          <w:p>
            <w:pPr>
              <w:spacing w:after="0"/>
              <w:rPr>
                <w:sz w:val="15"/>
                <w:szCs w:val="15"/>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color w:val="auto"/>
              </w:rPr>
              <w:t>INCY</w:t>
            </w:r>
          </w:p>
        </w:tc>
        <w:tc>
          <w:tcPr>
            <w:tcW w:w="32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105"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1" w:lineRule="exact"/>
        <w:rPr>
          <w:sz w:val="24"/>
          <w:szCs w:val="24"/>
          <w:color w:val="auto"/>
        </w:rPr>
      </w:pPr>
    </w:p>
    <w:p>
      <w:pPr>
        <w:jc w:val="both"/>
        <w:ind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73" w:lineRule="exact"/>
        <w:rPr>
          <w:sz w:val="24"/>
          <w:szCs w:val="24"/>
          <w:color w:val="auto"/>
        </w:rPr>
      </w:pPr>
    </w:p>
    <w:p>
      <w:pPr>
        <w:ind w:left="1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360" w:space="720"/>
            <w:col w:w="3140"/>
          </w:cols>
          <w:pgMar w:left="840" w:top="665" w:right="839" w:bottom="1440" w:gutter="0" w:footer="0" w:header="0"/>
          <w:type w:val="continuous"/>
        </w:sectPr>
      </w:pPr>
    </w:p>
    <w:p>
      <w:pPr>
        <w:spacing w:after="0" w:line="44"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000" w:space="720"/>
            <w:col w:w="3500"/>
          </w:cols>
          <w:pgMar w:left="840" w:top="665" w:right="839" w:bottom="1440" w:gutter="0" w:footer="0" w:header="0"/>
          <w:type w:val="continuous"/>
        </w:sectPr>
      </w:pPr>
    </w:p>
    <w:p>
      <w:pPr>
        <w:spacing w:after="0" w:line="44" w:lineRule="exact"/>
        <w:rPr>
          <w:sz w:val="24"/>
          <w:szCs w:val="24"/>
          <w:color w:val="auto"/>
        </w:rPr>
      </w:pPr>
    </w:p>
    <w:p>
      <w:pPr>
        <w:ind w:left="6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0220"/>
          </w:cols>
          <w:pgMar w:left="840" w:top="665" w:right="839" w:bottom="1440" w:gutter="0" w:footer="0" w:header="0"/>
          <w:type w:val="continuous"/>
        </w:sectPr>
      </w:pPr>
    </w:p>
    <w:p>
      <w:pPr>
        <w:spacing w:after="0" w:line="207" w:lineRule="exact"/>
        <w:rPr>
          <w:sz w:val="24"/>
          <w:szCs w:val="24"/>
          <w:color w:val="auto"/>
        </w:rPr>
      </w:pPr>
    </w:p>
    <w:p>
      <w:pPr>
        <w:ind w:right="26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20" w:right="158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The number of outstanding shares of the registrant’s Common Stock, $.001 par value, was 219,923,477 as of April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535940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115570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158750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rPr>
              <w:t>INCYTE CORPORATION</w:t>
            </w:r>
          </w:p>
        </w:tc>
        <w:tc>
          <w:tcPr>
            <w:tcW w:w="1720" w:type="dxa"/>
            <w:vAlign w:val="bottom"/>
          </w:tcPr>
          <w:p>
            <w:pPr>
              <w:spacing w:after="0"/>
              <w:rPr>
                <w:sz w:val="20"/>
                <w:szCs w:val="20"/>
                <w:color w:val="auto"/>
              </w:rPr>
            </w:pPr>
          </w:p>
        </w:tc>
      </w:tr>
      <w:tr>
        <w:trPr>
          <w:trHeight w:val="35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20" w:type="dxa"/>
            <w:vAlign w:val="bottom"/>
            <w:gridSpan w:val="7"/>
          </w:tcPr>
          <w:p>
            <w:pPr>
              <w:jc w:val="center"/>
              <w:ind w:right="1940"/>
              <w:spacing w:after="0"/>
              <w:rPr>
                <w:sz w:val="20"/>
                <w:szCs w:val="20"/>
                <w:color w:val="auto"/>
              </w:rPr>
            </w:pPr>
            <w:r>
              <w:rPr>
                <w:rFonts w:ascii="Arial" w:cs="Arial" w:eastAsia="Arial" w:hAnsi="Arial"/>
                <w:sz w:val="18"/>
                <w:szCs w:val="18"/>
                <w:b w:val="1"/>
                <w:bCs w:val="1"/>
                <w:color w:val="auto"/>
              </w:rPr>
              <w:t>INDEX</w:t>
            </w:r>
          </w:p>
        </w:tc>
        <w:tc>
          <w:tcPr>
            <w:tcW w:w="1720" w:type="dxa"/>
            <w:vAlign w:val="bottom"/>
          </w:tcPr>
          <w:p>
            <w:pPr>
              <w:spacing w:after="0"/>
              <w:rPr>
                <w:sz w:val="24"/>
                <w:szCs w:val="24"/>
                <w:color w:val="auto"/>
              </w:rPr>
            </w:pPr>
          </w:p>
        </w:tc>
      </w:tr>
      <w:tr>
        <w:trPr>
          <w:trHeight w:val="338"/>
        </w:trPr>
        <w:tc>
          <w:tcPr>
            <w:tcW w:w="720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3">
              <w:r>
                <w:rPr>
                  <w:rFonts w:ascii="Arial" w:cs="Arial" w:eastAsia="Arial" w:hAnsi="Arial"/>
                  <w:sz w:val="18"/>
                  <w:szCs w:val="18"/>
                  <w:b w:val="1"/>
                  <w:bCs w:val="1"/>
                  <w:color w:val="0000EE"/>
                </w:rPr>
                <w:t>FINANCIAL INFORMATION</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80" w:type="dxa"/>
            <w:vAlign w:val="bottom"/>
            <w:tcBorders>
              <w:top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Item 1.</w:t>
              </w:r>
            </w:hyperlink>
          </w:p>
        </w:tc>
        <w:tc>
          <w:tcPr>
            <w:tcW w:w="120" w:type="dxa"/>
            <w:vAlign w:val="bottom"/>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120" w:type="dxa"/>
            <w:vAlign w:val="bottom"/>
            <w:gridSpan w:val="8"/>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3520" w:type="dxa"/>
            <w:vAlign w:val="bottom"/>
            <w:gridSpan w:val="7"/>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13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w:t>
              </w:r>
            </w:hyperlink>
          </w:p>
        </w:tc>
        <w:tc>
          <w:tcPr>
            <w:tcW w:w="206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274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2460" w:type="dxa"/>
            <w:vAlign w:val="bottom"/>
            <w:gridSpan w:val="4"/>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2.</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Forward-Looking Statements</w:t>
              </w:r>
            </w:hyperlink>
          </w:p>
        </w:tc>
        <w:tc>
          <w:tcPr>
            <w:tcW w:w="4340" w:type="dxa"/>
            <w:vAlign w:val="bottom"/>
            <w:gridSpan w:val="9"/>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Summary Risk Factors</w:t>
              </w:r>
            </w:hyperlink>
          </w:p>
        </w:tc>
        <w:tc>
          <w:tcPr>
            <w:tcW w:w="4800" w:type="dxa"/>
            <w:vAlign w:val="bottom"/>
            <w:gridSpan w:val="1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3.</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4.</w:t>
              </w:r>
            </w:hyperlink>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7200" w:type="dxa"/>
            <w:vAlign w:val="bottom"/>
            <w:gridSpan w:val="23"/>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EE"/>
              </w:rPr>
              <w:t xml:space="preserve"> </w:t>
            </w:r>
            <w:hyperlink w:anchor="page64">
              <w:r>
                <w:rPr>
                  <w:rFonts w:ascii="Arial" w:cs="Arial" w:eastAsia="Arial" w:hAnsi="Arial"/>
                  <w:sz w:val="18"/>
                  <w:szCs w:val="18"/>
                  <w:b w:val="1"/>
                  <w:bCs w:val="1"/>
                  <w:color w:val="0000EE"/>
                </w:rPr>
                <w:t>OTHER INFORMATION</w:t>
              </w:r>
            </w:hyperlink>
          </w:p>
        </w:tc>
        <w:tc>
          <w:tcPr>
            <w:tcW w:w="172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420" w:type="dxa"/>
            <w:vAlign w:val="bottom"/>
            <w:gridSpan w:val="1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w w:val="94"/>
              </w:rPr>
            </w:pPr>
            <w:hyperlink w:anchor="page64">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6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540" w:type="dxa"/>
            <w:vAlign w:val="bottom"/>
            <w:gridSpan w:val="1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680" w:type="dxa"/>
            <w:vAlign w:val="bottom"/>
            <w:gridSpan w:val="4"/>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Item 6.</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PART I:</w:t>
        <w:tab/>
        <w:t>FINANCIAL INFORMATION</w:t>
      </w: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(unaudited)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6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1,669,968</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1,513,008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ind w:left="200"/>
              <w:spacing w:after="0" w:line="172" w:lineRule="exact"/>
              <w:rPr>
                <w:sz w:val="20"/>
                <w:szCs w:val="20"/>
                <w:color w:val="auto"/>
              </w:rPr>
            </w:pPr>
            <w:r>
              <w:rPr>
                <w:rFonts w:ascii="Arial" w:cs="Arial" w:eastAsia="Arial" w:hAnsi="Arial"/>
                <w:sz w:val="17"/>
                <w:szCs w:val="17"/>
                <w:color w:val="auto"/>
                <w:w w:val="93"/>
              </w:rPr>
              <w:t>Marketable securities—available-for-sale (amortized cost $292,278; allowance for credit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7"/>
                <w:szCs w:val="17"/>
                <w:color w:val="auto"/>
              </w:rPr>
              <w:t>losses $0)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292,425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288,369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Accounts receivable</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397,357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481,994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00"/>
              <w:spacing w:after="0" w:line="189" w:lineRule="exact"/>
              <w:rPr>
                <w:sz w:val="20"/>
                <w:szCs w:val="20"/>
                <w:color w:val="auto"/>
              </w:rPr>
            </w:pPr>
            <w:r>
              <w:rPr>
                <w:rFonts w:ascii="Arial" w:cs="Arial" w:eastAsia="Arial" w:hAnsi="Arial"/>
                <w:sz w:val="17"/>
                <w:szCs w:val="17"/>
                <w:color w:val="auto"/>
              </w:rPr>
              <w:t>Inventory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16,700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16,425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73,519</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60,098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60" w:type="dxa"/>
            <w:vAlign w:val="bottom"/>
          </w:tcPr>
          <w:p>
            <w:pPr>
              <w:ind w:left="300"/>
              <w:spacing w:after="0" w:line="183" w:lineRule="exact"/>
              <w:rPr>
                <w:sz w:val="20"/>
                <w:szCs w:val="20"/>
                <w:color w:val="auto"/>
              </w:rPr>
            </w:pPr>
            <w:r>
              <w:rPr>
                <w:rFonts w:ascii="Arial" w:cs="Arial" w:eastAsia="Arial" w:hAnsi="Arial"/>
                <w:sz w:val="17"/>
                <w:szCs w:val="17"/>
                <w:color w:val="auto"/>
              </w:rPr>
              <w:t>Total current assets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7"/>
                <w:szCs w:val="17"/>
                <w:color w:val="auto"/>
              </w:rPr>
              <w:t>2,449,969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2,359,894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Restricted cash and investments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1,643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1,757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 term investments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202,174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222,301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Inventory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23,679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19,548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594,670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559,625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Finance lease right-of-use assets, net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27,987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28,451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intangible assets, net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166,907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172,291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Goodwill</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155,593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155,593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assets, net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38,814</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41,458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7"/>
                <w:szCs w:val="17"/>
                <w:color w:val="auto"/>
              </w:rPr>
              <w:t>Total assets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3,661,436</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3,560,918</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00"/>
              <w:spacing w:after="0" w:line="189" w:lineRule="exact"/>
              <w:rPr>
                <w:sz w:val="20"/>
                <w:szCs w:val="20"/>
                <w:color w:val="auto"/>
              </w:rPr>
            </w:pPr>
            <w:r>
              <w:rPr>
                <w:rFonts w:ascii="Arial" w:cs="Arial" w:eastAsia="Arial" w:hAnsi="Arial"/>
                <w:sz w:val="17"/>
                <w:szCs w:val="17"/>
                <w:color w:val="auto"/>
              </w:rPr>
              <w:t>Accounts payable</w:t>
            </w:r>
          </w:p>
        </w:tc>
        <w:tc>
          <w:tcPr>
            <w:tcW w:w="240" w:type="dxa"/>
            <w:vAlign w:val="bottom"/>
            <w:gridSpan w:val="2"/>
          </w:tcPr>
          <w:p>
            <w:pPr>
              <w:jc w:val="right"/>
              <w:ind w:right="5"/>
              <w:spacing w:after="0" w:line="189"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85,058</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98,767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Accrued compensation</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75,718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113,340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00"/>
              <w:spacing w:after="0" w:line="189" w:lineRule="exact"/>
              <w:rPr>
                <w:sz w:val="20"/>
                <w:szCs w:val="20"/>
                <w:color w:val="auto"/>
              </w:rPr>
            </w:pPr>
            <w:r>
              <w:rPr>
                <w:rFonts w:ascii="Arial" w:cs="Arial" w:eastAsia="Arial" w:hAnsi="Arial"/>
                <w:sz w:val="17"/>
                <w:szCs w:val="17"/>
                <w:color w:val="auto"/>
              </w:rPr>
              <w:t>Accrued and other current liabilities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420,882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378,404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Finance lease liabilities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2,317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2,284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Borders>
              <w:bottom w:val="single" w:sz="8" w:color="CCEEFF"/>
            </w:tcBorders>
          </w:tcPr>
          <w:p>
            <w:pPr>
              <w:ind w:left="200"/>
              <w:spacing w:after="0" w:line="189" w:lineRule="exact"/>
              <w:rPr>
                <w:sz w:val="20"/>
                <w:szCs w:val="20"/>
                <w:color w:val="auto"/>
              </w:rPr>
            </w:pPr>
            <w:r>
              <w:rPr>
                <w:rFonts w:ascii="Arial" w:cs="Arial" w:eastAsia="Arial" w:hAnsi="Arial"/>
                <w:sz w:val="17"/>
                <w:szCs w:val="17"/>
                <w:color w:val="auto"/>
              </w:rPr>
              <w:t>Acquisition-related contingent consideration</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39,906</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38,400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60" w:type="dxa"/>
            <w:vAlign w:val="bottom"/>
            <w:shd w:val="clear" w:color="auto" w:fill="CCEEFF"/>
          </w:tcPr>
          <w:p>
            <w:pPr>
              <w:ind w:left="300"/>
              <w:spacing w:after="0" w:line="183" w:lineRule="exact"/>
              <w:rPr>
                <w:sz w:val="20"/>
                <w:szCs w:val="20"/>
                <w:color w:val="auto"/>
              </w:rPr>
            </w:pPr>
            <w:r>
              <w:rPr>
                <w:rFonts w:ascii="Arial" w:cs="Arial" w:eastAsia="Arial" w:hAnsi="Arial"/>
                <w:sz w:val="17"/>
                <w:szCs w:val="17"/>
                <w:color w:val="auto"/>
              </w:rPr>
              <w:t>Total current liabilities</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623,881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631,195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Acquisition-related contingent consideration</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223,094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227,600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Finance lease liabilities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32,154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32,573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liabilities</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54,463</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58,282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6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7"/>
                <w:szCs w:val="17"/>
                <w:color w:val="auto"/>
              </w:rPr>
              <w:t>Total liabilities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933,592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949,650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Commitments and contingencies (Note 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shd w:val="clear" w:color="auto" w:fill="CCEEFF"/>
          </w:tcPr>
          <w:p>
            <w:pPr>
              <w:ind w:left="200"/>
              <w:spacing w:after="0" w:line="172" w:lineRule="exact"/>
              <w:rPr>
                <w:sz w:val="20"/>
                <w:szCs w:val="20"/>
                <w:color w:val="auto"/>
              </w:rPr>
            </w:pPr>
            <w:r>
              <w:rPr>
                <w:rFonts w:ascii="Arial" w:cs="Arial" w:eastAsia="Arial" w:hAnsi="Arial"/>
                <w:sz w:val="17"/>
                <w:szCs w:val="17"/>
                <w:color w:val="auto"/>
              </w:rPr>
              <w:t>Preferred stock, $0.001 par value; 5,000,000 shares authorized; none issued or</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outstanding as of March 31, 2021 and December 31, 2020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ind w:left="200"/>
              <w:spacing w:after="0" w:line="172" w:lineRule="exact"/>
              <w:rPr>
                <w:sz w:val="20"/>
                <w:szCs w:val="20"/>
                <w:color w:val="auto"/>
              </w:rPr>
            </w:pPr>
            <w:r>
              <w:rPr>
                <w:rFonts w:ascii="Arial" w:cs="Arial" w:eastAsia="Arial" w:hAnsi="Arial"/>
                <w:sz w:val="17"/>
                <w:szCs w:val="17"/>
                <w:color w:val="auto"/>
                <w:w w:val="97"/>
              </w:rPr>
              <w:t>Common stock, $0.001 par value; 400,000,000 shares authorized; 219,880,198 and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00"/>
              <w:spacing w:after="0" w:line="189" w:lineRule="exact"/>
              <w:rPr>
                <w:sz w:val="20"/>
                <w:szCs w:val="20"/>
                <w:color w:val="auto"/>
              </w:rPr>
            </w:pPr>
            <w:r>
              <w:rPr>
                <w:rFonts w:ascii="Arial" w:cs="Arial" w:eastAsia="Arial" w:hAnsi="Arial"/>
                <w:sz w:val="17"/>
                <w:szCs w:val="17"/>
                <w:color w:val="auto"/>
                <w:w w:val="96"/>
              </w:rPr>
              <w:t>219,489,329 shares issued and outstanding as of March 31, 2021 and 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60" w:type="dxa"/>
            <w:vAlign w:val="bottom"/>
          </w:tcPr>
          <w:p>
            <w:pPr>
              <w:ind w:left="200"/>
              <w:spacing w:after="0"/>
              <w:rPr>
                <w:sz w:val="20"/>
                <w:szCs w:val="20"/>
                <w:color w:val="auto"/>
              </w:rPr>
            </w:pPr>
            <w:r>
              <w:rPr>
                <w:rFonts w:ascii="Arial" w:cs="Arial" w:eastAsia="Arial" w:hAnsi="Arial"/>
                <w:sz w:val="17"/>
                <w:szCs w:val="17"/>
                <w:color w:val="auto"/>
              </w:rPr>
              <w:t>2020, respectively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4,420,902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4,352,864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ind w:left="200"/>
              <w:spacing w:after="0" w:line="189" w:lineRule="exact"/>
              <w:rPr>
                <w:sz w:val="20"/>
                <w:szCs w:val="20"/>
                <w:color w:val="auto"/>
              </w:rPr>
            </w:pPr>
            <w:r>
              <w:rPr>
                <w:rFonts w:ascii="Arial" w:cs="Arial" w:eastAsia="Arial" w:hAnsi="Arial"/>
                <w:sz w:val="17"/>
                <w:szCs w:val="17"/>
                <w:color w:val="auto"/>
              </w:rPr>
              <w:t>Accumulated other comprehensive 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(20,358)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(15,360)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(1,672,920)</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(1,726,455)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6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7"/>
                <w:szCs w:val="17"/>
                <w:color w:val="auto"/>
              </w:rPr>
              <w:t>Total stockholders’ equity</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2,727,844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2,611,268</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60" w:type="dxa"/>
            <w:vAlign w:val="bottom"/>
            <w:tcBorders>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7"/>
                <w:szCs w:val="17"/>
                <w:color w:val="auto"/>
              </w:rPr>
              <w:t>Total liabilities and stockholders’ equity</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3,661,436</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3,560,918</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right="119" w:hanging="10"/>
        <w:spacing w:after="0" w:line="258" w:lineRule="auto"/>
        <w:tabs>
          <w:tab w:leader="none" w:pos="26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condensed consolidated balance sheet at December 31, 2020 has been derived from the audited consolidated financial statements at that date.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r>
        <w:rPr>
          <w:rFonts w:ascii="Arial" w:cs="Arial" w:eastAsia="Arial" w:hAnsi="Arial"/>
          <w:sz w:val="17"/>
          <w:szCs w:val="17"/>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142"/>
        </w:trPr>
        <w:tc>
          <w:tcPr>
            <w:tcW w:w="63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shd w:val="clear" w:color="auto" w:fill="CCEEFF"/>
          </w:tcPr>
          <w:p>
            <w:pPr>
              <w:spacing w:after="0"/>
              <w:rPr>
                <w:sz w:val="12"/>
                <w:szCs w:val="12"/>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revenues,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486,727</w:t>
            </w: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Product royalty revenues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81,780</w:t>
            </w:r>
          </w:p>
        </w:tc>
        <w:tc>
          <w:tcPr>
            <w:tcW w:w="160" w:type="dxa"/>
            <w:vAlign w:val="bottom"/>
            <w:tcBorders>
              <w:bottom w:val="single" w:sz="8" w:color="CCEEFF"/>
            </w:tcBorders>
          </w:tcPr>
          <w:p>
            <w:pPr>
              <w:spacing w:after="0"/>
              <w:rPr>
                <w:sz w:val="18"/>
                <w:szCs w:val="18"/>
                <w:color w:val="auto"/>
              </w:rPr>
            </w:pPr>
          </w:p>
        </w:tc>
      </w:tr>
      <w:tr>
        <w:trPr>
          <w:trHeight w:val="209"/>
        </w:trPr>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604,718</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568,507</w:t>
            </w:r>
          </w:p>
        </w:tc>
        <w:tc>
          <w:tcPr>
            <w:tcW w:w="160" w:type="dxa"/>
            <w:vAlign w:val="bottom"/>
            <w:tcBorders>
              <w:bottom w:val="single" w:sz="8" w:color="CCEEFF"/>
            </w:tcBorders>
          </w:tcPr>
          <w:p>
            <w:pPr>
              <w:spacing w:after="0"/>
              <w:rPr>
                <w:sz w:val="18"/>
                <w:szCs w:val="18"/>
                <w:color w:val="auto"/>
              </w:rPr>
            </w:pPr>
          </w:p>
        </w:tc>
      </w:tr>
      <w:tr>
        <w:trPr>
          <w:trHeight w:val="209"/>
        </w:trPr>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 (including definite-lived intangible amortization)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27,319</w:t>
            </w: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306,896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1,085,287</w:t>
            </w: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111,148</w:t>
            </w: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6,627</w:t>
            </w: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loss sharing</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60" w:type="dxa"/>
            <w:vAlign w:val="bottom"/>
            <w:shd w:val="clear" w:color="auto" w:fill="CCEEFF"/>
          </w:tcPr>
          <w:p>
            <w:pPr>
              <w:spacing w:after="0"/>
              <w:rPr>
                <w:sz w:val="18"/>
                <w:szCs w:val="18"/>
                <w:color w:val="auto"/>
              </w:rPr>
            </w:pPr>
          </w:p>
        </w:tc>
      </w:tr>
      <w:tr>
        <w:trPr>
          <w:trHeight w:val="209"/>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505,921</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1,232,511</w:t>
            </w:r>
          </w:p>
        </w:tc>
        <w:tc>
          <w:tcPr>
            <w:tcW w:w="160" w:type="dxa"/>
            <w:vAlign w:val="bottom"/>
            <w:shd w:val="clear" w:color="auto" w:fill="CCEEFF"/>
          </w:tcPr>
          <w:p>
            <w:pPr>
              <w:spacing w:after="0"/>
              <w:rPr>
                <w:sz w:val="18"/>
                <w:szCs w:val="18"/>
                <w:color w:val="auto"/>
              </w:rPr>
            </w:pPr>
          </w:p>
        </w:tc>
      </w:tr>
      <w:tr>
        <w:trPr>
          <w:trHeight w:val="209"/>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(664,004)</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(1,407)</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8,662</w:t>
            </w: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Unrealized loss on long term investments</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(27,709)</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(48,132)</w:t>
            </w:r>
          </w:p>
        </w:tc>
      </w:tr>
      <w:tr>
        <w:trPr>
          <w:trHeight w:val="210"/>
        </w:trPr>
        <w:tc>
          <w:tcPr>
            <w:tcW w:w="6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ind w:left="340"/>
              <w:spacing w:after="0"/>
              <w:rPr>
                <w:sz w:val="20"/>
                <w:szCs w:val="20"/>
                <w:color w:val="auto"/>
              </w:rPr>
            </w:pPr>
            <w:r>
              <w:rPr>
                <w:rFonts w:ascii="Arial" w:cs="Arial" w:eastAsia="Arial" w:hAnsi="Arial"/>
                <w:sz w:val="18"/>
                <w:szCs w:val="18"/>
                <w:color w:val="auto"/>
              </w:rPr>
              <w:t>Income (loss) before provision for income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(704,076)</w:t>
            </w:r>
          </w:p>
        </w:tc>
      </w:tr>
      <w:tr>
        <w:trPr>
          <w:trHeight w:val="216"/>
        </w:trPr>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16,566</w:t>
            </w:r>
          </w:p>
        </w:tc>
        <w:tc>
          <w:tcPr>
            <w:tcW w:w="16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63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53,535</w:t>
            </w:r>
          </w:p>
        </w:tc>
        <w:tc>
          <w:tcPr>
            <w:tcW w:w="160" w:type="dxa"/>
            <w:vAlign w:val="bottom"/>
          </w:tcPr>
          <w:p>
            <w:pPr>
              <w:spacing w:after="0"/>
              <w:rPr>
                <w:sz w:val="22"/>
                <w:szCs w:val="22"/>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(720,642)</w:t>
            </w:r>
          </w:p>
        </w:tc>
      </w:tr>
      <w:tr>
        <w:trPr>
          <w:trHeight w:val="197"/>
        </w:trPr>
        <w:tc>
          <w:tcPr>
            <w:tcW w:w="6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r>
      <w:tr>
        <w:trPr>
          <w:trHeight w:val="216"/>
        </w:trPr>
        <w:tc>
          <w:tcPr>
            <w:tcW w:w="6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Shares used in computing net income (loss) per share: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219,801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216,721</w:t>
            </w:r>
          </w:p>
        </w:tc>
        <w:tc>
          <w:tcPr>
            <w:tcW w:w="160" w:type="dxa"/>
            <w:vAlign w:val="bottom"/>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221,867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216,721</w:t>
            </w:r>
          </w:p>
        </w:tc>
        <w:tc>
          <w:tcPr>
            <w:tcW w:w="160" w:type="dxa"/>
            <w:vAlign w:val="bottom"/>
          </w:tcPr>
          <w:p>
            <w:pPr>
              <w:spacing w:after="0"/>
              <w:rPr>
                <w:sz w:val="20"/>
                <w:szCs w:val="20"/>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 (LOSS)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Three Months Ended</w:t>
      </w:r>
    </w:p>
    <w:p>
      <w:pPr>
        <w:jc w:val="center"/>
        <w:ind w:left="65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7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(720,642)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8"/>
                <w:szCs w:val="18"/>
                <w:color w:val="auto"/>
              </w:rPr>
              <w:t>Unrealized (loss) gain on marketable securities, net of tax</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obligations, net of tax</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48,537</w:t>
            </w:r>
          </w:p>
        </w:tc>
        <w:tc>
          <w:tcPr>
            <w:tcW w:w="80" w:type="dxa"/>
            <w:vAlign w:val="bottom"/>
          </w:tcPr>
          <w:p>
            <w:pPr>
              <w:spacing w:after="0"/>
              <w:rPr>
                <w:sz w:val="18"/>
                <w:szCs w:val="18"/>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(718,207)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560"/>
              <w:spacing w:after="0"/>
              <w:rPr>
                <w:sz w:val="20"/>
                <w:szCs w:val="20"/>
                <w:color w:val="auto"/>
              </w:rPr>
            </w:pPr>
            <w:r>
              <w:rPr>
                <w:rFonts w:ascii="Arial" w:cs="Arial" w:eastAsia="Arial" w:hAnsi="Arial"/>
                <w:sz w:val="18"/>
                <w:szCs w:val="18"/>
                <w:color w:val="auto"/>
              </w:rPr>
              <w:t>See accompanying notes.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6700" w:type="dxa"/>
            <w:vAlign w:val="bottom"/>
          </w:tcPr>
          <w:p>
            <w:pPr>
              <w:ind w:left="44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4"/>
                <w:szCs w:val="14"/>
                <w:b w:val="1"/>
                <w:bCs w:val="1"/>
                <w:color w:val="auto"/>
              </w:rPr>
              <w:t>For the Three Months Ended March 31,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Other</w:t>
            </w: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Paid-in Capital</w:t>
            </w:r>
          </w:p>
        </w:tc>
        <w:tc>
          <w:tcPr>
            <w:tcW w:w="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4,044,490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(1,430,758)</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2,598,406</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Arial" w:cs="Arial" w:eastAsia="Arial" w:hAnsi="Arial"/>
                <w:sz w:val="16"/>
                <w:szCs w:val="16"/>
                <w:color w:val="auto"/>
              </w:rPr>
              <w:t>Issuance of 772,538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14,619</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1,957 shares of Common Stock for services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42,758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42,758</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(720,642)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(720,642)</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4,102,011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(2,151,400)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1,937,721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4"/>
                <w:szCs w:val="14"/>
                <w:b w:val="1"/>
                <w:bCs w:val="1"/>
                <w:color w:val="auto"/>
              </w:rPr>
              <w:t>For the Three Months Ended March 31, 2021</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0"/>
                <w:szCs w:val="10"/>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Other</w:t>
            </w:r>
          </w:p>
        </w:tc>
        <w:tc>
          <w:tcPr>
            <w:tcW w:w="1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2"/>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Paid-in Capital</w:t>
            </w:r>
          </w:p>
        </w:tc>
        <w:tc>
          <w:tcPr>
            <w:tcW w:w="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Comprehensive Loss</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4,352,864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(1,726,455)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2,611,268</w:t>
            </w:r>
          </w:p>
        </w:tc>
        <w:tc>
          <w:tcPr>
            <w:tcW w:w="0" w:type="dxa"/>
            <w:vAlign w:val="bottom"/>
          </w:tcPr>
          <w:p>
            <w:pPr>
              <w:spacing w:after="0"/>
              <w:rPr>
                <w:sz w:val="1"/>
                <w:szCs w:val="1"/>
                <w:color w:val="auto"/>
              </w:rPr>
            </w:pPr>
          </w:p>
        </w:tc>
      </w:tr>
      <w:tr>
        <w:trPr>
          <w:trHeight w:val="193"/>
        </w:trPr>
        <w:tc>
          <w:tcPr>
            <w:tcW w:w="3800" w:type="dxa"/>
            <w:vAlign w:val="bottom"/>
          </w:tcPr>
          <w:p>
            <w:pPr>
              <w:spacing w:after="0"/>
              <w:rPr>
                <w:sz w:val="20"/>
                <w:szCs w:val="20"/>
                <w:color w:val="auto"/>
              </w:rPr>
            </w:pPr>
            <w:r>
              <w:rPr>
                <w:rFonts w:ascii="Arial" w:cs="Arial" w:eastAsia="Arial" w:hAnsi="Arial"/>
                <w:sz w:val="16"/>
                <w:szCs w:val="16"/>
                <w:color w:val="auto"/>
              </w:rPr>
              <w:t>Issuance of 389,512 shares of Common Stock upon</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exercise of stock options and settlement of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20,028</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5"/>
              </w:rPr>
              <w:t>Issuance of 1,357 shares of Common Stock for services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rendered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47,903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47,903</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53,535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53,535</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4,420,902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(1,672,920)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2,727,844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25" w:lineRule="auto"/>
        <w:rPr>
          <w:sz w:val="20"/>
          <w:szCs w:val="20"/>
          <w:color w:val="auto"/>
        </w:rPr>
      </w:pPr>
      <w:r>
        <w:rPr>
          <w:rFonts w:ascii="Arial" w:cs="Arial" w:eastAsia="Arial" w:hAnsi="Arial"/>
          <w:sz w:val="18"/>
          <w:szCs w:val="18"/>
          <w:b w:val="1"/>
          <w:bCs w:val="1"/>
          <w:color w:val="auto"/>
        </w:rPr>
        <w:t>(unaudited, in thousands)</w:t>
      </w:r>
    </w:p>
    <w:p>
      <w:pPr>
        <w:jc w:val="center"/>
        <w:ind w:left="6760"/>
        <w:spacing w:after="0" w:line="222" w:lineRule="auto"/>
        <w:rPr>
          <w:sz w:val="20"/>
          <w:szCs w:val="20"/>
          <w:color w:val="auto"/>
        </w:rPr>
      </w:pPr>
      <w:r>
        <w:rPr>
          <w:rFonts w:ascii="Arial" w:cs="Arial" w:eastAsia="Arial" w:hAnsi="Arial"/>
          <w:sz w:val="14"/>
          <w:szCs w:val="14"/>
          <w:b w:val="1"/>
          <w:bCs w:val="1"/>
          <w:color w:val="auto"/>
        </w:rPr>
        <w:t>Three Months Ended</w:t>
      </w:r>
    </w:p>
    <w:p>
      <w:pPr>
        <w:jc w:val="center"/>
        <w:ind w:left="676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53,535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(720,642)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long term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Change in fair value of acquisition-related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(42,713)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(16,701)</w:t>
            </w:r>
          </w:p>
        </w:tc>
        <w:tc>
          <w:tcPr>
            <w:tcW w:w="0" w:type="dxa"/>
            <w:vAlign w:val="bottom"/>
          </w:tcPr>
          <w:p>
            <w:pPr>
              <w:spacing w:after="0"/>
              <w:rPr>
                <w:sz w:val="1"/>
                <w:szCs w:val="1"/>
                <w:color w:val="auto"/>
              </w:rPr>
            </w:pPr>
          </w:p>
        </w:tc>
      </w:tr>
      <w:tr>
        <w:trPr>
          <w:trHeight w:val="216"/>
        </w:trPr>
        <w:tc>
          <w:tcPr>
            <w:tcW w:w="68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(4,406)</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(22,710)</w:t>
            </w:r>
          </w:p>
        </w:tc>
        <w:tc>
          <w:tcPr>
            <w:tcW w:w="0" w:type="dxa"/>
            <w:vAlign w:val="bottom"/>
          </w:tcPr>
          <w:p>
            <w:pPr>
              <w:spacing w:after="0"/>
              <w:rPr>
                <w:sz w:val="1"/>
                <w:szCs w:val="1"/>
                <w:color w:val="auto"/>
              </w:rPr>
            </w:pPr>
          </w:p>
        </w:tc>
      </w:tr>
      <w:tr>
        <w:trPr>
          <w:trHeight w:val="216"/>
        </w:trPr>
        <w:tc>
          <w:tcPr>
            <w:tcW w:w="684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 of long term investment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(95,468)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Sale of long term investment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(48,083)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(39,301)</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(147,403)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Sale and maturities of marketable securities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Proceeds from issuance of common stock under stock plans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(6,620)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(11,933)</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restricted cash and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(787,918)</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1,514,765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1,833,707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1,671,611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1,045,789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Unpaid purchases of property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21,262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INCYTE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March 31, 2021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ind w:left="400" w:hanging="356"/>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and MONJUVI® (tafasitamab-cxix), which is co-commercialized. Our operations are treated as one operating segment.</w:t>
      </w:r>
    </w:p>
    <w:p>
      <w:pPr>
        <w:spacing w:after="0" w:line="184" w:lineRule="exact"/>
        <w:rPr>
          <w:sz w:val="20"/>
          <w:szCs w:val="20"/>
          <w:color w:val="auto"/>
        </w:rPr>
      </w:pPr>
    </w:p>
    <w:p>
      <w:pPr>
        <w:ind w:left="700" w:right="5319" w:hanging="656"/>
        <w:spacing w:after="0" w:line="503" w:lineRule="auto"/>
        <w:tabs>
          <w:tab w:leader="none" w:pos="4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40" w:right="59"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March 31, 2021, the condensed consolidated statements of operations, comprehensive income (loss), stockholders’ equity, and cash flows for the three months ended March 31, 2021 and 2020,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2020 has been derived from our audited consolidated financial statements.</w:t>
      </w:r>
    </w:p>
    <w:p>
      <w:pPr>
        <w:spacing w:after="0" w:line="178"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7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2020.</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our wholly owned subsidiaries. All inter-company accounts, transactions, and profits have been eliminated in consolidation.</w:t>
      </w:r>
    </w:p>
    <w:p>
      <w:pPr>
        <w:spacing w:after="0" w:line="184"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Foreign Currency Translation</w:t>
      </w:r>
      <w:r>
        <w:rPr>
          <w:rFonts w:ascii="Arial" w:cs="Arial" w:eastAsia="Arial" w:hAnsi="Arial"/>
          <w:sz w:val="17"/>
          <w:szCs w:val="17"/>
          <w:color w:val="auto"/>
        </w:rPr>
        <w:t>. Operations in non-U.S. entities are recorded in the functional currency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entity. For financial reporting 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condensed consolidated statements of operations.</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accepted in the United States requires management to make estimates and assumptions that affect the amounts reported in the financial statements and accompanying notes. Actual results could differ from those estimates.</w:t>
      </w:r>
    </w:p>
    <w:p>
      <w:pPr>
        <w:spacing w:after="0" w:line="16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Cash, cash equivalents, marketable securities, and trade receivables are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which potentially subject us to concentrations of credit risk. The estimated fair value of financial instruments approximates the carrying value based on available market information. By policy, we invest our excess available funds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8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Financial assets measured at amortized cost are assessed for future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under guidance within ASC 326, Financial Instruments – Credit Losses, to determine if application of an expected credit losses reserve is necessary. On a quarterly basis, receivables that resulted from revenue transactions within the scope of ASC 606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pacing w:after="0" w:line="17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are held in banks or in custodial accounts with banks.</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are defined as all liquid investments and money market funds with maturity from date of purchase of 90 days or less that are readily convertible into cash.</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i w:val="1"/>
          <w:iCs w:val="1"/>
          <w:color w:val="auto"/>
        </w:rPr>
        <w:t xml:space="preserve">Marketable Securities—Available-for-Sale. </w:t>
      </w:r>
      <w:r>
        <w:rPr>
          <w:rFonts w:ascii="Arial" w:cs="Arial" w:eastAsia="Arial" w:hAnsi="Arial"/>
          <w:sz w:val="16"/>
          <w:szCs w:val="16"/>
          <w:color w:val="auto"/>
        </w:rPr>
        <w:t>Our marketable securities consist of investments in U.S.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that are classified 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condensed consolidated balance sheets. Realized gains and losses and declines in value judged to be other than temporary for available-for-sale securities are included in other income (expense), net on the condensed consolidated statements of operations. The cost of securities sold is based on the specific identification method.</w:t>
      </w:r>
    </w:p>
    <w:p>
      <w:pPr>
        <w:spacing w:after="0" w:line="16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As of March 31, 2021 and December 31, 2020, we had no allowance for doubtful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We 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spacing w:after="0" w:line="1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determined at the lower of cost and net realizable value with cost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 and may consist of raw materials, work in process and finished goods.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began capitalizing PEMAZYRE inventory after FDA approval in April 2020 as the related costs were expected to be recoverable through the commercialization of the product. Costs incurred prior to FDA approval have been recorded as research and development expense in our statements of operations. As a result, cost of product revenues for the next 36 months will reflect a lower average per unit cost of materials.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JAKAFI, ICLUSIG and PEMAZYRE raw materials and work-in-process inventory are not subject to expiration and the shelf life of finished goods inventory is 36 months from the start of manufacturing of the finished goods.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condensed consolidated balance sheets when we expect inventory to be consumed for commercial use within the next twelve months.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 We perform an initial and ongoing evaluation of the entities with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interests, such as equity 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March 31, 2021, there were no entities in which we held a variable interest which we determined to be VIEs.</w:t>
      </w:r>
    </w:p>
    <w:p>
      <w:pPr>
        <w:spacing w:after="0" w:line="18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i w:val="1"/>
          <w:iCs w:val="1"/>
          <w:color w:val="auto"/>
        </w:rPr>
        <w:t xml:space="preserve">Long Term Investments. </w:t>
      </w:r>
      <w:r>
        <w:rPr>
          <w:rFonts w:ascii="Arial" w:cs="Arial" w:eastAsia="Arial" w:hAnsi="Arial"/>
          <w:sz w:val="16"/>
          <w:szCs w:val="16"/>
          <w:color w:val="auto"/>
        </w:rPr>
        <w:t>Our long term investments consist of equity investments in common stock of publicly-held companies with whom we have entered into collaboration and license agreements. We classify all of our equity investments in common stock of publicly-held companies as long term investments on our condensed consolidated balance sheets. Our equity investments are accounted for at fair value using readily determinable pricing available on a securities exchange on our condensed consolidated balance sheets. All changes in fair value are reported in the condensed consolidated statements of operations as an unrealized gain (loss) on long term investments.</w:t>
      </w:r>
    </w:p>
    <w:p>
      <w:pPr>
        <w:spacing w:after="0" w:line="16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i w:val="1"/>
          <w:iCs w:val="1"/>
          <w:color w:val="auto"/>
        </w:rPr>
        <w:t xml:space="preserve">Property and Equipment, net. </w:t>
      </w:r>
      <w:r>
        <w:rPr>
          <w:rFonts w:ascii="Arial" w:cs="Arial" w:eastAsia="Arial" w:hAnsi="Arial"/>
          <w:sz w:val="16"/>
          <w:szCs w:val="16"/>
          <w:color w:val="auto"/>
        </w:rPr>
        <w:t>Property and equipment, net is stated at cost, less accumulated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Depreciation is recorded using the straight-line method over the estimated useful lives of the respective assets. Leasehold improvements are amortized over the shorter of the estimated useful life of the assets or lease term.</w:t>
      </w:r>
    </w:p>
    <w:p>
      <w:pPr>
        <w:spacing w:after="0" w:line="14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Lease Accounting. </w:t>
      </w:r>
      <w:r>
        <w:rPr>
          <w:rFonts w:ascii="Arial" w:cs="Arial" w:eastAsia="Arial" w:hAnsi="Arial"/>
          <w:sz w:val="16"/>
          <w:szCs w:val="16"/>
          <w:color w:val="auto"/>
        </w:rPr>
        <w:t>All leases with a lease term greater than 12 months, regardless of lease type classification,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an obligation on the 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condensed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condensed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7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Other Intangible Assets, net. </w:t>
      </w:r>
      <w:r>
        <w:rPr>
          <w:rFonts w:ascii="Arial" w:cs="Arial" w:eastAsia="Arial" w:hAnsi="Arial"/>
          <w:sz w:val="17"/>
          <w:szCs w:val="17"/>
          <w:color w:val="auto"/>
        </w:rPr>
        <w:t>Other intangible assets, net consist of licensed intellectual property rights acquired in</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combinations, which are reported at acquisition date fair value, less accumulated amortization. Intangible assets with finite lives are amortized over their estimated useful lives using the straight-line method.</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92"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calculated as the difference between the acquisition date fair value of the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and the values assigned to the assets acquired and liabilities assumed. Goodwill is not amortized but is tested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for impairment at the reporting unit level at least annually as of October 1 or when a triggering event occurs that could indicate a potential impairment by assessing qualitative factors or performing a quantitative analysis in determining whether it is more likely than 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2020 and determined that the carrying value of our goodwill was not impaired.</w:t>
      </w:r>
    </w:p>
    <w:p>
      <w:pPr>
        <w:spacing w:after="0" w:line="192"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deferred tax assets and 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continue to maintain the valuation allowance on the majority of our deferred tax assets as of March 31, 2021.</w:t>
      </w:r>
    </w:p>
    <w:p>
      <w:pPr>
        <w:spacing w:after="0" w:line="166"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Coronavirus Aid, Relief, and Economic Security (CARES) Act was signed into law in March 2020 to provide an estimated $2.2 trillion designed to stimulate the U.S. economy during the COVID-19 pandemic. The Act includes tax relief, government loans, grants and investments for entities in affected industries, which has related accounting and financial reporting impacts. Disclosure for certain income tax accounting measures are required in the period of enactment and disclosure for government loans, investments, grants, and revenue recognition are required in future periods as federal agencies establish rules and procedures to implement the CARES Act. During the three months ended March 31, 2021, we have continued to delay the payment of certain employer payroll tax amounts to future periods as allowed under the Act. However, we do not expect the CARES Act to have a material impact on our overall financial results, our income tax provision or our liquidity. We have further described the expected impact and risks of COVID-19 on our business in Item 1. Business and in Item 1A. Risk Factors.</w:t>
      </w:r>
    </w:p>
    <w:p>
      <w:pPr>
        <w:spacing w:after="0" w:line="18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Net Income (Loss) Per Share. </w:t>
      </w:r>
      <w:r>
        <w:rPr>
          <w:rFonts w:ascii="Arial" w:cs="Arial" w:eastAsia="Arial" w:hAnsi="Arial"/>
          <w:sz w:val="16"/>
          <w:szCs w:val="16"/>
          <w:color w:val="auto"/>
        </w:rPr>
        <w:t>Our basic and diluted net income (loss) per share is calculated by dividing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(loss) by the weighted average number of shares of common stock outstanding during all periods presented. Options to purchase stock, restricted stock units, performance stock units and shares issuable upon the conversion of convertible debt are included in diluted earnings per share calculations, unless the effects are anti-dilutive.</w:t>
      </w:r>
    </w:p>
    <w:p>
      <w:pPr>
        <w:spacing w:after="0" w:line="15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or losses on marketable securities that are classified as available-for-sale, foreign currency translation gains or losses and defined benefit pension obligations.</w:t>
      </w:r>
    </w:p>
    <w:p>
      <w:pPr>
        <w:spacing w:after="0" w:line="18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Revenue-generating contracts are assessed under ASC 606, Revenue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identify distinct 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in time. We also assess collectability based primarily on the customer’s payment history and on the creditworthiness of the customer.</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product revenues consist of U.S. sales of JAKAFI and PEMAZYRE and European sales of ICLUSIG. Product revenues are recognized once we satisfy the performance obligation at a point in time under the revenue recognition criteria as described above. We sell JAKAFI and PEMAZYRE to our customers in the U.S., which include specialty pharmacies and wholesalers. We sell ICLUSIG to our customers in the European Union and certain other jurisdictions, which include retail pharmacies, hospital pharmacies and distributors.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 the U.S. and mandated 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Our estimates for expected utilization of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certain contracted customers, which currently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group 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We recognize royalty revenues in the period the sales occur.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For each collaborative research, development and/or commercialization agreement that results in revenue under the guidance of ASC 606, Revenue from Contracts with Customers,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174"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the three months ended March 31, 2021 and 2020, we had no revenues from intellectual licenses recognized over time.</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6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event. Given the high level of uncertainty of achievement, variable consideration associated with milestones are fully constrained until confirmation of the satisfaction or completion of the milestone by the third-party.</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6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7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Cost of product revenues includes all JAKAFI, ICLUSIG and PEMAZYRE related product costs. In addition, cost of product revenues include low single-digit royalties under our collaboration and license agreement to Novartis on all future sales of JAKAFI in the United States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16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Our policy is to expense research and development costs as incurred,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funded by research and 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w:t>
      </w:r>
    </w:p>
    <w:p>
      <w:pPr>
        <w:spacing w:after="0" w:line="181"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 Under our clinical trial collaboration agreements we may be reimbursed for certain development costs incurred. Such costs are recorded as a reduction of research and development expense in the period in which the related expense is incurred.</w:t>
      </w:r>
    </w:p>
    <w:p>
      <w:pPr>
        <w:spacing w:after="0" w:line="166"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Advertising expenses, comprised primarily of television, radio, print media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are expensed as incurred and are included in selling, general, and administrative expenses. For the three months ended March 31, 2021 and 2020, advertising expenses were approximately $10.8 million and $4.8 million, respectively.</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receive performance and 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15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 xml:space="preserve">Acquisition-Related Contingent Consideration. </w:t>
      </w:r>
      <w:r>
        <w:rPr>
          <w:rFonts w:ascii="Arial" w:cs="Arial" w:eastAsia="Arial" w:hAnsi="Arial"/>
          <w:sz w:val="17"/>
          <w:szCs w:val="17"/>
          <w:color w:val="auto"/>
        </w:rPr>
        <w:t>Acquisition-related contingent consideration consists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royalty obligations on future net sales of ICLUSIG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condensed consolidated statements of operations.</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Collaboration loss sharing. </w:t>
      </w:r>
      <w:r>
        <w:rPr>
          <w:rFonts w:ascii="Arial" w:cs="Arial" w:eastAsia="Arial" w:hAnsi="Arial"/>
          <w:sz w:val="18"/>
          <w:szCs w:val="18"/>
          <w:color w:val="auto"/>
        </w:rPr>
        <w:t>Under collaboration and license agreements with shared commercialization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 our share of the losses from the co-commercialization efforts in collaboration loss sharing on the condensed consolidated statement of operations. For the three months ended March 31, 2021 and 2020, collaboration loss sharing represents our 50% share of the United States loss for commercialization of MONJUVI (tafasitamab) under our agreement with MorphoSys.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This guidance applies to all entities and aims to reduce the complexity of tax accounting standards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while enhancing reporting disclosures. This guidance is effective for fiscal years beginning after December 15, 2020 and interim periods therein. We adopted this guidance for the period beginning January 1, 2021. Upon adoption, ASU No. 2019-12 had an immaterial impact on the condensed consolidated financial statements.</w:t>
      </w:r>
    </w:p>
    <w:p>
      <w:pPr>
        <w:spacing w:after="0" w:line="180" w:lineRule="exact"/>
        <w:rPr>
          <w:sz w:val="20"/>
          <w:szCs w:val="20"/>
          <w:color w:val="auto"/>
        </w:rPr>
      </w:pPr>
    </w:p>
    <w:p>
      <w:pPr>
        <w:ind w:left="400" w:hanging="356"/>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As discussed in Note 2, revenues are recognized under guidance within ASC 606. The following table presents our disaggregated revenue for the periods presented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w w:val="99"/>
              </w:rPr>
              <w:t>Three Months Ended</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1"/>
        </w:trPr>
        <w:tc>
          <w:tcPr>
            <w:tcW w:w="3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10"/>
        </w:trPr>
        <w:tc>
          <w:tcPr>
            <w:tcW w:w="38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10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465,710</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459,479</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ICLUSIG revenues, net</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25,645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27,248</w:t>
            </w:r>
          </w:p>
        </w:tc>
        <w:tc>
          <w:tcPr>
            <w:tcW w:w="2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Total product revenues, net</w:t>
            </w:r>
          </w:p>
        </w:tc>
        <w:tc>
          <w:tcPr>
            <w:tcW w:w="10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504,811</w:t>
            </w: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486,727</w:t>
            </w:r>
          </w:p>
        </w:tc>
        <w:tc>
          <w:tcPr>
            <w:tcW w:w="2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56,333</w:t>
            </w:r>
          </w:p>
        </w:tc>
        <w:tc>
          <w:tcPr>
            <w:tcW w:w="2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32,258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25,447</w:t>
            </w:r>
          </w:p>
        </w:tc>
        <w:tc>
          <w:tcPr>
            <w:tcW w:w="2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0"/>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product royalty revenues</w:t>
            </w:r>
          </w:p>
        </w:tc>
        <w:tc>
          <w:tcPr>
            <w:tcW w:w="10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99,907</w:t>
            </w:r>
          </w:p>
        </w:tc>
        <w:tc>
          <w:tcPr>
            <w:tcW w:w="26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81,780</w:t>
            </w:r>
          </w:p>
        </w:tc>
        <w:tc>
          <w:tcPr>
            <w:tcW w:w="280" w:type="dxa"/>
            <w:vAlign w:val="bottom"/>
            <w:tcBorders>
              <w:bottom w:val="single" w:sz="8" w:color="CCEEFF"/>
            </w:tcBorders>
          </w:tcPr>
          <w:p>
            <w:pPr>
              <w:spacing w:after="0"/>
              <w:rPr>
                <w:sz w:val="18"/>
                <w:szCs w:val="18"/>
                <w:color w:val="auto"/>
              </w:rPr>
            </w:pPr>
          </w:p>
        </w:tc>
      </w:tr>
      <w:tr>
        <w:trPr>
          <w:trHeight w:val="209"/>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604,718</w:t>
            </w: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568,507</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further information on our revenue-generating contracts, refer to Note 9.</w:t>
      </w:r>
    </w:p>
    <w:p>
      <w:pPr>
        <w:spacing w:after="0" w:line="235" w:lineRule="exact"/>
        <w:rPr>
          <w:sz w:val="20"/>
          <w:szCs w:val="20"/>
          <w:color w:val="auto"/>
        </w:rPr>
      </w:pPr>
    </w:p>
    <w:p>
      <w:pPr>
        <w:ind w:left="400" w:hanging="356"/>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Level 1—Valuations based on unadjusted quoted prices in active markets for identical assets or liabilities.</w:t>
      </w:r>
    </w:p>
    <w:p>
      <w:pPr>
        <w:spacing w:after="0" w:line="237"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0" w:lineRule="exact"/>
        <w:rPr>
          <w:sz w:val="20"/>
          <w:szCs w:val="20"/>
          <w:color w:val="auto"/>
        </w:rPr>
      </w:pPr>
    </w:p>
    <w:p>
      <w:pPr>
        <w:ind w:left="700" w:right="59"/>
        <w:spacing w:after="0" w:line="277" w:lineRule="auto"/>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170"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At March 31, 2021 and December 31, 2020,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three months ended March 31, 2021.</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220" w:type="dxa"/>
            <w:vAlign w:val="bottom"/>
            <w:tcBorders>
              <w:top w:val="single" w:sz="8" w:color="auto"/>
            </w:tcBorders>
            <w:gridSpan w:val="3"/>
          </w:tcPr>
          <w:p>
            <w:pPr>
              <w:jc w:val="center"/>
              <w:ind w:left="73"/>
              <w:spacing w:after="0" w:line="119" w:lineRule="exact"/>
              <w:rPr>
                <w:sz w:val="20"/>
                <w:szCs w:val="20"/>
                <w:color w:val="auto"/>
              </w:rPr>
            </w:pPr>
            <w:r>
              <w:rPr>
                <w:rFonts w:ascii="Arial" w:cs="Arial" w:eastAsia="Arial" w:hAnsi="Arial"/>
                <w:sz w:val="13"/>
                <w:szCs w:val="13"/>
                <w:b w:val="1"/>
                <w:bCs w:val="1"/>
                <w:color w:val="auto"/>
              </w:rPr>
              <w:t>Significant Other</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120" w:type="dxa"/>
            <w:vAlign w:val="bottom"/>
            <w:gridSpan w:val="3"/>
          </w:tcPr>
          <w:p>
            <w:pPr>
              <w:jc w:val="center"/>
              <w:ind w:left="868"/>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11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1,669,968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292,425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1,872,142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292,425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8"/>
          </w:tcPr>
          <w:p>
            <w:pPr>
              <w:ind w:left="1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20" w:type="dxa"/>
            <w:vAlign w:val="bottom"/>
            <w:gridSpan w:val="3"/>
          </w:tcPr>
          <w:p>
            <w:pPr>
              <w:jc w:val="center"/>
              <w:ind w:left="768"/>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288,369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Long term investments (Note 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1,735,309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288,369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6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Borders>
              <w:bottom w:val="single" w:sz="8" w:color="auto"/>
            </w:tcBorders>
            <w:gridSpan w:val="17"/>
          </w:tcPr>
          <w:p>
            <w:pPr>
              <w:ind w:left="200"/>
              <w:spacing w:after="0"/>
              <w:rPr>
                <w:sz w:val="20"/>
                <w:szCs w:val="20"/>
                <w:color w:val="auto"/>
              </w:rPr>
            </w:pPr>
            <w:r>
              <w:rPr>
                <w:rFonts w:ascii="Arial" w:cs="Arial" w:eastAsia="Arial" w:hAnsi="Arial"/>
                <w:sz w:val="14"/>
                <w:szCs w:val="14"/>
                <w:b w:val="1"/>
                <w:bCs w:val="1"/>
                <w:color w:val="auto"/>
                <w:w w:val="98"/>
              </w:rPr>
              <w:t>Fair Value Measurement at Reporting Date Using:</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5"/>
          </w:tcPr>
          <w:p>
            <w:pPr>
              <w:ind w:left="80"/>
              <w:spacing w:after="0" w:line="119" w:lineRule="exact"/>
              <w:rPr>
                <w:sz w:val="20"/>
                <w:szCs w:val="20"/>
                <w:color w:val="auto"/>
              </w:rPr>
            </w:pPr>
            <w:r>
              <w:rPr>
                <w:rFonts w:ascii="Arial" w:cs="Arial" w:eastAsia="Arial" w:hAnsi="Arial"/>
                <w:sz w:val="13"/>
                <w:szCs w:val="13"/>
                <w:b w:val="1"/>
                <w:bCs w:val="1"/>
                <w:color w:val="auto"/>
              </w:rPr>
              <w:t>Quoted Prices in</w:t>
            </w:r>
          </w:p>
        </w:tc>
        <w:tc>
          <w:tcPr>
            <w:tcW w:w="12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80" w:type="dxa"/>
            <w:vAlign w:val="bottom"/>
          </w:tcPr>
          <w:p>
            <w:pPr>
              <w:spacing w:after="0"/>
              <w:rPr>
                <w:sz w:val="12"/>
                <w:szCs w:val="12"/>
                <w:color w:val="auto"/>
              </w:rPr>
            </w:pPr>
          </w:p>
        </w:tc>
        <w:tc>
          <w:tcPr>
            <w:tcW w:w="1140" w:type="dxa"/>
            <w:vAlign w:val="bottom"/>
            <w:gridSpan w:val="5"/>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9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w w:val="98"/>
              </w:rPr>
              <w:t>Identical Liabilities</w:t>
            </w:r>
          </w:p>
        </w:tc>
        <w:tc>
          <w:tcPr>
            <w:tcW w:w="80" w:type="dxa"/>
            <w:vAlign w:val="bottom"/>
          </w:tcPr>
          <w:p>
            <w:pPr>
              <w:spacing w:after="0"/>
              <w:rPr>
                <w:sz w:val="12"/>
                <w:szCs w:val="12"/>
                <w:color w:val="auto"/>
              </w:rPr>
            </w:pPr>
          </w:p>
        </w:tc>
        <w:tc>
          <w:tcPr>
            <w:tcW w:w="8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left="164"/>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263,000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263,000</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263,000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7"/>
          </w:tcPr>
          <w:p>
            <w:pPr>
              <w:ind w:left="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8"/>
          </w:tcPr>
          <w:p>
            <w:pPr>
              <w:jc w:val="center"/>
              <w:ind w:right="188"/>
              <w:spacing w:after="0" w:line="119" w:lineRule="exact"/>
              <w:rPr>
                <w:sz w:val="20"/>
                <w:szCs w:val="20"/>
                <w:color w:val="auto"/>
              </w:rPr>
            </w:pPr>
            <w:r>
              <w:rPr>
                <w:rFonts w:ascii="Arial" w:cs="Arial" w:eastAsia="Arial" w:hAnsi="Arial"/>
                <w:sz w:val="13"/>
                <w:szCs w:val="13"/>
                <w:b w:val="1"/>
                <w:bCs w:val="1"/>
                <w:color w:val="auto"/>
              </w:rPr>
              <w:t>Significant Other</w:t>
            </w:r>
          </w:p>
        </w:tc>
        <w:tc>
          <w:tcPr>
            <w:tcW w:w="860" w:type="dxa"/>
            <w:vAlign w:val="bottom"/>
            <w:tcBorders>
              <w:top w:val="single" w:sz="8" w:color="auto"/>
            </w:tcBorders>
            <w:gridSpan w:val="5"/>
          </w:tcPr>
          <w:p>
            <w:pPr>
              <w:jc w:val="center"/>
              <w:ind w:right="4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900" w:type="dxa"/>
            <w:vAlign w:val="bottom"/>
            <w:gridSpan w:val="2"/>
          </w:tcPr>
          <w:p>
            <w:pPr>
              <w:jc w:val="center"/>
              <w:ind w:right="4"/>
              <w:spacing w:after="0" w:line="149" w:lineRule="exact"/>
              <w:rPr>
                <w:sz w:val="20"/>
                <w:szCs w:val="20"/>
                <w:color w:val="auto"/>
              </w:rPr>
            </w:pPr>
            <w:r>
              <w:rPr>
                <w:rFonts w:ascii="Arial" w:cs="Arial" w:eastAsia="Arial" w:hAnsi="Arial"/>
                <w:sz w:val="14"/>
                <w:szCs w:val="14"/>
                <w:b w:val="1"/>
                <w:bCs w:val="1"/>
                <w:color w:val="auto"/>
                <w:w w:val="91"/>
              </w:rPr>
              <w:t>Observable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760" w:type="dxa"/>
            <w:vAlign w:val="bottom"/>
            <w:gridSpan w:val="8"/>
          </w:tcPr>
          <w:p>
            <w:pPr>
              <w:ind w:left="300"/>
              <w:spacing w:after="0" w:line="149" w:lineRule="exact"/>
              <w:rPr>
                <w:sz w:val="20"/>
                <w:szCs w:val="20"/>
                <w:color w:val="auto"/>
              </w:rPr>
            </w:pPr>
            <w:r>
              <w:rPr>
                <w:rFonts w:ascii="Arial" w:cs="Arial" w:eastAsia="Arial" w:hAnsi="Arial"/>
                <w:sz w:val="14"/>
                <w:szCs w:val="14"/>
                <w:b w:val="1"/>
                <w:bCs w:val="1"/>
                <w:color w:val="auto"/>
              </w:rPr>
              <w:t>Identical Liabilities</w:t>
            </w:r>
          </w:p>
        </w:tc>
        <w:tc>
          <w:tcPr>
            <w:tcW w:w="80" w:type="dxa"/>
            <w:vAlign w:val="bottom"/>
          </w:tcPr>
          <w:p>
            <w:pPr>
              <w:spacing w:after="0"/>
              <w:rPr>
                <w:sz w:val="12"/>
                <w:szCs w:val="12"/>
                <w:color w:val="auto"/>
              </w:rPr>
            </w:pPr>
          </w:p>
        </w:tc>
        <w:tc>
          <w:tcPr>
            <w:tcW w:w="8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Inputs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1220" w:type="dxa"/>
            <w:vAlign w:val="bottom"/>
            <w:gridSpan w:val="7"/>
          </w:tcPr>
          <w:p>
            <w:pPr>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266,000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266,000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266,000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11"/>
          </w:tcPr>
          <w:p>
            <w:pPr>
              <w:ind w:left="66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266,000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5"/>
          </w:tcPr>
          <w:p>
            <w:pPr>
              <w:spacing w:after="0"/>
              <w:rPr>
                <w:sz w:val="20"/>
                <w:szCs w:val="20"/>
                <w:color w:val="auto"/>
              </w:rPr>
            </w:pPr>
            <w:r>
              <w:rPr>
                <w:rFonts w:ascii="Arial" w:cs="Arial" w:eastAsia="Arial" w:hAnsi="Arial"/>
                <w:sz w:val="18"/>
                <w:szCs w:val="18"/>
                <w:color w:val="auto"/>
                <w:w w:val="98"/>
              </w:rPr>
              <w:t>Contingent consideration earned during the period but not yet paid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fair value of contingent consideration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Balance at March 31,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263,000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60" w:firstLine="648"/>
        <w:spacing w:after="0" w:line="254" w:lineRule="auto"/>
        <w:rPr>
          <w:sz w:val="20"/>
          <w:szCs w:val="20"/>
          <w:color w:val="auto"/>
        </w:rPr>
      </w:pPr>
      <w:r>
        <w:rPr>
          <w:rFonts w:ascii="Arial" w:cs="Arial" w:eastAsia="Arial" w:hAnsi="Arial"/>
          <w:sz w:val="18"/>
          <w:szCs w:val="18"/>
          <w:color w:val="auto"/>
        </w:rPr>
        <w:t>The fair value of the contingent consideration was determined on the date of acquisition, June 1, 2016, using an income approach based on estimated ICLUSIG revenues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March 31, 2021 included a weighted average cost of capital of 10% and updated projections of future ICLUSIG revenues in the European</w:t>
      </w: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Union and other countries for the approved third line treatment. The change in fair value of the contingent consideration during the three months ended March 31, 2021 was due primarily to the passage of time as there were no other significant changes in the key assumptions during the period.</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make payments to Takeda quarterly based on the royalties or any additional milestone payments earned in the previous quarter. At March 31, 2021 and December 31, 2020, contingent consideration earned but not yet paid was $8.5 million and $9.6 million, respectively, and was included in accrued and other current liabilities.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w w:val="97"/>
              </w:rPr>
              <w:t>Gains</w:t>
            </w:r>
          </w:p>
        </w:tc>
        <w:tc>
          <w:tcPr>
            <w:tcW w:w="20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$ 292,287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$ 292,425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December 31, 2020</w:t>
            </w:r>
          </w:p>
        </w:tc>
        <w:tc>
          <w:tcPr>
            <w:tcW w:w="2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(government)</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$ 288,199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$ 288,369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available-for-sale debt securities generally have contractual maturity dates of between 12 to 18 months. Debt security assets were assessed for risk of expected credit losses per our accounting policy as described in Note 2. As of March 31, 2021 and December 31, 2020, the available-for-sale debt securities were held in U.S. government debt securities and Treasury assets and were assessed on an individual security basis to have a de minimis risk of credit loss.</w:t>
      </w:r>
    </w:p>
    <w:p>
      <w:pPr>
        <w:spacing w:after="0" w:line="15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5.</w:t>
        <w:tab/>
        <w:t>Concentration of credit risk and current expected credit losses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In December 2009, we entered into a license, development and commercialization agreement with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26% and 42% of the accounts receivable balance as of March 31, 2021 and December 31, 2020, respectively. For further information relating to these collaboration and license agreements, refer to Note 9.</w:t>
      </w:r>
    </w:p>
    <w:p>
      <w:pPr>
        <w:spacing w:after="0" w:line="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November 2011, we began commercialization and distribution of JAKAFI and in April 2020, we began commercialization and distribution of PEMAZYRE to a number of customers. Our product revenues are concentrated in a number of these customers. The concentration of credit risk related to our JAKAFI and PEMAZYRE product revenues is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3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Percentage of Total Net</w:t>
            </w:r>
          </w:p>
        </w:tc>
      </w:tr>
      <w:tr>
        <w:trPr>
          <w:trHeight w:val="148"/>
        </w:trPr>
        <w:tc>
          <w:tcPr>
            <w:tcW w:w="6560" w:type="dxa"/>
            <w:vAlign w:val="bottom"/>
          </w:tcPr>
          <w:p>
            <w:pPr>
              <w:spacing w:after="0"/>
              <w:rPr>
                <w:sz w:val="12"/>
                <w:szCs w:val="12"/>
                <w:color w:val="auto"/>
              </w:rPr>
            </w:pPr>
          </w:p>
        </w:tc>
        <w:tc>
          <w:tcPr>
            <w:tcW w:w="236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Product Revenues for the</w:t>
            </w:r>
          </w:p>
        </w:tc>
      </w:tr>
      <w:tr>
        <w:trPr>
          <w:trHeight w:val="171"/>
        </w:trPr>
        <w:tc>
          <w:tcPr>
            <w:tcW w:w="6560" w:type="dxa"/>
            <w:vAlign w:val="bottom"/>
          </w:tcPr>
          <w:p>
            <w:pPr>
              <w:spacing w:after="0"/>
              <w:rPr>
                <w:sz w:val="14"/>
                <w:szCs w:val="14"/>
                <w:color w:val="auto"/>
              </w:rPr>
            </w:pPr>
          </w:p>
        </w:tc>
        <w:tc>
          <w:tcPr>
            <w:tcW w:w="182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1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13 %</w:t>
            </w:r>
          </w:p>
        </w:tc>
        <w:tc>
          <w:tcPr>
            <w:tcW w:w="660" w:type="dxa"/>
            <w:vAlign w:val="bottom"/>
          </w:tcPr>
          <w:p>
            <w:pPr>
              <w:spacing w:after="0"/>
              <w:rPr>
                <w:sz w:val="18"/>
                <w:szCs w:val="18"/>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13 %</w:t>
            </w:r>
          </w:p>
        </w:tc>
        <w:tc>
          <w:tcPr>
            <w:tcW w:w="4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17 %</w:t>
            </w: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18 %</w:t>
            </w:r>
          </w:p>
        </w:tc>
        <w:tc>
          <w:tcPr>
            <w:tcW w:w="40" w:type="dxa"/>
            <w:vAlign w:val="bottom"/>
            <w:shd w:val="clear" w:color="auto" w:fill="CCEEFF"/>
          </w:tcPr>
          <w:p>
            <w:pPr>
              <w:spacing w:after="0"/>
              <w:rPr>
                <w:sz w:val="18"/>
                <w:szCs w:val="18"/>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10 %</w:t>
            </w:r>
          </w:p>
        </w:tc>
        <w:tc>
          <w:tcPr>
            <w:tcW w:w="660" w:type="dxa"/>
            <w:vAlign w:val="bottom"/>
          </w:tcPr>
          <w:p>
            <w:pPr>
              <w:spacing w:after="0"/>
              <w:rPr>
                <w:sz w:val="20"/>
                <w:szCs w:val="20"/>
                <w:color w:val="auto"/>
              </w:rPr>
            </w:pP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11 %</w:t>
            </w:r>
          </w:p>
        </w:tc>
        <w:tc>
          <w:tcPr>
            <w:tcW w:w="40" w:type="dxa"/>
            <w:vAlign w:val="bottom"/>
          </w:tcPr>
          <w:p>
            <w:pPr>
              <w:spacing w:after="0"/>
              <w:rPr>
                <w:sz w:val="20"/>
                <w:szCs w:val="20"/>
                <w:color w:val="auto"/>
              </w:rPr>
            </w:pPr>
          </w:p>
        </w:tc>
      </w:tr>
    </w:tbl>
    <w:p>
      <w:pPr>
        <w:spacing w:after="0" w:line="14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and D comprised, in aggregate, 35% and 29% of the accounts receivable balance as of March 31, 2021 and December 31, 2020, respectively. The concentration of credit risk relating to ICLUSIG product revenues or accounts receivable is not significant.</w:t>
      </w:r>
    </w:p>
    <w:p>
      <w:pPr>
        <w:spacing w:after="0" w:line="187"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assessed our collaborative and customer receivable assets as of March 31, 2021 according to our accounting policy for applying reserves for expected credit losses, noting minimal history of uncollectible receivables and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continued perceived creditworthiness of our third party sales relationships, upon which the expected credit losses were considered de minimis.</w:t>
      </w:r>
    </w:p>
    <w:p>
      <w:pPr>
        <w:spacing w:after="0" w:line="166"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b w:val="1"/>
          <w:bCs w:val="1"/>
          <w:color w:val="auto"/>
        </w:rPr>
        <w:t>6.</w:t>
        <w:tab/>
        <w:t>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21,242</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w:t>
            </w:r>
          </w:p>
        </w:tc>
        <w:tc>
          <w:tcPr>
            <w:tcW w:w="120" w:type="dxa"/>
            <w:vAlign w:val="bottom"/>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35,973</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Inventories-current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120" w:type="dxa"/>
            <w:vAlign w:val="bottom"/>
            <w:shd w:val="clear" w:color="auto" w:fill="CCEEFF"/>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19,548</w:t>
            </w:r>
          </w:p>
        </w:tc>
        <w:tc>
          <w:tcPr>
            <w:tcW w:w="12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Inventories, stated at the lower of cost and net realizable value, consist of raw materials, work in process and finished goods. At March 31, 2021, $16.7 million of inventory was classified as current on the condensed consolidated balance sheet as we expect this inventory to be consumed for commercial use within the next twelve months. At March 31, 2021, $23.7 million of inventory was classified as noncurrent on the condensed consolidated balance sheets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61"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Laboratory equipment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86,021</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66,640</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10,671</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238,042</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257,929</w:t>
            </w:r>
          </w:p>
        </w:tc>
        <w:tc>
          <w:tcPr>
            <w:tcW w:w="100" w:type="dxa"/>
            <w:vAlign w:val="bottom"/>
            <w:shd w:val="clear" w:color="auto" w:fill="CCEEFF"/>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746,075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703,999</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(151,405)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(144,374)</w:t>
            </w:r>
          </w:p>
        </w:tc>
      </w:tr>
      <w:tr>
        <w:trPr>
          <w:trHeight w:val="210"/>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594,670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559,625</w:t>
            </w:r>
          </w:p>
        </w:tc>
        <w:tc>
          <w:tcPr>
            <w:tcW w:w="10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March 2017, we acquired additional adjacent buildings to our global headquarters in Wilmington, Delaware and in 2019, began demolition of these buildings and construction of a new laboratory and office building totaling approximately 200,000 square feet. As of March 31, 2021, we have capitalized approximately $103.3 million in on site preparation, design and construction costs and currently expect the building to be completed in the first half of 2022.</w:t>
      </w:r>
    </w:p>
    <w:p>
      <w:pPr>
        <w:spacing w:after="0" w:line="17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serves as our 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net of a lease incentive from our landlord of $2.0 million. At March 31, 2021, we capitalized approximately $19.1 million in leasehold improvements.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March 31, 2021, we have capitalized approximately $173.3 million in costs for construction, ground preparation and architectural and engineering studies. We currently expect the facility will be operational in the first half of 2022.</w:t>
      </w:r>
    </w:p>
    <w:p>
      <w:pPr>
        <w:spacing w:after="0" w:line="188"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 Our current operating lease liabilities are reflected in accrued and other current liabilities and our noncurrent operating lease liabilities are reflected in other liabilities on the condensed consolidated balance sheets and are as follows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12,674</w:t>
            </w: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Noncurrent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2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liabilities</w:t>
            </w: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32,573</w:t>
            </w:r>
          </w:p>
        </w:tc>
        <w:tc>
          <w:tcPr>
            <w:tcW w:w="120" w:type="dxa"/>
            <w:vAlign w:val="bottom"/>
            <w:tcBorders>
              <w:bottom w:val="single" w:sz="8" w:color="CCEEFF"/>
            </w:tcBorders>
          </w:tcPr>
          <w:p>
            <w:pPr>
              <w:spacing w:after="0"/>
              <w:rPr>
                <w:sz w:val="18"/>
                <w:szCs w:val="18"/>
                <w:color w:val="auto"/>
              </w:rPr>
            </w:pP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cash paid for amounts included in the measurement of our operating lease liabilities as of March 31, 2021 and 2020 was $3.5 million and $3.2 million, respectively, in operating cash flows. The cash paid for amounts included in the measurement of our finance lease liabilities as of March 31, 2021 and 2020 was $0.6 million and $0.2 million, respectively, in financing cash flows.</w:t>
      </w:r>
    </w:p>
    <w:p>
      <w:pPr>
        <w:spacing w:after="0" w:line="187"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As of March 31, 2021, our finance and operating leases had a weighted average lease term of approximately 14.1 and 4.9 years, respectively. The discount rate of our leases is an approximation of an estimated incremental borrowing rate and is dependent upon the term and economics of each agreement. The weighted average discount rate of our finance and operating leases is approximately 3.8% and 5.5%, respectively.</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For the three months ended March 31, 2021, we incurred approximately $3.5 million of expense related to our operating leases, approximately $0.6 million of amortization on our finance lease right-of-use assets and approximately $0.3 million of interest expense on our finance lease liabilities. For the three months ended March 31, 2020, we incurred approximately $3.2 million of expense related to our operating leases, approximately $0.6 million of amortization on our finance lease right-of-use assets and approximately $0.3 million of interest expense on our finance lease liabilities. For the three months ended March 31, 2021 and 2020, the cost of our short term leases with a term less than 12 months was de minimis.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6"/>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9"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225"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 (in thousands, except for useful life):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4"/>
                <w:szCs w:val="14"/>
                <w:b w:val="1"/>
                <w:bCs w:val="1"/>
                <w:color w:val="auto"/>
              </w:rPr>
              <w:t>Balance at March 31, 2021</w:t>
            </w:r>
          </w:p>
        </w:tc>
        <w:tc>
          <w:tcPr>
            <w:tcW w:w="16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Balance at December 31, 2020</w:t>
            </w:r>
          </w:p>
        </w:tc>
        <w:tc>
          <w:tcPr>
            <w:tcW w:w="0" w:type="dxa"/>
            <w:vAlign w:val="bottom"/>
          </w:tcPr>
          <w:p>
            <w:pPr>
              <w:spacing w:after="0"/>
              <w:rPr>
                <w:sz w:val="1"/>
                <w:szCs w:val="1"/>
                <w:color w:val="auto"/>
              </w:rPr>
            </w:pPr>
          </w:p>
        </w:tc>
      </w:tr>
      <w:tr>
        <w:trPr>
          <w:trHeight w:val="254"/>
        </w:trPr>
        <w:tc>
          <w:tcPr>
            <w:tcW w:w="20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2"/>
                <w:szCs w:val="22"/>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2"/>
                <w:szCs w:val="22"/>
                <w:color w:val="auto"/>
              </w:rPr>
            </w:pPr>
          </w:p>
        </w:tc>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00" w:type="dxa"/>
            <w:vAlign w:val="bottom"/>
            <w:vMerge w:val="restart"/>
          </w:tcPr>
          <w:p>
            <w:pPr>
              <w:spacing w:after="0"/>
              <w:rPr>
                <w:sz w:val="20"/>
                <w:szCs w:val="20"/>
                <w:color w:val="auto"/>
              </w:rPr>
            </w:pPr>
            <w:r>
              <w:rPr>
                <w:rFonts w:ascii="Arial" w:cs="Arial" w:eastAsia="Arial" w:hAnsi="Arial"/>
                <w:sz w:val="18"/>
                <w:szCs w:val="18"/>
                <w:color w:val="auto"/>
                <w:w w:val="85"/>
              </w:rPr>
              <w:t>Finite-lived intangible assets: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2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Licensed IP</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$ 271,000</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$ 104,093</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$ 166,907</w:t>
            </w: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$ 271,000</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98,709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172,291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Estimated aggregate amortization expense based on the current carrying value of amortizable intangible assets is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Arial" w:cs="Arial" w:eastAsia="Arial" w:hAnsi="Arial"/>
                <w:sz w:val="14"/>
                <w:szCs w:val="14"/>
                <w:b w:val="1"/>
                <w:bCs w:val="1"/>
                <w:color w:val="auto"/>
                <w:w w:val="96"/>
              </w:rPr>
              <w:t>Remainder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16,155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changes to the carrying amount of goodwill for the three months ended March 31, 2021.</w:t>
      </w:r>
    </w:p>
    <w:p>
      <w:pPr>
        <w:spacing w:after="0" w:line="221" w:lineRule="exact"/>
        <w:rPr>
          <w:sz w:val="20"/>
          <w:szCs w:val="20"/>
          <w:color w:val="auto"/>
        </w:rPr>
      </w:pPr>
    </w:p>
    <w:p>
      <w:pPr>
        <w:ind w:left="360" w:hanging="316"/>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9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Under this agreement, we received an upfront payment and immediate milestone payment totaling $210.0 million and were initially eligible to receive up to $1.2 billion in milestone payments across multiple indications upon the achievement of pre-specified events, including up to $174.0 million for the achievement of development milestones, up to $495.0 million for the achievement of regulatory milestones and up to $500.0 million for the achievement of sales milestones. In April 2016, we amended this agreement to provide that Novartis has exclusive research, development and commercialization rights outside of the United States to ruxolitinib (excluding topical formulations) in the graft-versus-host-disease (“GVHD”) field. We became eligible to receive up to $75.0 million of additional potential development and regulatory milestones relating to GVHD.</w:t>
      </w:r>
    </w:p>
    <w:p>
      <w:pPr>
        <w:spacing w:after="0" w:line="15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Exclusive of the upfront payment of $150.0 million received in 2009 and the immediate milestone of $60.0 million earned in 2010, we have recognized and received in the aggregate $157.0 million for the achievement of development milestones, $280.0 million for the achievement of regulatory milestones and $200.0 million for the achievement of sales milestones through March 31, 2021.</w:t>
      </w:r>
    </w:p>
    <w:p>
      <w:pPr>
        <w:spacing w:after="0" w:line="16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also are eligible to receive tiered, double-digit royalties ranging from the upper-teens to the mid-twenties on future JAKAVI net sales outside of the United States, and tiered, worldwide royalties on future TABRECTA net sales that range from 12% to 14%. Since the achievement of the $60.0 million regulatory milestone related to reimbursement of JAKAVI in Europe in September 2014, we are obligated to pay to Novartis tiered royalties in the low single-digits on future JAKAFI net sales within the United States. During the three months ended March 31, 2021 and 2020, such royalties payable to Novartis on net sales within the United States totaled $17.8 million and $17.5 million, respectively, and were reflected in cost of product revenues on the condensed consolidated statements of operations. At March 31, 2021 and December 31, 2020, $101.6 million and $96.4 million, respectively, of accrued royalties payable to Novartis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79"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5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Reimbursable costs incurred after the effective date of the agreement with Novartis are recorded net against the related research and development expenses. Research and development expenses for the three months ended March 31, 2021 and 2020 were net of $0.1 million and $0.3 million, respectively, of costs reimbursed by Novartis. At March 31, 2021 and December 31, 2020, $0.1 million and $0.2 million, respectively, of reimbursable costs were included in accounts receivable on the condensed consolidated balance sheets.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Milestone and contract revenue under the Novartis agreement for the three months ended March 31, 2021 and 2020 was $0.0 million for each period. Product royalty revenue related to Novartis net sales of JAKAVI outside of the United States for the three months ended March 31, 2021 and 2020 was $65.6 million and $56.3 million, respectively. Product royalty revenue related to Novartis net sales of TABRECTA worldwide for the three months ended March 31, 2021 and 2020 was $2.0 million and $0.0 million, respectively.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 We received an upfront payment of $90.0 million, and were initially eligible to receive up to $665.0 million in substantive milestone payments across multiple indications upon the achievement of pre-specified events, including up to $150.0 million for the achievement of development milestones, up to $365.0 million for the achievement of regulatory milestones and up to $150.0 million for the achievement of sales milestones. Exclusive of the upfront payment of $90.0 million received in 2009, we have recognized and received, in aggregate, $149.0 million for the achievement of development milestones and $265.0 million for the achievement of regulatory milestones through March 31, 2021.</w:t>
      </w:r>
    </w:p>
    <w:p>
      <w:pPr>
        <w:spacing w:after="0" w:line="18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87"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In January 2016, Lilly submitted an NDA to the FDA and a Marketing Authorization Application (MAA) to the European Medicines Agency for baricitinib as treatment for rheumatoid arthritis. In February 2017, we and Lilly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announced that the European Commission approved baricitinib as OLUMIANT for the treatment of moderate-to-severe rheumatoid arthritis in adult patients who have responded inadequately to, or who are intolerant to, one or more disease-modifying antirheumatic drugs. In July 2017, Japan's Ministry of Health, Labor and Welfare granted marketing approval for OLUMIANT for the treatment of rheumatoid arthritis in patients with inadequate response to standard-of-care therapies. In June 2018, the FDA approved the 2mg dose of OLUMIANT for the treatment of adults with moderately-to-severely active rheumatoid arthritis who have had an inadequate response to one or more tumor necrosis factor inhibitor therapies. In October 2020, Lilly announced that the European Commission approved baricitinib as OLUMIANT for the treatment of moderate-to-severe atopic dermatitis in adult patients who are candidates for systemic therapy.</w:t>
      </w:r>
    </w:p>
    <w:p>
      <w:pPr>
        <w:spacing w:after="0" w:line="16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retained options to co-develop our JAK1/JAK2 inhibitors with Lilly on a compound-by-compound and indication-by-indication basis. Lilly is responsible for all costs relating to the development and commercialization of the compounds unless we elect to co-develop any compounds or indications. If we elect to co-develop any compounds and/or indications, we would be responsible for funding 30% of the associated future global development costs from the initiation of a Phase IIb trial through regulatory approval, including post-launch studies required by a regulatory authority. We would receive an incremental royalty rate increase across all tiers resulting in effective royalty rates ranging up to the high twenties on potential future global net sales for compounds and/or indications that we elect to co-develop. For indications that we elect not to co-develop, we would receive tiered, double-digit royalty payments on future global net sales with rates ranging up to 20% if the product is successfully commercialized. If we have started co-development funding for any indication, we can at any time opt out and stop future co-development cost sharing. If we elect to do this we would still be eligible for our base royalties plus an incremental pro-rated royalty commensurate with our contribution to the total co-development cost for those indications for which we co-funded. We previously had retained an option to co-promote products in the United States but, in March 2016, we waived our co-promotion option as part of an amendment to the agreement.</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July 2010, we elected to co-develop baricitinib with Lilly in rheumatoid arthritis and became responsible for funding 30% of the associated future global development costs for this indication from the initiation of the Phase IIb trial through regulatory approval, including post-launch studies required by a regulatory authority. We subsequently elected to co-develop baricitinib with Lilly in psoriatic arthritis, atopic dermatitis, alopecia areata, systemic lupus erythematosus and axial spondyloarthritis and were responsible for funding 30% of future global development costs for those indications through regulatory approval, including post-launch studies required by a regulatory authority. In April 2019, we elected to end additional co-funding of the development of baricitinib effective as of January 1, 2019. We will continue to receive royalties on global net sales of OLUMIANT, pursuant to the terms in the Lilly agreement, as described above.</w:t>
      </w:r>
    </w:p>
    <w:p>
      <w:pPr>
        <w:spacing w:after="0" w:line="16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71"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Milestone and contract revenue under the Lilly agreement for the three months ended March 31, 2021 and 2020 was $0.0 million for each period. Product royalty revenue related to Lilly global net sales of OLUMIANT for the three months ended March 31, 2021 and 2020 was $32.3 million and $25.4 million, respectively.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March 2016, we entered into an amendment to the agreement with Lilly that amended the non-compete provision of the agreement to allow us to engage in the development and commercialization of ruxolitinib in the GVHD field. Upon execution of the amendment, we paid Lilly an upfront payment of $35.0 million and Lilly is eligible to receive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up to $40.0 million in regulatory milestone payments relating to ruxolitinib in the GVHD field. In May 2019, the approval of JAKAFI in steroid-refractory acute GVHD triggered a $20.0 million milestone payment to Lilly.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The agreement became effective on February 18, 2015, upon the expiration of the waiting period under the Hart-Scott-Rodino Antitrust Improvements Act of 1976. Upon closing of the agreement, we paid Agenus total consideration of $60.0 million.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February 2017, we and Agenus amended this agreement (the “Amended Agreement”). Under the terms of the Amended Agreement,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Targets may be designated profit-share programs, where all costs and profits are shared equally by us and Agenus, or royalty-bearing programs, where we are responsible for all costs associated with discovery, preclinical, clinical development and commercialization activities. The programs relating to GITR and OX40 and two of the undisclosed targets were profit-share programs until February 2017, while the other targets currently under collaboration are royalty-bearing programs. The Amended Agreement converted the programs relating to GITR and OX40 to royalty-bearing programs and removed from the collaboration the profit-share programs relating to the two undisclosed targets, with one reverting to us and one reverting to Agenus. Should any of those removed programs be successfully developed by a party, the other party will be eligible to receive the same milestone payments as the royalty-bearing programs and royalties at a 15% rate on global net sales. There are currently no profit-share programs. For each royalty-bearing product other than GITR and OX40, Agenus will be eligible to receive tiered royalties on global net sales ranging from 6% to 12%. For GITR and OX40, Agenus will be eligible to receive 15% royalties on global net sales.</w:t>
      </w:r>
    </w:p>
    <w:p>
      <w:pPr>
        <w:spacing w:after="0" w:line="16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2017 under the Amended Agreement, we paid Agenus $20.0 million in accelerated milestones relating to the clinical development of the GITR and OX40 programs. As of March 31, 2021, we have paid Agenus additional milestones totaling $10.0 million and Agenus is eligible to receive up to an additional $500.0 million in future contingent development, regulatory and commercialization milestones across all programs in the collaboration. The agreement may be terminated by us for convenience upon 12 months’ notice and may also be terminated under certain other circumstances, including material breach.</w:t>
      </w:r>
    </w:p>
    <w:p>
      <w:pPr>
        <w:spacing w:after="0" w:line="19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connection with the Amended Agreement, we also agreed to purchase 10.0 million shares of Agenus Inc. common stock for an aggregate purchase price of $60.0 million in cash, or $6.00 per share. We completed the purchase of the shares on February 14, 2017, when the closing price on The Nasdaq Stock Market for Agenus Inc. shares was $4.40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$4.5 million, which resulted in a net fair value of the shares on the issuance date of $39.5 million. Therefore, of the total consideration paid of $60.0 million, $39.5 million was allocated to our stock purchase in Agenus Inc. and was recorded within long term investments and $20.5 million was allocated to research and development expense.</w:t>
      </w:r>
    </w:p>
    <w:p>
      <w:pPr>
        <w:spacing w:after="0" w:line="19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concluded Agenus Inc. is not a VIE because it has sufficient equity to finance its activities without additional subordinated financial support and its at-risk equity holders have the characteristics of a controlling financial interest. After completion of our stock purchases from Agenus Inc., we held an approximate ownership interest of 18% and, under circumstances present at that time, concluded that we had the ability to exercise significant influence, but not control, over Agenus Inc., primarily due to the level of intra-entity transactions between us and Agenus related to development expenses, as well as other qualitative factors. In the second quarter of 2020, we sold an aggregate of approximately 1.2 million shares of Agenus Inc. common stock. The sales transactions were priced at market, with per share pricing ranging from $3.57 to $4.21, resulting in gross proceeds of approximately $4.5 million. In the third quarter of 2020, we sold an aggregate of approximately 2.5 million shares of Agenus Inc. common stock. The sales transactions were priced at market, with per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share pricing ranging from $4.28 to $5.25, resulting in gross proceeds of approximately $12.7 million. In the first quarter of 2021, we sold approximately 0.2 million shares of Agenus Inc. common stock priced at market at $5.45, resulting in gross proceeds of approximately $1.1 million. As of March 31, 2021, we owned approximately 7% of the outstanding shares of Agenus Inc. common stock. As a result of having a less than 10% ownership interest and the recent diversification of Agenus Inc.’s development pipeline with other collaboration partners, we concluded that we no longer have significant influence over Agenus Inc. As such, we no longer account for our equity investment in Agenus Inc. as an equity method investment previously accounted for under the fair value option. We account for our investment in Agenus Inc. at fair value, whereby the investment is marked to market through earnings in each reporting period. For the three months ended March 31, 2021 and 2020, we recorded an unrealized loss of $5.9 million and $28.8 million, respectively, based on the change in fair value of Agenus Inc.’s common stock during these periods. The fair market value of our long term investment in Agenus Inc. at March 31, 2021 and December 31, 2020 was $37.7 million and $44.7 million, respectively.</w:t>
      </w:r>
    </w:p>
    <w:p>
      <w:pPr>
        <w:spacing w:after="0" w:line="17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2021 and 2020 also included $0.5 million and $0.1 million, respectively, of development costs incurred pursuant to the Agenus arrangement. At March 31, 2021 and December 31, 2020, a total of $0.5 million and $0.5 million, respectively, of such costs were included in accrued and other liabilities on the condensed consolidated balance sheets.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 Each party will share equally the costs of mutually agreed global development activities for MCLA-145, and fund itself any independent development activities in its territory. Merus will be responsible for commercializing MCLA-145 in the United States and we will be responsible for commercializing it outside of the United States.</w:t>
      </w:r>
    </w:p>
    <w:p>
      <w:pPr>
        <w:spacing w:after="0" w:line="19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receiving rights to MCLA-145 outside of the United States, we received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2017, we paid Merus an upfront non-refundable payment of $120.0 million. For each program as to which Merus does not have commercialization or development co-funding rights, Merus will be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will be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States. For MCLA-145, we and Merus will each be eligible to receive tiered royalties on net sales in the other party’s territory at rates ranging from 6% to 10%.</w:t>
      </w:r>
    </w:p>
    <w:p>
      <w:pPr>
        <w:spacing w:after="0" w:line="170"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December 2016, we entered into a Share Subscription Agreement with Merus, pursuant to which we agreed to purchase 3.2 million common shares of Merus for an aggregate purchase price of $80.0 million in cash, or $25.00 per share. We completed the purchase of the shares on January 23, 2017 when the closing price on The Nasdaq Stock Market for Merus shares was $24.50 per share. The shares we acquired were not registered under the Securities Act of 1933 on the purchase date and were subject to certain security specific restrictions for a period of time, and accordingly, we estimated a discount for lack of marketability on the shares on the issuance date of $5.6 million, which resulted in a net fair value of the shares on the issuance date of $72.8 million. Of the total consideration paid of $80.0 million, $72.8 million was allocated to our stock purchase in Merus and was recorded as a long term investment and $7.2 million was allocated to research and development expense. In January 2021, we purchased 350,000 common shares in Merus’ underwritten public offering of 4,848,485 common shares at the public offering price of $24.75 per share, or an aggregate purchase price of $8.7 million. The fair market value of our total long term investment in Merus at March 31, 2021 and December 31, 2020 was $74.2 million and $56.1 million, respectively.</w:t>
      </w:r>
    </w:p>
    <w:p>
      <w:pPr>
        <w:spacing w:after="0" w:line="179"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concluded Merus is not a VIE because it has sufficient equity to finance its activities without additional subordinated financial support and its at-risk equity holders have the characteristics of a controlling financial interest. As of March 31, 2021, we owned approximately 9% of the outstanding common shares of Merus and conclude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months ended March 31, 2021 and 2020 we recorded an unrealized gain of $9.4 million and an unrealized loss of $6.3 million, respectively, based on the change in fair value of Merus’ common shares during these periods.</w:t>
      </w:r>
    </w:p>
    <w:p>
      <w:pPr>
        <w:spacing w:after="0" w:line="20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2021 and 2020 included $2.3 million of additional development costs incurred pursuant to the Merus agreement. At March 31, 2021 and December 31, 2020, a total of $1.6 million of such costs were included in accrued and other liabilities on the condensed consolidated balance sheets.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have agreed to co-fund 70% of the global development costs for the development of the licensed products for hematology and oncology indications. Calithera will have the right to conduct certain clinical development under the collaboration, including combination studies of a licensed product with a proprietary compound of Calithera. We will be entitled to 60% of the profits and losses from net sales of licensed product in the United States, and Calithera will have the right to co-detail licensed products in the United States, and we have agreed to pay Calithera tiered royalties ranging from the low to mid-double digits on net sales of licensed products outside the United States.</w:t>
      </w:r>
    </w:p>
    <w:p>
      <w:pPr>
        <w:spacing w:after="0" w:line="196" w:lineRule="exact"/>
        <w:rPr>
          <w:sz w:val="20"/>
          <w:szCs w:val="20"/>
          <w:color w:val="auto"/>
        </w:rPr>
      </w:pPr>
    </w:p>
    <w:p>
      <w:pPr>
        <w:jc w:val="both"/>
        <w:ind w:left="40" w:right="59" w:firstLine="441"/>
        <w:spacing w:after="0" w:line="342" w:lineRule="auto"/>
        <w:rPr>
          <w:sz w:val="20"/>
          <w:szCs w:val="20"/>
          <w:color w:val="auto"/>
        </w:rPr>
      </w:pPr>
      <w:r>
        <w:rPr>
          <w:rFonts w:ascii="Arial" w:cs="Arial" w:eastAsia="Arial" w:hAnsi="Arial"/>
          <w:sz w:val="16"/>
          <w:szCs w:val="16"/>
          <w:color w:val="auto"/>
        </w:rPr>
        <w:t>As of March 31, 2021, we have paid Calithera an upfront license fee of $45.0 million and an additional $12.0 million milestone payment. In August 2020, Calithera delivered notice of its decision to opt out of its co-funding obligation,</w:t>
      </w:r>
    </w:p>
    <w:p>
      <w:pPr>
        <w:sectPr>
          <w:pgSz w:w="11900" w:h="16838" w:orient="portrait"/>
          <w:cols w:equalWidth="0" w:num="1">
            <w:col w:w="9019"/>
          </w:cols>
          <w:pgMar w:left="1440" w:top="517"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effective on September 30, 2020. As a result, the U.S. profit sharing will no longer be in effect, we will be responsible for funding all of the development costs of INCB01158 and any other licensed products, and the agreement provides that we will pay Calithera tiered royalties ranging from the low to mid-double digits on net sales of licensed products both in the United States and outside the United States and additional royalties to reimburse Calithera for previously incurred development costs. Calithera eligible to receive $738.0 million in potential future development, regulatory and sales milestone payments and will have no further rights to research, develop or co-detail INCB001158. We will have the right to take over the conduct of all activities related to the research, development and commercialization of INCB001158 for all indications in the hematology/oncology field.</w:t>
      </w:r>
    </w:p>
    <w:p>
      <w:pPr>
        <w:spacing w:after="0" w:line="178" w:lineRule="exact"/>
        <w:rPr>
          <w:sz w:val="20"/>
          <w:szCs w:val="20"/>
          <w:color w:val="auto"/>
        </w:rPr>
      </w:pPr>
    </w:p>
    <w:p>
      <w:pPr>
        <w:jc w:val="both"/>
        <w:ind w:left="40" w:right="59" w:firstLine="441"/>
        <w:spacing w:after="0" w:line="291" w:lineRule="auto"/>
        <w:rPr>
          <w:sz w:val="20"/>
          <w:szCs w:val="20"/>
          <w:color w:val="auto"/>
        </w:rPr>
      </w:pPr>
      <w:r>
        <w:rPr>
          <w:rFonts w:ascii="Arial" w:cs="Arial" w:eastAsia="Arial" w:hAnsi="Arial"/>
          <w:sz w:val="16"/>
          <w:szCs w:val="16"/>
          <w:color w:val="auto"/>
        </w:rPr>
        <w:t>The Calithera agreement will continue on a product-by-product and country-by-country basis for so long as we are developing or commercializing products in the United States (if the parties are sharing profits in the United States) and until we have no further royalty payment obligations, unless earlier terminated according to the terms of the agreement. The agreement may be terminated in its entirety or on a product-by-product and/or a country-by-country basis by us for convenience. The agreement may also be terminated by us for Calithera’s uncured material breach, by Calithera for our uncured material breach and by either party for bankruptcy or patent challenge. If the agreement is terminated early with respect to one or more products or countries, all rights in the terminated products and countries revert to Calithera.</w:t>
      </w:r>
    </w:p>
    <w:p>
      <w:pPr>
        <w:spacing w:after="0" w:line="16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in January 2017, we entered into a Stock Purchase Agreement with Calithera for the purchase of 1.7 million common shares of Calithera for an aggregate purchase price of $8.0 million in cash, or $4.65 per share. We completed the purchase of the shares on January 30, 2017 when the closing price on The Nasdaq Stock Market was $6.75 per share. The shares we acquired were registered under the Securities Act of 1933 on the purchase date and there were no security specific restrictions for these shares, and therefore the value of the 1.7 million shares acquired by us was $11.6 million. We paid total consideration of $53.0 million to Calithera, composed of the $45.0 million upfront license fee and the $8.0 million stock purchase price. Of the $53.0 million, $11.6 million was allocated to our stock purchase in Calithera and was recorded within long term investments and $41.4 million was allocated to research and development expense. The fair market value of our long term investment in Calithera at March 31, 2021 and December 31, 2020 was $4.2 million and $8.4 million, respectively.</w:t>
      </w:r>
    </w:p>
    <w:p>
      <w:pPr>
        <w:spacing w:after="0" w:line="18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concluded Calithera is not a VIE because it has sufficient equity to finance its activities without additional subordinated financial support and its at-risk equity holders have the characteristics of a controlling financial interest. As of March 31, 2021, we owned approximately 2% of the outstanding shares of Calithera common stock and there are several other stockholders who hold larger positions of Calithera. As we do not hold a significant position of the voting shares of Calithera and lack the qualitative characteristics associated with the ability to exercise significant influence, our ownership interest does not meet the criteria to be accounted for as an equity method investment. We intend to hold the investment in Calithera for the foreseeable future and therefore, are accounting for our shares held in Calithera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2021 and 2020 we recorded an unrealized loss of $4.3 million and $2.2 million, respectively, based on the change in fair value of Calithera’s common stock during these periods.</w:t>
      </w:r>
    </w:p>
    <w:p>
      <w:pPr>
        <w:spacing w:after="0" w:line="21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2021 and 2020 included $2.5 million of additional development costs incurred pursuant to the Calithera agreement. At March 31, 2021 and December 31, 2020, a total of $0.5 million and $0.6 million, respectively, of such costs were included in accrued and other liabilities on the condensed consolidated balance sheets.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MacroGenics</w:t>
      </w:r>
    </w:p>
    <w:p>
      <w:pPr>
        <w:spacing w:after="0" w:line="2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will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pipeline assets in combination with INCMGA0012. In addition, MacroGenics has the right to manufacture a portion of both companies’ global clinical and commercial supply needs of INCMGA0012.</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of March 31, 2021, we have paid MacroGenics an upfront payment of $150.0 million and developmental milestones totaling $65.0 million. MacroGenics is eligible to receive up to an additional $355.0 million in future contingent development and regulatory milestones, and up to $330.0 million in commercial milestones as well as tiered royalties ranging from 15% to 24% of global net sales.</w:t>
      </w:r>
    </w:p>
    <w:p>
      <w:pPr>
        <w:spacing w:after="0" w:line="18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March 31, 2021 and 2020 also included $13.6 million and $16.4 million, respectively, of additional development costs incurred pursuant to the MacroGenics agreement. At March 31, 2021 and December 31, 2020, a total of $1.0 million and $0.1 million of such costs were included in accrued and other liabilities on the condensed consolidated balance sheets.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Syros</w:t>
      </w:r>
    </w:p>
    <w:p>
      <w:pPr>
        <w:spacing w:after="0" w:line="25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8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In addition, in January 2018, we entered into a Stock Purchase Agreement with Syros for the purchase of 0.8 million common shares of Syros for an aggregate purchase price of $10.0 million in cash, or $12.61 per share. We agreed to not sell or otherwise transfer any of our Syros shares for a period, referred to as the Lock-Up Period, of 12 months after the closing date of the sale. We completed the purchase of the shares on January 8, 2018 when the closing price on The Nasdaq Stock Market was $9.77 per share. The shares we acquired were not registered on the purchase date, and accordingly, we estimated a discount for lack of marketability on the shares of $0.1 million, which resulted in a net fair value of the shares on the issuance date of $7.6 million. Of the $10.0 million aggregate purchase price paid, $7.6 million was allocated to our stock purchase in Syros and was recorded within long term investments and $2.4 million, representing premium paid on the purchase, was allocated to research and development expense. Also in January 2018, we entered into an Amended Stock Purchase Agreement with Syros for the purchase of an additional 0.1 million common shares of Syros for an aggregate purchase price of $1.4 million in cash, or $9.55 per share. The shares were acquired in February 2018 and the $1.4 million aggregate purchase price was recorded within long term investments on the condensed consolidated balance sheets. All acquired shares were subsequently registered under the Securities Act of 1933 in February 2018. The fair market value of our long term investment in Syros as of March 31, 2021 and December 31, 2020 was $7.0 million and $10.2 million, respectively.</w:t>
      </w:r>
    </w:p>
    <w:p>
      <w:pPr>
        <w:spacing w:after="0" w:line="18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concluded Syros is not a VIE because it has sufficient equity to finance its activities without additional subordinated financial support and its at-risk equity holders have the characteristics of a controlling financial interest. As of March 31, 2021, we owned approximately 2% of the outstanding shares of Syros common stock and there are several other stockholders who hold larger positions of Syros. As we do not hold a significant position of the voting shares of Syros and lack the qualitative characteristics associated with the ability to exercise significant influence, our ownership interest does not meet the criteria to be accounted for as an equity method investment. We intend to hold the investment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in Syros for the foreseeable future and therefore, are accounting for our shares held in Syros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2021 and 2020, we recorded an unrealized loss of $3.2 million and $0.9 million, respectively, based on the change in fair market value of Syros’ common stock during these periods.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In January 2019, we recognized an upfront payment under this agreement of $40.0 million upon our transfer of the functional intellectual property related to the clinical-stage product candidates to Innovent, which was recorded in milestone and contract revenues on the condensed consolidated statement of operations. The upfront milestone was recognized as revenue at a point in time upon our transfer of the licenses to Innovent for the right to use the functional intellectual property. In addition, we are eligible to receive up to an additional $104.0 million in potential development and regulatory milestones.</w:t>
      </w:r>
    </w:p>
    <w:p>
      <w:pPr>
        <w:spacing w:after="0" w:line="181"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176"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Research and development expenses for the three months ended March 31, 2021 and 2020 were net of $0.0 million of costs reimbursed by Innovent. At March 31, 2021 and December 31, 2020, $2.4 million and $1.2 million, respectively, of reimbursable costs were included in accounts receivable on the condensed consolidated balance sheets.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 In August 2019, we recognized an upfront payment under this agreement of $17.5 million.</w:t>
      </w:r>
    </w:p>
    <w:p>
      <w:pPr>
        <w:spacing w:after="0" w:line="18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Research and development expenses for the three months ended March 31, 2021 and 2020 were net of $0.0 million and $0.2 million, respectively, of costs reimbursed by Zai Lab. At March 31, 2021 and December 31, 2020, $0.7 million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and $0.6 million, respectively, of reimbursable costs were included in accounts receivable on the condensed consolidated balance sheet.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 In December 2019, MorphoSys submitted a Biologics License Application to the FDA for tafasitamab for the treatment of relapsed or refractory diffuse large B cell lymphoma. The agreement became effective in March 2020 after clearance by the German and Austrian antitrust authorities and expiration of the waiting period under the Hart-Scott Rodino Antitrust Improvements Act of 1976.</w:t>
      </w:r>
    </w:p>
    <w:p>
      <w:pPr>
        <w:spacing w:after="0" w:line="18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79"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March 2020, we paid MorphoSys an upfront non-refundable payment of $750.0 million which was recorded in research and development expense on the condensed consolidated statement of operations for the three months ended March 31, 2020. MorphoSys is eligible to receive up to $740.0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July 2020, we and MorphoSys announced that the FDA approved MONJUVI® (tafasitamab-cxix) in combination with lenalidomide for the treatment of adult patients with relapsed or refractory diffuse large B-cell lymphoma (DLBCL) not otherwise specified, including DLBCL arising from low grade lymphoma, and who are not eligible for autologous stem cell transplant. MONJUVI was approved under accelerated approval based on overall response rate.</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under the collaboration agreement and pursuant to a related purchase agreement, we agreed to purchase American Depositary Shares (“ADSs”), each representing 0.25 of an ordinary share of MorphoSys AG, for an aggregate purchase price of $150.0 million or $41.33 per ADS (such ADSs to be purchased, the “New ADSs”). We agreed, subject to limited exceptions, not to sell or otherwise transfer any of the New ADSs for an 18-month period after the closing date of the sale. We completed the purchase of the ADSs on March 3, 2020 when the closing price on The Nasdaq Stock Market was $27.65 per ADS. The New ADSs were not registered under the Securities Act of 1933 on the purchase date, and accordingly, we estimated a discount for lack of marketability on the shares of $4.9 million, which resulted in a net fair value of the shares on the issuance date of $95.5 million. Of the $150.0 million aggregate purchase price paid, $95.5 million was allocated to our stock purchase in MorphoSys and was recorded within long term investments and $54.5 million, representing the premium paid on the purchase, was allocated to research and development expense. The fair market value of our long term investment in MorphoSys as of March 31, 2021 and December 31, 2020, was $79.1 million and $102.9 million, respectively.</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concluded MorphoSys is not a VIE because it has sufficient equity to finance its activities without additional subordinated financial support and its at-risk equity holders have the characteristics of a controlling financial interest. As of March 31, 2021, we owned approximately 3% of the outstanding shares of MorphoSys common stock and there are several other stockholders who hold larger positions of MorphoSys. As we do not hold a significant position of the voting shares of MorphoSys and lack the qualitative characteristics associated with the ability to exercise significant influence, our ownership interest does not meet the criteria to be accounted for as an equity method investment. We intend to hold the investment in MorphoSys for the foreseeable future and therefore, are accounting for our shares held in MorphoSys at fair value, and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March 31, 2021 and 2020, we recorded an unrealized loss of $23.7 million and $9.9 million, respectively, based on the change in fair market value of MorphoSys’ common stock during these periods.</w:t>
      </w:r>
    </w:p>
    <w:p>
      <w:pPr>
        <w:spacing w:after="0" w:line="17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Our 50% share of the United States loss for the commercialization of tafasitamab for the three months ended March 31, 2021 and 2020 was $10.5 million and $2.1 million, respectively, and is recorded as collaboration loss sharing on the condensed consolidated statement of operations. Research and development expenses for the three months ended March 31, 2021 and 2020, includes $14.9 million and $11.6 million, respectively, related to our 55% share of the co-development costs for tafasitamab. At March 31, 2021 and December 31, 2020, $47.2 million and $54.2 million, respectively, was included in accrued and other liabilities on the condensed consolidated balance sheet for amounts due to MorphoSys under the agreement.</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Nimble</w:t>
      </w:r>
    </w:p>
    <w:p>
      <w:pPr>
        <w:spacing w:after="0" w:line="26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187" w:lineRule="exact"/>
        <w:rPr>
          <w:sz w:val="20"/>
          <w:szCs w:val="20"/>
          <w:color w:val="auto"/>
        </w:rPr>
      </w:pPr>
    </w:p>
    <w:p>
      <w:pPr>
        <w:ind w:left="500" w:hanging="456"/>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recorded $47.3 million and $42.5 million, respectively, of stock compensation expense on the condensed consolidated statements of operations for the three months ended March 31, 2021 and 2020. Stock compensation expense included within our condensed consolidated statements of operations for the three months ended March 31, 2021 and 2020 included research and development expense of $29.9 million and $28.7 million, respectively. Stock compensation expense included within our condensed consolidated statements of operations for the three months ended March 31, 2021 and 2020 also included selling, general and administrative expense of $17.2 million and $13.6 million, respectively. Stock compensation expense included within our condensed consolidated statements of operations for the three months ended March 31, 2021 and 2020 also included cost of product revenues of $0.2 million for each period. For the three months ended March 31, 2021 and 2020, we capitalized $0.5 million and $0.2 million, respectively, of stock compensation expense as part of the cost of an asset.</w:t>
      </w:r>
    </w:p>
    <w:p>
      <w:pPr>
        <w:spacing w:after="0" w:line="18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Employee Stock Options</w:t>
            </w:r>
          </w:p>
        </w:tc>
        <w:tc>
          <w:tcPr>
            <w:tcW w:w="4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w w:val="99"/>
              </w:rPr>
              <w:t>Employee Stock Purchase Plan</w:t>
            </w:r>
          </w:p>
        </w:tc>
        <w:tc>
          <w:tcPr>
            <w:tcW w:w="40" w:type="dxa"/>
            <w:vAlign w:val="bottom"/>
          </w:tcPr>
          <w:p>
            <w:pPr>
              <w:spacing w:after="0"/>
              <w:rPr>
                <w:sz w:val="14"/>
                <w:szCs w:val="14"/>
                <w:color w:val="auto"/>
              </w:rPr>
            </w:pPr>
          </w:p>
        </w:tc>
      </w:tr>
      <w:tr>
        <w:trPr>
          <w:trHeight w:val="129"/>
        </w:trPr>
        <w:tc>
          <w:tcPr>
            <w:tcW w:w="46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20"/>
              <w:spacing w:after="0" w:line="129" w:lineRule="exact"/>
              <w:rPr>
                <w:sz w:val="20"/>
                <w:szCs w:val="20"/>
                <w:color w:val="auto"/>
              </w:rPr>
            </w:pPr>
            <w:r>
              <w:rPr>
                <w:rFonts w:ascii="Arial" w:cs="Arial" w:eastAsia="Arial" w:hAnsi="Arial"/>
                <w:sz w:val="14"/>
                <w:szCs w:val="14"/>
                <w:b w:val="1"/>
                <w:bCs w:val="1"/>
                <w:color w:val="auto"/>
                <w:w w:val="85"/>
              </w:rPr>
              <w:t>For the Three Months</w:t>
            </w:r>
          </w:p>
        </w:tc>
        <w:tc>
          <w:tcPr>
            <w:tcW w:w="1300" w:type="dxa"/>
            <w:vAlign w:val="bottom"/>
            <w:tcBorders>
              <w:bottom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Ended March 31,</w:t>
            </w:r>
          </w:p>
        </w:tc>
        <w:tc>
          <w:tcPr>
            <w:tcW w:w="6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Average 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4.68</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39 %</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40 %</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39 %</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52 %</w:t>
            </w:r>
          </w:p>
        </w:tc>
        <w:tc>
          <w:tcPr>
            <w:tcW w:w="40" w:type="dxa"/>
            <w:vAlign w:val="bottom"/>
            <w:shd w:val="clear" w:color="auto" w:fill="CCEEFF"/>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Weighted-average fair value (in dollars)</w:t>
            </w:r>
          </w:p>
        </w:tc>
        <w:tc>
          <w:tcPr>
            <w:tcW w:w="600" w:type="dxa"/>
            <w:vAlign w:val="bottom"/>
          </w:tcPr>
          <w:p>
            <w:pPr>
              <w:jc w:val="right"/>
              <w:spacing w:after="0"/>
              <w:rPr>
                <w:sz w:val="20"/>
                <w:szCs w:val="20"/>
                <w:color w:val="auto"/>
              </w:rPr>
            </w:pPr>
            <w:r>
              <w:rPr>
                <w:rFonts w:ascii="Arial" w:cs="Arial" w:eastAsia="Arial" w:hAnsi="Arial"/>
                <w:sz w:val="18"/>
                <w:szCs w:val="18"/>
                <w:color w:val="auto"/>
              </w:rPr>
              <w:t>29.88</w:t>
            </w: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28.43</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Option activity under our 2010 Amended and Restated Stock Incentive Plan (the “2010 Stock Plan”) was as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6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89"/>
              </w:rPr>
              <w:t>Shares Subject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3"/>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12,115,288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910,673</w:t>
            </w:r>
          </w:p>
        </w:tc>
        <w:tc>
          <w:tcPr>
            <w:tcW w:w="160" w:type="dxa"/>
            <w:vAlign w:val="bottom"/>
          </w:tcPr>
          <w:p>
            <w:pPr>
              <w:spacing w:after="0"/>
              <w:rPr>
                <w:sz w:val="18"/>
                <w:szCs w:val="18"/>
                <w:color w:val="auto"/>
              </w:rPr>
            </w:pP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90.06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(321,415)</w:t>
            </w:r>
          </w:p>
        </w:tc>
        <w:tc>
          <w:tcPr>
            <w:tcW w:w="680" w:type="dxa"/>
            <w:vAlign w:val="bottom"/>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 cancelled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(197,570)</w:t>
            </w:r>
          </w:p>
        </w:tc>
        <w:tc>
          <w:tcPr>
            <w:tcW w:w="680" w:type="dxa"/>
            <w:vAlign w:val="bottom"/>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89.34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12,506,976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center"/>
              <w:ind w:right="5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88.90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7-year terms and vested over three years, with 33% vesting after one year and the remainder vesting in 24 equal monthly installments.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(“RSU”) and performance share (“PSU”) award activity under the 2010 Stock Plan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80" w:type="dxa"/>
            <w:vAlign w:val="bottom"/>
            <w:gridSpan w:val="4"/>
          </w:tcPr>
          <w:p>
            <w:pPr>
              <w:jc w:val="center"/>
              <w:ind w:left="416"/>
              <w:spacing w:after="0"/>
              <w:rPr>
                <w:sz w:val="20"/>
                <w:szCs w:val="20"/>
                <w:color w:val="auto"/>
              </w:rPr>
            </w:pPr>
            <w:r>
              <w:rPr>
                <w:rFonts w:ascii="Arial" w:cs="Arial" w:eastAsia="Arial" w:hAnsi="Arial"/>
                <w:sz w:val="14"/>
                <w:szCs w:val="14"/>
                <w:b w:val="1"/>
                <w:bCs w:val="1"/>
                <w:color w:val="auto"/>
                <w:w w:val="89"/>
              </w:rPr>
              <w:t>Shares Subject to</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2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Outstanding Awards</w:t>
            </w:r>
          </w:p>
        </w:tc>
      </w:tr>
      <w:tr>
        <w:trPr>
          <w:trHeight w:val="142"/>
        </w:trPr>
        <w:tc>
          <w:tcPr>
            <w:tcW w:w="66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Grant Date Value</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3,284,583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485,381</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90.35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RSUs released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(94,189)</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86.45</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RSUs cancelled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(88,895)</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92.15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PSUs cancelled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65.76</w:t>
            </w:r>
          </w:p>
        </w:tc>
        <w:tc>
          <w:tcPr>
            <w:tcW w:w="100" w:type="dxa"/>
            <w:vAlign w:val="bottom"/>
            <w:shd w:val="clear" w:color="auto" w:fill="CCEEFF"/>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3,585,380</w:t>
            </w:r>
          </w:p>
        </w:tc>
        <w:tc>
          <w:tcPr>
            <w:tcW w:w="8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87.74</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In January 2014, we began granting RSUs and PSUs to our employees at the share price on the date of grant. Each RSU represents the right to acquire one share of our common stock. Each RSU granted prior to July 2016 was subject to cliff vesting after three years. In July 2016, we revised the terms of our RSU grants to provide that the awards will vest 25% annually over four years.</w:t>
      </w:r>
    </w:p>
    <w:p>
      <w:pPr>
        <w:spacing w:after="0" w:line="18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June 2018, we granted 190,000 RSUs and 446,500 PSUs under long term incentive plans with performance and/or service-based milestones with graded and/or cliff vesting over three to four years. In April 2019, we granted an additional 100,000 PSUs under one of the existing long term incentive plans with performance based milestones and cliff vesting. For one of the existing long term incentive plans, under which 106,500 PSUs were granted, the actual number of shares of our common stock into which each PSU may convert was subject to a multiplier of up to 267% based on the level at which the performance conditions were achieved. The actual number of shares of our common stock into which each PSU will convert is at a multiplier of 142% based on the performance conditions being achieved as of March 31, 2019 and will continue to vest through June 2022. For an existing long term incentive plan, under which 150,000 PSUs were granted, the actual number of shares of our common stock into which each PSU may convert was subject to a multiplier of up to 100% if all performance conditions were achieved or 0% if no performance conditions were achieved. The actual number of shares of our common stock into which each PSU will convert is at a multiplier of 100% based on the performance</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conditions being achieved as of December 31, 2019 and will cliff vest in June 2021. Compensation expense for the performance-based awards is recorded over the estimated service period for each milestone when the performance conditions are deemed probable of achievement. For the period ended March 31, 2021, the stock compensation expense recorded during the period was for service-based awards and performance conditions deemed probable of achievement and/or achieved. For PSUs containing performance conditions which were not deemed probable of achievement at March 31, 2021, no stock compensation expense was recognized.</w:t>
      </w:r>
    </w:p>
    <w:p>
      <w:pPr>
        <w:spacing w:after="0" w:line="19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2018, we granted 77,243 PSUs to executives with performance milestones and graded vesting over four years. The shares of our common stock into which each PSU may convert is subject to a multiplier up to 150%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converted was at a multiplier of 83% based on the performance condition being achieved as of December 31, 2018. These PSUs will continue to vest through July 2022.</w:t>
      </w:r>
    </w:p>
    <w:p>
      <w:pPr>
        <w:spacing w:after="0" w:line="16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July 2019, we granted 86,975 PSUs to executives with a performance milestone and graded vesting over four years. The shares of our common stock into which each PSU may convert is subject to a multiplier up to 125% based on the level at which the performance condition is achieved. Compensation expense for the performance-based awards is recorded over the estimated service period when the performance condition is deemed probable of achievement. The actual number of shares of our common stock into which each PSU will convert is at a multiplier of 101.8% based on the performance condition being achieved as of December 31, 2019. These PSUs will continue to vest through July 2023.</w:t>
      </w:r>
    </w:p>
    <w:p>
      <w:pPr>
        <w:spacing w:after="0" w:line="16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July 2020, we granted 92,347 PSUs to executives with performance milestones and cliff vesting on the third anniversary from date of grant. The shares of our common stock into which each PSU may convert is subject to a multiplier up to 200% based on the level at which the financial and developmental performance conditions are achieved over the service period which ends December 31, 2022. Compensation expense for the performance-based awards is recorded over the estimated service period for each milestone when the performance conditions are deemed probable of achievement. For the period ended March 31, 2021, the stock compensation expense recorded during the period was for service-based awards and performance conditions deemed probable of achievement and/or achieved. For PSUs containing performance conditions which were not deemed probable of achievement at March 31, 2021, no stock compensation expense was recognized.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shares available for grant under the 2010 Stock Plan:</w:t>
      </w:r>
    </w:p>
    <w:p>
      <w:pPr>
        <w:spacing w:after="0" w:line="230"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Shares Available</w:t>
      </w:r>
    </w:p>
    <w:p>
      <w:pPr>
        <w:spacing w:after="0" w:line="4"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2020</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RSUs and PSUs cancelled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March 31, 2021</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7"/>
          <w:szCs w:val="17"/>
          <w:color w:val="auto"/>
        </w:rPr>
        <w:t>5,515,182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(1,881,435)</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364,802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13335</wp:posOffset>
            </wp:positionV>
            <wp:extent cx="866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3,998,549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21590</wp:posOffset>
            </wp:positionV>
            <wp:extent cx="866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38735</wp:posOffset>
            </wp:positionV>
            <wp:extent cx="8661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7240" w:space="720"/>
            <w:col w:w="1059"/>
          </w:cols>
          <w:pgMar w:left="1440" w:top="517" w:right="1440" w:bottom="1440" w:gutter="0" w:footer="0" w:header="0"/>
          <w:type w:val="continuous"/>
        </w:sectPr>
      </w:pPr>
    </w:p>
    <w:p>
      <w:pPr>
        <w:spacing w:after="0" w:line="5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7"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Total compensation cost of options granted but not yet vested, as of March 31, 2021, was $78.6 million, which is expected to be recognized over the weighted average period of approximately 1.2 years. Total compensation cost of RSUs granted but not yet vested, as of March 31, 2021, was $131.1 million, which is expected to be recognized over the weighted average period of approximately 1.8 years. Total compensation cost of PSUs granted but not yet vested, as of March 31, 2021, was $23.0 million, which is expected to be recognized over the weighted average period of 1.1 years, should the underlying performance conditions be deemed probable of achievement.</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0" w:hanging="436"/>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Clinical related costs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115,897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21,262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22,807</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76,682</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47,811</w:t>
            </w:r>
          </w:p>
        </w:tc>
      </w:tr>
      <w:tr>
        <w:trPr>
          <w:trHeight w:val="209"/>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and other current liabilities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420,882</w:t>
            </w: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378,404</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hanging="456"/>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months ended March 31, 2021 and 2020 was $4.1 million and $3.3 million, respectively.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30"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Three Months Ended</w:t>
      </w:r>
    </w:p>
    <w:p>
      <w:pPr>
        <w:jc w:val="center"/>
        <w:ind w:left="5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39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cost</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15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560" w:type="dxa"/>
            <w:vAlign w:val="bottom"/>
          </w:tcPr>
          <w:p>
            <w:pPr>
              <w:spacing w:after="0"/>
              <w:rPr>
                <w:sz w:val="18"/>
                <w:szCs w:val="18"/>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2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 components of net periodic benefit cost other than the service cost component are included in other income (expense), net on the condensed consolidated statements of operations. We expect to contribute a total of $5.3 million to the pension plans in 2021 inclusive of the amounts contributed to the plan during the current period.</w:t>
      </w:r>
    </w:p>
    <w:p>
      <w:pPr>
        <w:spacing w:after="0" w:line="161" w:lineRule="exact"/>
        <w:rPr>
          <w:sz w:val="20"/>
          <w:szCs w:val="20"/>
          <w:color w:val="auto"/>
        </w:rPr>
      </w:pPr>
    </w:p>
    <w:p>
      <w:pPr>
        <w:ind w:left="500" w:hanging="456"/>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For the three months ended March 31, 2021 and 2020, we recorded income tax expense of approximately $15.8 million and $16.6 million, respectively. The tax expense for the three months ended March 31, 2021 and 2020 represents primarily driven by federal and state tax liabilities that are not fully sheltered by net operating losses or research and development tax credit carryforwards.</w:t>
      </w:r>
    </w:p>
    <w:p>
      <w:pPr>
        <w:spacing w:after="0" w:line="187" w:lineRule="exact"/>
        <w:rPr>
          <w:sz w:val="20"/>
          <w:szCs w:val="20"/>
          <w:color w:val="auto"/>
        </w:rPr>
      </w:pPr>
    </w:p>
    <w:p>
      <w:pPr>
        <w:jc w:val="both"/>
        <w:ind w:left="40" w:right="59" w:firstLine="720"/>
        <w:spacing w:after="0" w:line="263" w:lineRule="auto"/>
        <w:rPr>
          <w:sz w:val="20"/>
          <w:szCs w:val="20"/>
          <w:color w:val="auto"/>
        </w:rPr>
      </w:pPr>
      <w:r>
        <w:rPr>
          <w:rFonts w:ascii="Arial" w:cs="Arial" w:eastAsia="Arial" w:hAnsi="Arial"/>
          <w:sz w:val="18"/>
          <w:szCs w:val="18"/>
          <w:color w:val="auto"/>
        </w:rPr>
        <w:t>As of March 31, 2021, a full valuation allowance continues to be recorded against our U.S. and Swiss net deferred tax assets. Based upon our analysis of our historical operating results, as well as projections of our future taxable income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(losses) during the periods in which the temporary differences will be recoverable, we believe the uncertainty regarding the realization of our U.S. and Swiss net deferred tax assets requires a full valuation allowance against such net assets as of March 31, 2021. When performing our assessment on projections of future taxable income (losses), we consider factors such as the likelihood of regulatory approval and commercial success of products currently under development, among other factors.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balance of our unrecognized tax benefits (including penalties and interest) increased by approximately $0.9 million during the three months ended March 31, 2021. The overall increase is primarily driven by unrecognized tax benefits related to current year operations and research and development tax credits. After considering valuation allowance impacts, the change in unrecognized tax benefits resulted in a negligible increase to noncurrent other liabilities on the condensed consolidated balance sheet.</w:t>
      </w:r>
    </w:p>
    <w:p>
      <w:pPr>
        <w:spacing w:after="0" w:line="184" w:lineRule="exact"/>
        <w:rPr>
          <w:sz w:val="20"/>
          <w:szCs w:val="20"/>
          <w:color w:val="auto"/>
        </w:rPr>
      </w:pPr>
    </w:p>
    <w:p>
      <w:pPr>
        <w:ind w:left="440" w:hanging="396"/>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70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Basic Net Income (Loss) Per 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(720,642)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219,801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216,721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7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Diluted Net Income (Loss) Per Share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net income (loss)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(720,642)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219,801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216,721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Dilutive stock options and awards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Weighted average shares used to compute diluted net income (loss) per share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221,867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216,721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potential common shares that were excluded from the diluted net income (loss) per share computation are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Three Months Ended</w:t>
      </w:r>
    </w:p>
    <w:p>
      <w:pPr>
        <w:jc w:val="center"/>
        <w:ind w:left="54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70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and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8,871,744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15,544,348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w w:val="94"/>
              </w:rPr>
              <w:t>Common shares issuable upon conversion of the 1.25% Convertible Senior</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Notes due 2020</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368,939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Total potential common shares excluded from diluted net income (loss) per</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8,871,744</w:t>
            </w:r>
          </w:p>
        </w:tc>
        <w:tc>
          <w:tcPr>
            <w:tcW w:w="2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15,913,287</w:t>
            </w: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computation</w:t>
            </w: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40" w:hanging="39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have entered into the collaboration agreements described in Note 9,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 xml:space="preserve">In December 2018, we received a civil investigative demand from the U.S. Department of Justice (“DOJ”) for documents and information relating to our speaker programs and patient assistance programs, including our support of non-profit organizations that provide financial assistance to eligible patients. We have cooperated with this inquiry. In November 2019,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underlying the DOJ inquiry was unsealed (“Complaint”), at which time we learned that a former employee whom we had terminated had made certain allegations relating to the programs described above (“Relator”). The DOJ has not intervened to date. We filed an Answer to the Complaint on January 22, 2020 and on November 12, 2020 we filed a Motion for Summary Judgment (Motion). All briefing on the Motion was completed on December 22, 2020. A trial date has not been set. Incyte denies any improper claims were submitted to government payers; however, we have reached a settlement in principle with the DOJ Civil Division. A reserve of $13.2 million was recorded with respect to these matters as of March 31, 2021 and was included in accrued and other current liabilities.</w:t>
      </w:r>
    </w:p>
    <w:p>
      <w:pPr>
        <w:spacing w:after="0" w:line="16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as of and for the three months ended March 31, 2021 should be read in conjunction with the unaudited condensed consolidated financial statements and notes to those statements included elsewhere in this Quarterly Report on Form 10-Q and our audited consolidated financial statements as of and for the year ended December 31, 2010 included in our Annual Report on Form 10-K for the year ended December 31, 2020 previously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63" w:lineRule="exact"/>
        <w:rPr>
          <w:sz w:val="20"/>
          <w:szCs w:val="20"/>
          <w:color w:val="auto"/>
        </w:rPr>
      </w:pPr>
    </w:p>
    <w:p>
      <w:pPr>
        <w:jc w:val="both"/>
        <w:ind w:left="1040" w:right="79" w:hanging="321"/>
        <w:spacing w:after="0" w:line="190"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/JAKAVI</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(ruxolitinib), PEMAZYRE </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35"/>
          <w:szCs w:val="35"/>
          <w:color w:val="auto"/>
          <w:vertAlign w:val="superscript"/>
        </w:rPr>
        <w:t>®</w:t>
      </w:r>
      <w:r>
        <w:rPr>
          <w:rFonts w:ascii="Arial" w:cs="Arial" w:eastAsia="Arial" w:hAnsi="Arial"/>
          <w:sz w:val="18"/>
          <w:szCs w:val="18"/>
          <w:i w:val="1"/>
          <w:iCs w:val="1"/>
          <w:color w:val="auto"/>
        </w:rPr>
        <w:t xml:space="preserve"> (ponatinib) and MONJUVI® (tafasitamab-cxix);</w:t>
      </w:r>
    </w:p>
    <w:p>
      <w:pPr>
        <w:spacing w:after="0" w:line="55"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collaboration and strategic relationship strategy, and anticipated benefits and disadvantages of entering into collaboration agreements;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licensing, investment and commercialization strategies, including our plans to commercialize our drug products and drug candidates;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health authorities approval for our products in the United States and abroad;</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90" w:lineRule="exact"/>
        <w:rPr>
          <w:rFonts w:ascii="Arial" w:cs="Arial" w:eastAsia="Arial" w:hAnsi="Arial"/>
          <w:sz w:val="18"/>
          <w:szCs w:val="18"/>
          <w:color w:val="auto"/>
        </w:rPr>
      </w:pPr>
    </w:p>
    <w:p>
      <w:pPr>
        <w:ind w:left="1040" w:hanging="321"/>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collaboration royalties;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expectations relating to the anticipated completion dates for our Delaware headquarters expansion project and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117" w:lineRule="exact"/>
        <w:rPr>
          <w:rFonts w:ascii="Arial" w:cs="Arial" w:eastAsia="Arial" w:hAnsi="Arial"/>
          <w:sz w:val="18"/>
          <w:szCs w:val="18"/>
          <w:color w:val="auto"/>
        </w:rPr>
      </w:pPr>
    </w:p>
    <w:p>
      <w:pPr>
        <w:jc w:val="both"/>
        <w:ind w:left="1040" w:right="79" w:hanging="321"/>
        <w:spacing w:after="0" w:line="26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84" w:lineRule="exact"/>
        <w:rPr>
          <w:sz w:val="20"/>
          <w:szCs w:val="20"/>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03" w:lineRule="exact"/>
        <w:rPr>
          <w:rFonts w:ascii="Arial" w:cs="Arial" w:eastAsia="Arial" w:hAnsi="Arial"/>
          <w:sz w:val="18"/>
          <w:szCs w:val="18"/>
          <w:color w:val="auto"/>
        </w:rPr>
      </w:pPr>
    </w:p>
    <w:p>
      <w:pPr>
        <w:ind w:left="1040" w:right="59" w:hanging="321"/>
        <w:spacing w:after="0" w:line="23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maintain at anticipated levels reimbursement for our products from government health administration authorities, private health insurers and other organizations;</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53"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76"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76" w:lineRule="exact"/>
        <w:rPr>
          <w:rFonts w:ascii="Arial" w:cs="Arial" w:eastAsia="Arial" w:hAnsi="Arial"/>
          <w:sz w:val="18"/>
          <w:szCs w:val="18"/>
          <w:color w:val="auto"/>
        </w:rPr>
      </w:pPr>
    </w:p>
    <w:p>
      <w:pPr>
        <w:ind w:left="1040" w:right="79" w:hanging="321"/>
        <w:spacing w:after="0" w:line="23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62"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risks relating to our inability to control the development of out-licensed compounds or drug candidates;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unanticipated construction, other delays or changes in plans relating to our Delaware headquarters expansion project and our large molecule production facility;</w:t>
      </w:r>
    </w:p>
    <w:p>
      <w:pPr>
        <w:spacing w:after="0" w:line="62"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our ability to analyze the effects of new accounting pronouncements and apply new accounting rules;</w:t>
      </w:r>
    </w:p>
    <w:p>
      <w:pPr>
        <w:spacing w:after="0" w:line="128" w:lineRule="exact"/>
        <w:rPr>
          <w:rFonts w:ascii="Arial" w:cs="Arial" w:eastAsia="Arial" w:hAnsi="Arial"/>
          <w:sz w:val="17"/>
          <w:szCs w:val="17"/>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and</w:t>
      </w:r>
    </w:p>
    <w:p>
      <w:pPr>
        <w:spacing w:after="0" w:line="117" w:lineRule="exact"/>
        <w:rPr>
          <w:rFonts w:ascii="Arial" w:cs="Arial" w:eastAsia="Arial" w:hAnsi="Arial"/>
          <w:sz w:val="18"/>
          <w:szCs w:val="18"/>
          <w:color w:val="auto"/>
        </w:rPr>
      </w:pPr>
    </w:p>
    <w:p>
      <w:pPr>
        <w:ind w:left="1040" w:hanging="321"/>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left="40" w:right="59" w:firstLine="706"/>
        <w:spacing w:after="0" w:line="286" w:lineRule="auto"/>
        <w:rPr>
          <w:sz w:val="20"/>
          <w:szCs w:val="20"/>
          <w:color w:val="auto"/>
        </w:rPr>
      </w:pPr>
      <w:r>
        <w:rPr>
          <w:rFonts w:ascii="Arial" w:cs="Arial" w:eastAsia="Arial" w:hAnsi="Arial"/>
          <w:sz w:val="17"/>
          <w:szCs w:val="17"/>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6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We also refer to trademarks of other corporations and organizations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87" w:lineRule="exact"/>
        <w:rPr>
          <w:sz w:val="20"/>
          <w:szCs w:val="20"/>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62" w:lineRule="exact"/>
        <w:rPr>
          <w:rFonts w:ascii="Arial" w:cs="Arial" w:eastAsia="Arial" w:hAnsi="Arial"/>
          <w:sz w:val="18"/>
          <w:szCs w:val="18"/>
          <w:color w:val="auto"/>
        </w:rPr>
      </w:pPr>
    </w:p>
    <w:p>
      <w:pPr>
        <w:jc w:val="both"/>
        <w:ind w:left="720" w:right="79" w:hanging="325"/>
        <w:spacing w:after="0" w:line="26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reimbursement for JAKAFI/JAKAVI or our other products from government and other third-party payors, our results of operations and financial condition could be harmed.</w:t>
      </w:r>
    </w:p>
    <w:p>
      <w:pPr>
        <w:spacing w:after="0" w:line="75" w:lineRule="exact"/>
        <w:rPr>
          <w:rFonts w:ascii="Arial" w:cs="Arial" w:eastAsia="Arial" w:hAnsi="Arial"/>
          <w:sz w:val="18"/>
          <w:szCs w:val="18"/>
          <w:color w:val="auto"/>
        </w:rPr>
      </w:pPr>
    </w:p>
    <w:p>
      <w:pPr>
        <w:jc w:val="both"/>
        <w:ind w:left="720" w:right="59" w:hanging="325"/>
        <w:spacing w:after="0" w:line="26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the loss of, or significant reduction in sales to, any one of these specialty pharmacies or wholesalers could harm our operations and financial condition.</w:t>
      </w:r>
    </w:p>
    <w:p>
      <w:pPr>
        <w:spacing w:after="0" w:line="75"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for our products, in particular JAKAFI/JAKAVI, could harm our business and result in a decrease in our revenue.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have adversely affected and can in the future adversely affect our business and results of operations.</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or our collaborators may be unsuccessful in discovering and developing drug candidates, and we may spend significant time and money attempting to do so, in particular with our later stage drug candidates.</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62" w:lineRule="exact"/>
        <w:rPr>
          <w:rFonts w:ascii="Arial" w:cs="Arial" w:eastAsia="Arial" w:hAnsi="Arial"/>
          <w:sz w:val="18"/>
          <w:szCs w:val="18"/>
          <w:color w:val="auto"/>
        </w:rPr>
      </w:pPr>
    </w:p>
    <w:p>
      <w:pPr>
        <w:ind w:left="720" w:right="59" w:hanging="325"/>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are unable to establish collaborations to fully exploit our drug discovery and development capabilities or if future collaborations are unsuccessful, our future revenue prospects could be diminished.</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reliance on others to manufacture our drug products and drug candidates could result in drug supply constraints, delays in clinical trials, increased costs, and withdrawal or denial of regulatory approvals.</w:t>
      </w:r>
    </w:p>
    <w:p>
      <w:pPr>
        <w:spacing w:after="0" w:line="38" w:lineRule="exact"/>
        <w:rPr>
          <w:rFonts w:ascii="Arial" w:cs="Arial" w:eastAsia="Arial" w:hAnsi="Arial"/>
          <w:sz w:val="17"/>
          <w:szCs w:val="17"/>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62" w:lineRule="exact"/>
        <w:rPr>
          <w:rFonts w:ascii="Arial" w:cs="Arial" w:eastAsia="Arial" w:hAnsi="Arial"/>
          <w:sz w:val="18"/>
          <w:szCs w:val="18"/>
          <w:color w:val="auto"/>
        </w:rPr>
      </w:pPr>
    </w:p>
    <w:p>
      <w:pPr>
        <w:ind w:left="720" w:hanging="325"/>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fail to manage our growth effectively, our ability to develop and commercialize products could suffer.</w:t>
      </w:r>
    </w:p>
    <w:p>
      <w:pPr>
        <w:spacing w:after="0" w:line="128" w:lineRule="exact"/>
        <w:rPr>
          <w:rFonts w:ascii="Arial" w:cs="Arial" w:eastAsia="Arial" w:hAnsi="Arial"/>
          <w:sz w:val="17"/>
          <w:szCs w:val="17"/>
          <w:color w:val="auto"/>
        </w:rPr>
      </w:pPr>
    </w:p>
    <w:p>
      <w:pPr>
        <w:ind w:left="720" w:right="7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acquire businesses or assets, form joint ventures or make investments in other companies that may be unsuccessful, divert our management’s attention and harm our operating results and prospects.</w:t>
      </w:r>
    </w:p>
    <w:p>
      <w:pPr>
        <w:spacing w:after="0" w:line="38" w:lineRule="exact"/>
        <w:rPr>
          <w:rFonts w:ascii="Arial" w:cs="Arial" w:eastAsia="Arial" w:hAnsi="Arial"/>
          <w:sz w:val="17"/>
          <w:szCs w:val="17"/>
          <w:color w:val="auto"/>
        </w:rPr>
      </w:pPr>
    </w:p>
    <w:p>
      <w:pPr>
        <w:ind w:left="720" w:hanging="325"/>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17"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marketable securities and long term investments are subject to risks that could adversely affect our overall financial position.</w:t>
      </w:r>
    </w:p>
    <w:p>
      <w:pPr>
        <w:spacing w:after="0" w:line="62" w:lineRule="exact"/>
        <w:rPr>
          <w:rFonts w:ascii="Arial" w:cs="Arial" w:eastAsia="Arial" w:hAnsi="Arial"/>
          <w:sz w:val="18"/>
          <w:szCs w:val="18"/>
          <w:color w:val="auto"/>
        </w:rPr>
      </w:pPr>
    </w:p>
    <w:p>
      <w:pPr>
        <w:ind w:left="720" w:right="79" w:hanging="325"/>
        <w:spacing w:after="0" w:line="308"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are unable to achieve milestones, develop product candidates to license or renew or enter into new collaborations, our royalty and milestone revenues and future prospects for those revenues may decrease.</w:t>
      </w:r>
    </w:p>
    <w:p>
      <w:pPr>
        <w:spacing w:after="0" w:line="38" w:lineRule="exact"/>
        <w:rPr>
          <w:rFonts w:ascii="Arial" w:cs="Arial" w:eastAsia="Arial" w:hAnsi="Arial"/>
          <w:sz w:val="17"/>
          <w:szCs w:val="17"/>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62" w:lineRule="exact"/>
        <w:rPr>
          <w:rFonts w:ascii="Arial" w:cs="Arial" w:eastAsia="Arial" w:hAnsi="Arial"/>
          <w:sz w:val="18"/>
          <w:szCs w:val="18"/>
          <w:color w:val="auto"/>
        </w:rPr>
      </w:pPr>
    </w:p>
    <w:p>
      <w:pPr>
        <w:ind w:left="720" w:right="5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62" w:lineRule="exact"/>
        <w:rPr>
          <w:rFonts w:ascii="Arial" w:cs="Arial" w:eastAsia="Arial" w:hAnsi="Arial"/>
          <w:sz w:val="18"/>
          <w:szCs w:val="18"/>
          <w:color w:val="auto"/>
        </w:rPr>
      </w:pPr>
    </w:p>
    <w:p>
      <w:pPr>
        <w:ind w:left="720" w:right="79" w:hanging="325"/>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commercial and clinical development operations. We also conduct commercial and clinical development operations from our European headquarters in Morges, Switzerland and our Japanese office in Tokyo.</w:t>
      </w:r>
    </w:p>
    <w:p>
      <w:pPr>
        <w:spacing w:after="0" w:line="187"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As described in more detail below, we operate in two therapeutic areas that are defined by the indications of our approved medicines and the diseases for which our clinical candidates are being developed. One therapeutic area is Hematology/Oncology, which is comprised of Myeloproliferative Neoplasms (MPNs) and Graft-Versus-Host Disease (GVHD), as well as solid tumors and hematologic malignancies. The other therapeutic area is Inflammation and Autoimmunity (IAI)/Dermatology commercial franchise. We are also eligible to receive milestones and royalties on molecules discovered by us and licensed to third parties.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hematology and oncology franchise is comprised of four approved products, which are JAKAFI (ruxolitinib), MONJUVI (tafasitamab-cxix), PEMAZYRE (pemigatinib) and ICLUSIG (ponatinib), as well as numerous clinical development programs.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and in May 2019 for the treatment of steroid-refractory acute graft-versus-host disease (GVHD)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5" w:lineRule="exact"/>
        <w:rPr>
          <w:sz w:val="20"/>
          <w:szCs w:val="20"/>
          <w:color w:val="auto"/>
        </w:rPr>
      </w:pPr>
    </w:p>
    <w:p>
      <w:pPr>
        <w:jc w:val="both"/>
        <w:ind w:left="40" w:right="59" w:firstLine="720"/>
        <w:spacing w:after="0" w:line="293" w:lineRule="auto"/>
        <w:rPr>
          <w:sz w:val="20"/>
          <w:szCs w:val="20"/>
          <w:color w:val="auto"/>
        </w:rPr>
      </w:pPr>
      <w:r>
        <w:rPr>
          <w:rFonts w:ascii="Arial" w:cs="Arial" w:eastAsia="Arial" w:hAnsi="Arial"/>
          <w:sz w:val="16"/>
          <w:szCs w:val="16"/>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6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24"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JAKAFI is marketed in the United States through our own specialty sales force and commercial team. JAKAFI was the first FDA-approved JAK inhibitor for any indication and was the first FDA-approved product in all three of its current indications. JAKAFI remains the first-line standard of care in MF and remains the only FDA-approved product for PV and steroid-refractory acute GVHD. The FDA has granted JAKAFI orphan drug status for MF, PV and GVHD.</w:t>
      </w:r>
    </w:p>
    <w:p>
      <w:pPr>
        <w:spacing w:after="0" w:line="171"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6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i w:val="1"/>
          <w:iCs w:val="1"/>
          <w:color w:val="auto"/>
        </w:rPr>
        <w:t xml:space="preserve">Myelofibrosis. </w:t>
      </w:r>
      <w:r>
        <w:rPr>
          <w:rFonts w:ascii="Arial" w:cs="Arial" w:eastAsia="Arial" w:hAnsi="Arial"/>
          <w:sz w:val="17"/>
          <w:szCs w:val="17"/>
          <w:color w:val="auto"/>
        </w:rPr>
        <w:t>MF is a rare, life-threatening condition. MF, considered the most serious of the myeloproliferative</w:t>
      </w:r>
      <w:r>
        <w:rPr>
          <w:rFonts w:ascii="Arial" w:cs="Arial" w:eastAsia="Arial" w:hAnsi="Arial"/>
          <w:sz w:val="17"/>
          <w:szCs w:val="17"/>
          <w:i w:val="1"/>
          <w:iCs w:val="1"/>
          <w:color w:val="auto"/>
        </w:rPr>
        <w:t xml:space="preserve"> </w:t>
      </w:r>
      <w:r>
        <w:rPr>
          <w:rFonts w:ascii="Arial" w:cs="Arial" w:eastAsia="Arial" w:hAnsi="Arial"/>
          <w:sz w:val="17"/>
          <w:szCs w:val="17"/>
          <w:color w:val="auto"/>
        </w:rPr>
        <w:t>neoplasms, can occur either as 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6"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w:t>
      </w:r>
      <w:r>
        <w:rPr>
          <w:rFonts w:ascii="Arial" w:cs="Arial" w:eastAsia="Arial" w:hAnsi="Arial"/>
          <w:sz w:val="18"/>
          <w:szCs w:val="18"/>
          <w:i w:val="1"/>
          <w:iCs w:val="1"/>
          <w:color w:val="auto"/>
        </w:rPr>
        <w:t xml:space="preserve"> </w:t>
      </w:r>
      <w:r>
        <w:rPr>
          <w:rFonts w:ascii="Arial" w:cs="Arial" w:eastAsia="Arial" w:hAnsi="Arial"/>
          <w:sz w:val="18"/>
          <w:szCs w:val="18"/>
          <w:color w:val="auto"/>
        </w:rPr>
        <w:t>volume percentage of red blood cells 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genetically dissimilar stem cells or 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June 2016, we announced that the FDA granted Breakthrough Therapy designation for ruxolitinib in patients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with acute GVHD. In May 2019, the FDA approved JAKAFI for the treatment of steroid-refractory acute GVHD in adult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pediatric patients 12 years and older. The approval was based on data from REACH1, an open-label, single-arm,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multicenter study of JAKAFI in combination with corticosteroids in patients with steroid-refractory grade II-IV acute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GVHD. The overall response rate (ORR) in patients refractory to steroids alone was 57% with a complete response (CR)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of 31%. The most frequently reported adverse reactions among all study participants were infections (55%) and edema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 and the most common laboratory abnormalities were anemia (75%), thrombocytopenia (75%) and neutropenia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(58%).</w:t>
      </w:r>
    </w:p>
    <w:p>
      <w:pPr>
        <w:spacing w:after="0" w:line="2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which patents, including applicable extensions, expire in late 2027.</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MONJUVI (tafasitamab-cxix)</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16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relapsed or refractory diffuse large B-cell lymphoma (r/r DLBCL) who are not eligible for ASCT.</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approval of MONJUVI was based on data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and only FDA-approved treatment for this indication, which was approved under accelerated approval based on overall response rate and duration of response (DOR).</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PEMAZYRE is the first internally discovered product to be globally commercialized by us.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14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61"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have retained all rights to PEMAZYRE globally, other than those granted to Innovent Biologics, Inc. to develop and commercialize pemigatinib in hematology and oncology in mainland China, Hong Kong, Macau and Taiwan.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Ruxolitinib and itacitinib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part of our development efforts to evaluate JAK inhibition in GVHD, the REACH clinical program is evaluating ruxolitinib in patients with steroid-refractory GVHD and includes REACH2, a Novartis-sponsored Phase III trial in steroid-refractory acute GVHD, and REACH3, a Phase III trial in steroid-refractory chronic GVHD that is co-sponsored by us and Novartis.</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October 2019, we and Novartis announced that REACH2 met its primary endpoint of superior ORR at Day 28 with ruxolitinib treatment compared to best available therapy. No new safety signals were observed, and the ruxolitinib safety profile in REACH2 was consistent with that seen in previously reported studies in steroid-refractory acute GVHD. In April 2020, we and Novartis announced that data from REACH2 were published in the New England Journal of Medicine.</w:t>
      </w:r>
    </w:p>
    <w:p>
      <w:pPr>
        <w:spacing w:after="0" w:line="157"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In July 2020, we and Novartis announced that REACH3 met its primary endpoint of superior ORR at Month 6 with ruxolitinib treatment compared to best available therapy (BAT), as well as both key secondary endpoints, significantly improving patient-reported symptoms and failure-free survival. No new safety signals were observed, and the ruxolitinib safety profile in REACH3 was consistent with that seen in previously reported studies in steroid-refractory chronic GVHD. Additional data announced in December 2020 showed that best overall response (BOR) rate, defined as any response up to week 24, was achieved in a significantly higher percentage of patients with ruxolitinib therapy compared to BAT. An sNDA seeking FDA approval of ruxolitinib in steroid-refractory chronic GVHD has been accepted for Priority Review.</w:t>
      </w:r>
    </w:p>
    <w:p>
      <w:pPr>
        <w:spacing w:after="0" w:line="166"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 second JAK inhibitor in development is itacitinib, which is a selective JAK1 inhibitor. Itacitinib is being evaluated in GRAVITAS-309, a pivotal Phase III trial of itacitinib in patients with steroid-naïve chronic GVHD. The FDA has granted itacitinib orphan drug status for GVHD.</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Based on positive Phase II data, we opened two pivotal trials of ruxolitinib in combination with parsaclisib (PI3Kδ) in first-line MF (LIMBER-313) and in MF patients with a suboptimal response to ruxolitinib monotherapy (LIMBER-304), respectively, and both trials are ongoing. Additional Phase II trials combining ruxolitinib with investigational agents from our portfolio such as INCB57643 (BET) and INCB00928 (ALK2) in patients with MF are in preparation, and additional discovery and development initiatives are also ongoing within the LIMBER program, which are evaluating both internally-discovered compounds, including itacitinib (JAK1), and candidates from collaboration partners.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combination with lenalidomide added to rituximab plus chemotherapy (R-CHOP) as a first-line therapy for patients with DLBCL, is planned to begin in 2021.</w:t>
      </w:r>
    </w:p>
    <w:p>
      <w:pPr>
        <w:spacing w:after="0" w:line="160" w:lineRule="exact"/>
        <w:rPr>
          <w:sz w:val="20"/>
          <w:szCs w:val="20"/>
          <w:color w:val="auto"/>
        </w:rPr>
      </w:pPr>
    </w:p>
    <w:p>
      <w:pPr>
        <w:jc w:val="both"/>
        <w:ind w:left="40" w:right="59" w:firstLine="648"/>
        <w:spacing w:after="0" w:line="235"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26"/>
          <w:szCs w:val="26"/>
          <w:color w:val="auto"/>
          <w:vertAlign w:val="superscript"/>
        </w:rPr>
        <w:t>2</w:t>
      </w:r>
      <w:r>
        <w:rPr>
          <w:rFonts w:ascii="Arial" w:cs="Arial" w:eastAsia="Arial" w:hAnsi="Arial"/>
          <w:sz w:val="18"/>
          <w:szCs w:val="18"/>
          <w:color w:val="auto"/>
        </w:rPr>
        <w:t>) in patients with relapsed or refractory follicular or marginal zone lymphomas is ongoing, and we are preparing to initiate both a proof-of-concept study (topMIND) of tafasitamab in combination with parsaclisib (PI3Kδ) in patients with relapsed or refractory B-cell malignancies and a proof-of-concept study of tafasitamab, lenalidomide and plamotamab in patients with r/r DLBCL.</w:t>
      </w:r>
    </w:p>
    <w:p>
      <w:pPr>
        <w:spacing w:after="0" w:line="20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May 2020, we announced the validation of the European Marketing Authorization Application (MAA) for tafasitamab seeking approval of tafasitamab in combination with lenalidomide, followed by tafasitamab monotherapy, for the treatment of adult patients with r/r DLBCL; the validation of the MAA by the European Medicines Agency (EMA) confirms that the submission is ready to enter the formal review process. In January 2021, we announced that Health Canada accepted the New Drug Submission (NDS) for tafasitamab in combination with lenalidomide, followed by tafasitamab monotherapy, as a treatment for adults with r/r DLBCL.</w:t>
      </w:r>
    </w:p>
    <w:p>
      <w:pPr>
        <w:spacing w:after="0" w:line="19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84"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8p11 myeloproliferative syndrome (8p11 MPN). Based on data generated from these ongoing trials, we have initiated additional trials, including FIGHT-207, which is an ongoing solid tumor-agnostic trial evaluating pemigatinib in patients with driver-alterations of FGF/FGFR.</w:t>
      </w:r>
    </w:p>
    <w:p>
      <w:pPr>
        <w:spacing w:after="0" w:line="161"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Pemigatinib has Breakthrough Therapy designation as a treatment for patients with myeloid/lymphoid neoplasms with FGFR1 rearrangement (8p11 MPN) who have relapsed or are refractory to initial chemotherapy.</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and we are currently running Phase II trials in follicular lymphoma, marginal zone lymphoma and mantle cell lymphoma. The FDA has granted orphan drug designation and Fast Track designation to parsaclisib as a treatment for patients with follicular lymphoma, marginal zone lymphoma and mantle cell lymphoma.</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3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color w:val="auto"/>
        </w:rPr>
        <w:t>retifanlimab in all indications. The molecule is currently being evaluated both as monotherapy and in combination therapy across various tumor types. Potentially registration-enabling trials in squamous cell carcinoma of the anal canal (SCAC), microsatellite instability-high (MSI-H) endometrial cancer and Merkel cell carcinoma are ongoing.</w:t>
      </w:r>
    </w:p>
    <w:p>
      <w:pPr>
        <w:spacing w:after="0" w:line="16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2021, we announced that the FDA had accepted for Priority Review the Biologics License Application (BLA) for retifanlimab as a treatment for previously treated patients with advanced squamous cell carcinoma of the anal canal (SCAC) who have progressed following standard platinum-based chemotherapy. In March 2021, the Marketing Authorization Application (MAA) seeking approval of retifanlimab in SCAC was validated by the European Medicines Agency (EMA).The submissions were based on data from the Phase II POD1UM-202 trial of retifanlimab in patients with locally advanced or metastatic SCAC who have progressed following standard platinum-based chemotherapy, preliminary results of which were presented at ESMO in September 2020. The Phase III POD1UM-303 trial of retifanlimab in combination with platinum-based chemotherapy as a first-line treatment for patients with SCAC is underway.</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300" w:type="dxa"/>
            <w:vAlign w:val="bottom"/>
            <w:tcBorders>
              <w:top w:val="single" w:sz="8" w:color="auto"/>
            </w:tcBorders>
          </w:tcPr>
          <w:p>
            <w:pPr>
              <w:spacing w:after="0"/>
              <w:rPr>
                <w:sz w:val="21"/>
                <w:szCs w:val="21"/>
                <w:color w:val="auto"/>
              </w:rPr>
            </w:pPr>
          </w:p>
        </w:tc>
        <w:tc>
          <w:tcPr>
            <w:tcW w:w="662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2300" w:type="dxa"/>
            <w:vAlign w:val="bottom"/>
            <w:tcBorders>
              <w:bottom w:val="single" w:sz="8" w:color="auto"/>
            </w:tcBorders>
          </w:tcPr>
          <w:p>
            <w:pPr>
              <w:spacing w:after="0"/>
              <w:rPr>
                <w:sz w:val="4"/>
                <w:szCs w:val="4"/>
                <w:color w:val="auto"/>
              </w:rPr>
            </w:pPr>
          </w:p>
        </w:tc>
        <w:tc>
          <w:tcPr>
            <w:tcW w:w="6620" w:type="dxa"/>
            <w:vAlign w:val="bottom"/>
            <w:tcBorders>
              <w:bottom w:val="single" w:sz="8" w:color="auto"/>
            </w:tcBorders>
          </w:tcPr>
          <w:p>
            <w:pPr>
              <w:spacing w:after="0"/>
              <w:rPr>
                <w:sz w:val="4"/>
                <w:szCs w:val="4"/>
                <w:color w:val="auto"/>
              </w:rPr>
            </w:pPr>
          </w:p>
        </w:tc>
      </w:tr>
      <w:tr>
        <w:trPr>
          <w:trHeight w:val="346"/>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ruxolitinib (JAK1/JAK2)</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Steroid-refractory chronic GVHD</w:t>
            </w:r>
            <w:r>
              <w:rPr>
                <w:rFonts w:ascii="Arial" w:cs="Arial" w:eastAsia="Arial" w:hAnsi="Arial"/>
                <w:sz w:val="26"/>
                <w:szCs w:val="26"/>
                <w:color w:val="auto"/>
                <w:vertAlign w:val="superscript"/>
              </w:rPr>
              <w:t>1</w:t>
            </w:r>
            <w:r>
              <w:rPr>
                <w:rFonts w:ascii="Arial" w:cs="Arial" w:eastAsia="Arial" w:hAnsi="Arial"/>
                <w:sz w:val="18"/>
                <w:szCs w:val="18"/>
                <w:color w:val="auto"/>
              </w:rPr>
              <w:t>: sNDA under Priority Review</w:t>
            </w:r>
          </w:p>
        </w:tc>
      </w:tr>
      <w:tr>
        <w:trPr>
          <w:trHeight w:val="66"/>
        </w:trPr>
        <w:tc>
          <w:tcPr>
            <w:tcW w:w="2300" w:type="dxa"/>
            <w:vAlign w:val="bottom"/>
            <w:shd w:val="clear" w:color="auto" w:fill="CCEEFF"/>
          </w:tcPr>
          <w:p>
            <w:pPr>
              <w:spacing w:after="0"/>
              <w:rPr>
                <w:sz w:val="5"/>
                <w:szCs w:val="5"/>
                <w:color w:val="auto"/>
              </w:rPr>
            </w:pPr>
          </w:p>
        </w:tc>
        <w:tc>
          <w:tcPr>
            <w:tcW w:w="6620" w:type="dxa"/>
            <w:vAlign w:val="bottom"/>
            <w:shd w:val="clear" w:color="auto" w:fill="CCEEFF"/>
          </w:tcPr>
          <w:p>
            <w:pPr>
              <w:spacing w:after="0"/>
              <w:rPr>
                <w:sz w:val="5"/>
                <w:szCs w:val="5"/>
                <w:color w:val="auto"/>
              </w:rPr>
            </w:pP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itacitinib (JAK1)</w:t>
            </w:r>
          </w:p>
        </w:tc>
        <w:tc>
          <w:tcPr>
            <w:tcW w:w="6620" w:type="dxa"/>
            <w:vAlign w:val="bottom"/>
          </w:tcPr>
          <w:p>
            <w:pPr>
              <w:ind w:left="200"/>
              <w:spacing w:after="0"/>
              <w:rPr>
                <w:sz w:val="20"/>
                <w:szCs w:val="20"/>
                <w:color w:val="auto"/>
              </w:rPr>
            </w:pPr>
            <w:r>
              <w:rPr>
                <w:rFonts w:ascii="Arial" w:cs="Arial" w:eastAsia="Arial" w:hAnsi="Arial"/>
                <w:sz w:val="18"/>
                <w:szCs w:val="18"/>
                <w:color w:val="auto"/>
              </w:rPr>
              <w:t>Treatment-naïve chronic GVHD: Phase III (GRAVITAS-309)</w:t>
            </w:r>
          </w:p>
        </w:tc>
      </w:tr>
      <w:tr>
        <w:trPr>
          <w:trHeight w:val="171"/>
        </w:trPr>
        <w:tc>
          <w:tcPr>
            <w:tcW w:w="2300" w:type="dxa"/>
            <w:vAlign w:val="bottom"/>
          </w:tcPr>
          <w:p>
            <w:pPr>
              <w:spacing w:after="0"/>
              <w:rPr>
                <w:sz w:val="14"/>
                <w:szCs w:val="14"/>
                <w:color w:val="auto"/>
              </w:rPr>
            </w:pPr>
          </w:p>
        </w:tc>
        <w:tc>
          <w:tcPr>
            <w:tcW w:w="6620" w:type="dxa"/>
            <w:vAlign w:val="bottom"/>
          </w:tcPr>
          <w:p>
            <w:pPr>
              <w:spacing w:after="0"/>
              <w:rPr>
                <w:sz w:val="14"/>
                <w:szCs w:val="14"/>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Once-a-day ruxolitinib</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Myelofibrosis, polycythemia vera and GVHD: clinical pharmacology studies</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620" w:type="dxa"/>
            <w:vAlign w:val="bottom"/>
            <w:shd w:val="clear" w:color="auto" w:fill="CCEEFF"/>
          </w:tcPr>
          <w:p>
            <w:pPr>
              <w:spacing w:after="0"/>
              <w:rPr>
                <w:sz w:val="20"/>
                <w:szCs w:val="20"/>
                <w:color w:val="auto"/>
              </w:rPr>
            </w:pPr>
          </w:p>
        </w:tc>
      </w:tr>
      <w:tr>
        <w:trPr>
          <w:trHeight w:val="130"/>
        </w:trPr>
        <w:tc>
          <w:tcPr>
            <w:tcW w:w="2300" w:type="dxa"/>
            <w:vAlign w:val="bottom"/>
            <w:shd w:val="clear" w:color="auto" w:fill="CCEEFF"/>
          </w:tcPr>
          <w:p>
            <w:pPr>
              <w:spacing w:after="0"/>
              <w:rPr>
                <w:sz w:val="11"/>
                <w:szCs w:val="11"/>
                <w:color w:val="auto"/>
              </w:rPr>
            </w:pPr>
          </w:p>
        </w:tc>
        <w:tc>
          <w:tcPr>
            <w:tcW w:w="6620" w:type="dxa"/>
            <w:vAlign w:val="bottom"/>
            <w:shd w:val="clear" w:color="auto" w:fill="CCEEFF"/>
          </w:tcPr>
          <w:p>
            <w:pPr>
              <w:spacing w:after="0"/>
              <w:rPr>
                <w:sz w:val="11"/>
                <w:szCs w:val="11"/>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parsaclisib</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Phase III (first-line therapy) (LIMBER-313)</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PI3Kδ)</w:t>
            </w:r>
          </w:p>
        </w:tc>
        <w:tc>
          <w:tcPr>
            <w:tcW w:w="6620" w:type="dxa"/>
            <w:vAlign w:val="bottom"/>
          </w:tcPr>
          <w:p>
            <w:pPr>
              <w:ind w:left="200"/>
              <w:spacing w:after="0"/>
              <w:rPr>
                <w:sz w:val="20"/>
                <w:szCs w:val="20"/>
                <w:color w:val="auto"/>
              </w:rPr>
            </w:pPr>
            <w:r>
              <w:rPr>
                <w:rFonts w:ascii="Arial" w:cs="Arial" w:eastAsia="Arial" w:hAnsi="Arial"/>
                <w:sz w:val="18"/>
                <w:szCs w:val="18"/>
                <w:color w:val="auto"/>
              </w:rPr>
              <w:t>Myelofibrosis: Phase III (suboptimal responders to ruxolitinib) (LIMBER-304)</w:t>
            </w: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ruxolitinib + INCB57643</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 + BET)</w:t>
            </w:r>
          </w:p>
        </w:tc>
        <w:tc>
          <w:tcPr>
            <w:tcW w:w="6620" w:type="dxa"/>
            <w:vAlign w:val="bottom"/>
            <w:shd w:val="clear" w:color="auto" w:fill="CCEEFF"/>
          </w:tcPr>
          <w:p>
            <w:pPr>
              <w:spacing w:after="0"/>
              <w:rPr>
                <w:sz w:val="20"/>
                <w:szCs w:val="20"/>
                <w:color w:val="auto"/>
              </w:rPr>
            </w:pPr>
          </w:p>
        </w:tc>
      </w:tr>
      <w:tr>
        <w:trPr>
          <w:trHeight w:val="130"/>
        </w:trPr>
        <w:tc>
          <w:tcPr>
            <w:tcW w:w="2300" w:type="dxa"/>
            <w:vAlign w:val="bottom"/>
            <w:shd w:val="clear" w:color="auto" w:fill="CCEEFF"/>
          </w:tcPr>
          <w:p>
            <w:pPr>
              <w:spacing w:after="0"/>
              <w:rPr>
                <w:sz w:val="11"/>
                <w:szCs w:val="11"/>
                <w:color w:val="auto"/>
              </w:rPr>
            </w:pPr>
          </w:p>
        </w:tc>
        <w:tc>
          <w:tcPr>
            <w:tcW w:w="6620" w:type="dxa"/>
            <w:vAlign w:val="bottom"/>
            <w:shd w:val="clear" w:color="auto" w:fill="CCEEFF"/>
          </w:tcPr>
          <w:p>
            <w:pPr>
              <w:spacing w:after="0"/>
              <w:rPr>
                <w:sz w:val="11"/>
                <w:szCs w:val="11"/>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ruxolitinib + INCB00928</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Phase II in preparation</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ALK2)</w:t>
            </w:r>
          </w:p>
        </w:tc>
        <w:tc>
          <w:tcPr>
            <w:tcW w:w="6620" w:type="dxa"/>
            <w:vAlign w:val="bottom"/>
          </w:tcPr>
          <w:p>
            <w:pPr>
              <w:spacing w:after="0"/>
              <w:rPr>
                <w:sz w:val="20"/>
                <w:szCs w:val="20"/>
                <w:color w:val="auto"/>
              </w:rPr>
            </w:pP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234"/>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itacitinib (JAK1)</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Myelofibrosis: Phase II (low platelets)</w:t>
            </w:r>
          </w:p>
        </w:tc>
      </w:tr>
      <w:tr>
        <w:trPr>
          <w:trHeight w:val="157"/>
        </w:trPr>
        <w:tc>
          <w:tcPr>
            <w:tcW w:w="2300" w:type="dxa"/>
            <w:vAlign w:val="bottom"/>
            <w:shd w:val="clear" w:color="auto" w:fill="CCEEFF"/>
          </w:tcPr>
          <w:p>
            <w:pPr>
              <w:spacing w:after="0"/>
              <w:rPr>
                <w:sz w:val="13"/>
                <w:szCs w:val="13"/>
                <w:color w:val="auto"/>
              </w:rPr>
            </w:pPr>
          </w:p>
        </w:tc>
        <w:tc>
          <w:tcPr>
            <w:tcW w:w="6620" w:type="dxa"/>
            <w:vAlign w:val="bottom"/>
            <w:shd w:val="clear" w:color="auto" w:fill="CCEEFF"/>
          </w:tcPr>
          <w:p>
            <w:pPr>
              <w:spacing w:after="0"/>
              <w:rPr>
                <w:sz w:val="13"/>
                <w:szCs w:val="13"/>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3"/>
                <w:szCs w:val="13"/>
                <w:b w:val="1"/>
                <w:bCs w:val="1"/>
                <w:color w:val="auto"/>
              </w:rPr>
              <w:t>ruxolitinib + CK0804</w:t>
            </w:r>
            <w:r>
              <w:rPr>
                <w:rFonts w:ascii="Arial" w:cs="Arial" w:eastAsia="Arial" w:hAnsi="Arial"/>
                <w:sz w:val="17"/>
                <w:szCs w:val="17"/>
                <w:b w:val="1"/>
                <w:bCs w:val="1"/>
                <w:color w:val="auto"/>
                <w:vertAlign w:val="superscript"/>
              </w:rPr>
              <w:t>2</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Myelofibrosis: PoC in preparation</w:t>
            </w:r>
          </w:p>
        </w:tc>
      </w:tr>
      <w:tr>
        <w:trPr>
          <w:trHeight w:val="234"/>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(JAK1/JAK2 + CB-Tregs)</w:t>
            </w:r>
          </w:p>
        </w:tc>
        <w:tc>
          <w:tcPr>
            <w:tcW w:w="6620" w:type="dxa"/>
            <w:vAlign w:val="bottom"/>
          </w:tcPr>
          <w:p>
            <w:pPr>
              <w:spacing w:after="0"/>
              <w:rPr>
                <w:sz w:val="20"/>
                <w:szCs w:val="20"/>
                <w:color w:val="auto"/>
              </w:rPr>
            </w:pPr>
          </w:p>
        </w:tc>
      </w:tr>
      <w:tr>
        <w:trPr>
          <w:trHeight w:val="130"/>
        </w:trPr>
        <w:tc>
          <w:tcPr>
            <w:tcW w:w="2300" w:type="dxa"/>
            <w:vAlign w:val="bottom"/>
          </w:tcPr>
          <w:p>
            <w:pPr>
              <w:spacing w:after="0"/>
              <w:rPr>
                <w:sz w:val="11"/>
                <w:szCs w:val="11"/>
                <w:color w:val="auto"/>
              </w:rPr>
            </w:pPr>
          </w:p>
        </w:tc>
        <w:tc>
          <w:tcPr>
            <w:tcW w:w="6620" w:type="dxa"/>
            <w:vAlign w:val="bottom"/>
          </w:tcPr>
          <w:p>
            <w:pPr>
              <w:spacing w:after="0"/>
              <w:rPr>
                <w:sz w:val="11"/>
                <w:szCs w:val="11"/>
                <w:color w:val="auto"/>
              </w:rPr>
            </w:pPr>
          </w:p>
        </w:tc>
      </w:tr>
      <w:tr>
        <w:trPr>
          <w:trHeight w:val="148"/>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tafasitamab</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r/r DLBCL: Phase II (L-MIND); Phase III (B-MIND); MAA and NDS under review</w:t>
            </w:r>
          </w:p>
        </w:tc>
      </w:tr>
      <w:tr>
        <w:trPr>
          <w:trHeight w:val="216"/>
        </w:trPr>
        <w:tc>
          <w:tcPr>
            <w:tcW w:w="230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b w:val="1"/>
                <w:bCs w:val="1"/>
                <w:color w:val="auto"/>
              </w:rPr>
              <w:t>(CD19)</w:t>
            </w:r>
            <w:r>
              <w:rPr>
                <w:rFonts w:ascii="Arial" w:cs="Arial" w:eastAsia="Arial" w:hAnsi="Arial"/>
                <w:sz w:val="25"/>
                <w:szCs w:val="25"/>
                <w:b w:val="1"/>
                <w:bCs w:val="1"/>
                <w:color w:val="auto"/>
                <w:vertAlign w:val="superscript"/>
              </w:rPr>
              <w:t>3</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1L DLBCL: Phase Ib (firstMIND); Phase III (frontMIND) in preparation</w:t>
            </w:r>
          </w:p>
        </w:tc>
      </w:tr>
      <w:tr>
        <w:trPr>
          <w:trHeight w:val="176"/>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follicular &amp; marginal zone lymphomas: Phase III (inMIND)</w:t>
            </w:r>
          </w:p>
        </w:tc>
      </w:tr>
      <w:tr>
        <w:trPr>
          <w:trHeight w:val="175"/>
        </w:trPr>
        <w:tc>
          <w:tcPr>
            <w:tcW w:w="2300" w:type="dxa"/>
            <w:vAlign w:val="bottom"/>
            <w:shd w:val="clear" w:color="auto" w:fill="CCEEFF"/>
          </w:tcPr>
          <w:p>
            <w:pPr>
              <w:spacing w:after="0"/>
              <w:rPr>
                <w:sz w:val="15"/>
                <w:szCs w:val="15"/>
                <w:color w:val="auto"/>
              </w:rPr>
            </w:pPr>
          </w:p>
        </w:tc>
        <w:tc>
          <w:tcPr>
            <w:tcW w:w="66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r/r B-cell malignancies: PoC with parsaclisib (PI3Kδ) (topMIND) in preparation</w:t>
            </w:r>
          </w:p>
        </w:tc>
      </w:tr>
      <w:tr>
        <w:trPr>
          <w:trHeight w:val="355"/>
        </w:trPr>
        <w:tc>
          <w:tcPr>
            <w:tcW w:w="2300" w:type="dxa"/>
            <w:vAlign w:val="bottom"/>
            <w:shd w:val="clear" w:color="auto" w:fill="CCEEFF"/>
          </w:tcPr>
          <w:p>
            <w:pPr>
              <w:spacing w:after="0"/>
              <w:rPr>
                <w:sz w:val="24"/>
                <w:szCs w:val="24"/>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r/r B-cell malignancies: PoC with lenalidomide and plamotamab in preparation</w:t>
            </w:r>
            <w:r>
              <w:rPr>
                <w:rFonts w:ascii="Arial" w:cs="Arial" w:eastAsia="Arial" w:hAnsi="Arial"/>
                <w:sz w:val="26"/>
                <w:szCs w:val="26"/>
                <w:color w:val="auto"/>
                <w:vertAlign w:val="superscript"/>
              </w:rPr>
              <w:t>4</w:t>
            </w:r>
          </w:p>
        </w:tc>
      </w:tr>
      <w:tr>
        <w:trPr>
          <w:trHeight w:val="90"/>
        </w:trPr>
        <w:tc>
          <w:tcPr>
            <w:tcW w:w="2300" w:type="dxa"/>
            <w:vAlign w:val="bottom"/>
            <w:shd w:val="clear" w:color="auto" w:fill="CCEEFF"/>
          </w:tcPr>
          <w:p>
            <w:pPr>
              <w:spacing w:after="0"/>
              <w:rPr>
                <w:sz w:val="7"/>
                <w:szCs w:val="7"/>
                <w:color w:val="auto"/>
              </w:rPr>
            </w:pPr>
          </w:p>
        </w:tc>
        <w:tc>
          <w:tcPr>
            <w:tcW w:w="6620" w:type="dxa"/>
            <w:vAlign w:val="bottom"/>
            <w:shd w:val="clear" w:color="auto" w:fill="CCEEFF"/>
          </w:tcPr>
          <w:p>
            <w:pPr>
              <w:spacing w:after="0"/>
              <w:rPr>
                <w:sz w:val="7"/>
                <w:szCs w:val="7"/>
                <w:color w:val="auto"/>
              </w:rPr>
            </w:pPr>
          </w:p>
        </w:tc>
      </w:tr>
      <w:tr>
        <w:trPr>
          <w:trHeight w:val="148"/>
        </w:trPr>
        <w:tc>
          <w:tcPr>
            <w:tcW w:w="230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pemigatinib</w:t>
            </w:r>
          </w:p>
        </w:tc>
        <w:tc>
          <w:tcPr>
            <w:tcW w:w="6620" w:type="dxa"/>
            <w:vAlign w:val="bottom"/>
          </w:tcPr>
          <w:p>
            <w:pPr>
              <w:ind w:left="200"/>
              <w:spacing w:after="0" w:line="149" w:lineRule="exact"/>
              <w:rPr>
                <w:sz w:val="20"/>
                <w:szCs w:val="20"/>
                <w:color w:val="auto"/>
              </w:rPr>
            </w:pPr>
            <w:r>
              <w:rPr>
                <w:rFonts w:ascii="Arial" w:cs="Arial" w:eastAsia="Arial" w:hAnsi="Arial"/>
                <w:sz w:val="17"/>
                <w:szCs w:val="17"/>
                <w:color w:val="auto"/>
              </w:rPr>
              <w:t>CCA: Phase II (FIGHT-202), Phase III (FIGHT-302)</w:t>
            </w:r>
          </w:p>
        </w:tc>
      </w:tr>
      <w:tr>
        <w:trPr>
          <w:trHeight w:val="242"/>
        </w:trPr>
        <w:tc>
          <w:tcPr>
            <w:tcW w:w="2300" w:type="dxa"/>
            <w:vAlign w:val="bottom"/>
          </w:tcPr>
          <w:p>
            <w:pPr>
              <w:ind w:left="100"/>
              <w:spacing w:after="0"/>
              <w:rPr>
                <w:sz w:val="20"/>
                <w:szCs w:val="20"/>
                <w:color w:val="auto"/>
              </w:rPr>
            </w:pPr>
            <w:r>
              <w:rPr>
                <w:rFonts w:ascii="Arial" w:cs="Arial" w:eastAsia="Arial" w:hAnsi="Arial"/>
                <w:sz w:val="18"/>
                <w:szCs w:val="18"/>
                <w:b w:val="1"/>
                <w:bCs w:val="1"/>
                <w:color w:val="auto"/>
              </w:rPr>
              <w:t>(FGFR)</w:t>
            </w:r>
          </w:p>
        </w:tc>
        <w:tc>
          <w:tcPr>
            <w:tcW w:w="6620" w:type="dxa"/>
            <w:vAlign w:val="bottom"/>
          </w:tcPr>
          <w:p>
            <w:pPr>
              <w:ind w:left="200"/>
              <w:spacing w:after="0"/>
              <w:rPr>
                <w:sz w:val="20"/>
                <w:szCs w:val="20"/>
                <w:color w:val="auto"/>
              </w:rPr>
            </w:pPr>
            <w:r>
              <w:rPr>
                <w:rFonts w:ascii="Arial" w:cs="Arial" w:eastAsia="Arial" w:hAnsi="Arial"/>
                <w:sz w:val="18"/>
                <w:szCs w:val="18"/>
                <w:color w:val="auto"/>
              </w:rPr>
              <w:t>8p11 MPN: Phase II (FIGHT-203)</w:t>
            </w:r>
          </w:p>
        </w:tc>
      </w:tr>
      <w:tr>
        <w:trPr>
          <w:trHeight w:val="230"/>
        </w:trPr>
        <w:tc>
          <w:tcPr>
            <w:tcW w:w="2300" w:type="dxa"/>
            <w:vAlign w:val="bottom"/>
          </w:tcPr>
          <w:p>
            <w:pPr>
              <w:spacing w:after="0"/>
              <w:rPr>
                <w:sz w:val="20"/>
                <w:szCs w:val="20"/>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Tumor agnostic: Phase II (FIGHT-207)</w:t>
            </w:r>
          </w:p>
        </w:tc>
      </w:tr>
      <w:tr>
        <w:trPr>
          <w:trHeight w:val="149"/>
        </w:trPr>
        <w:tc>
          <w:tcPr>
            <w:tcW w:w="2300" w:type="dxa"/>
            <w:vAlign w:val="bottom"/>
          </w:tcPr>
          <w:p>
            <w:pPr>
              <w:spacing w:after="0"/>
              <w:rPr>
                <w:sz w:val="12"/>
                <w:szCs w:val="12"/>
                <w:color w:val="auto"/>
              </w:rPr>
            </w:pPr>
          </w:p>
        </w:tc>
        <w:tc>
          <w:tcPr>
            <w:tcW w:w="6620" w:type="dxa"/>
            <w:vAlign w:val="bottom"/>
          </w:tcPr>
          <w:p>
            <w:pPr>
              <w:spacing w:after="0"/>
              <w:rPr>
                <w:sz w:val="12"/>
                <w:szCs w:val="12"/>
                <w:color w:val="auto"/>
              </w:rPr>
            </w:pPr>
          </w:p>
        </w:tc>
      </w:tr>
      <w:tr>
        <w:trPr>
          <w:trHeight w:val="149"/>
        </w:trPr>
        <w:tc>
          <w:tcPr>
            <w:tcW w:w="230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b w:val="1"/>
                <w:bCs w:val="1"/>
                <w:color w:val="auto"/>
              </w:rPr>
              <w:t>parsaclisib</w:t>
            </w:r>
          </w:p>
        </w:tc>
        <w:tc>
          <w:tcPr>
            <w:tcW w:w="66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r/r follicular lymphoma: Phase II (CITADEL-203)</w:t>
            </w:r>
          </w:p>
        </w:tc>
      </w:tr>
      <w:tr>
        <w:trPr>
          <w:trHeight w:val="270"/>
        </w:trPr>
        <w:tc>
          <w:tcPr>
            <w:tcW w:w="2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(PI3Kδ)</w:t>
            </w: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r/r marginal zone lymphoma: Phase II (CITADEL-204)</w:t>
            </w:r>
          </w:p>
        </w:tc>
      </w:tr>
      <w:tr>
        <w:trPr>
          <w:trHeight w:val="95"/>
        </w:trPr>
        <w:tc>
          <w:tcPr>
            <w:tcW w:w="2300" w:type="dxa"/>
            <w:vAlign w:val="bottom"/>
            <w:shd w:val="clear" w:color="auto" w:fill="CCEEFF"/>
          </w:tcPr>
          <w:p>
            <w:pPr>
              <w:spacing w:after="0"/>
              <w:rPr>
                <w:sz w:val="8"/>
                <w:szCs w:val="8"/>
                <w:color w:val="auto"/>
              </w:rPr>
            </w:pPr>
          </w:p>
        </w:tc>
        <w:tc>
          <w:tcPr>
            <w:tcW w:w="662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80" w:type="dxa"/>
            <w:vAlign w:val="bottom"/>
            <w:shd w:val="clear" w:color="auto" w:fill="CCEEFF"/>
          </w:tcPr>
          <w:p>
            <w:pPr>
              <w:spacing w:after="0"/>
              <w:rPr>
                <w:sz w:val="17"/>
                <w:szCs w:val="17"/>
                <w:color w:val="auto"/>
              </w:rPr>
            </w:pPr>
          </w:p>
        </w:tc>
        <w:tc>
          <w:tcPr>
            <w:tcW w:w="7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r/r mantle cell lymphoma: Phase II (CITADEL-205)</w:t>
            </w:r>
          </w:p>
        </w:tc>
      </w:tr>
      <w:tr>
        <w:trPr>
          <w:trHeight w:val="176"/>
        </w:trPr>
        <w:tc>
          <w:tcPr>
            <w:tcW w:w="1780" w:type="dxa"/>
            <w:vAlign w:val="bottom"/>
            <w:shd w:val="clear" w:color="auto" w:fill="CCEEFF"/>
          </w:tcPr>
          <w:p>
            <w:pPr>
              <w:spacing w:after="0"/>
              <w:rPr>
                <w:sz w:val="15"/>
                <w:szCs w:val="15"/>
                <w:color w:val="auto"/>
              </w:rPr>
            </w:pPr>
          </w:p>
        </w:tc>
        <w:tc>
          <w:tcPr>
            <w:tcW w:w="71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99"/>
              </w:rPr>
              <w:t>r/r follicular or marginal zone lymphoma: Phase III (CITADEL-302) in preparation</w:t>
            </w:r>
          </w:p>
        </w:tc>
      </w:tr>
      <w:tr>
        <w:trPr>
          <w:trHeight w:val="230"/>
        </w:trPr>
        <w:tc>
          <w:tcPr>
            <w:tcW w:w="1780" w:type="dxa"/>
            <w:vAlign w:val="bottom"/>
            <w:shd w:val="clear" w:color="auto" w:fill="CCEEFF"/>
          </w:tcPr>
          <w:p>
            <w:pPr>
              <w:spacing w:after="0"/>
              <w:rPr>
                <w:sz w:val="20"/>
                <w:szCs w:val="20"/>
                <w:color w:val="auto"/>
              </w:rPr>
            </w:pPr>
          </w:p>
        </w:tc>
        <w:tc>
          <w:tcPr>
            <w:tcW w:w="7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1L mantle cell lymphoma: Phase III (CITADEL-310) in preparation</w:t>
            </w:r>
          </w:p>
        </w:tc>
      </w:tr>
      <w:tr>
        <w:trPr>
          <w:trHeight w:val="148"/>
        </w:trPr>
        <w:tc>
          <w:tcPr>
            <w:tcW w:w="1780" w:type="dxa"/>
            <w:vAlign w:val="bottom"/>
            <w:shd w:val="clear" w:color="auto" w:fill="CCEEFF"/>
          </w:tcPr>
          <w:p>
            <w:pPr>
              <w:spacing w:after="0"/>
              <w:rPr>
                <w:sz w:val="12"/>
                <w:szCs w:val="12"/>
                <w:color w:val="auto"/>
              </w:rPr>
            </w:pPr>
          </w:p>
        </w:tc>
        <w:tc>
          <w:tcPr>
            <w:tcW w:w="7140" w:type="dxa"/>
            <w:vAlign w:val="bottom"/>
            <w:shd w:val="clear" w:color="auto" w:fill="CCEEFF"/>
          </w:tcPr>
          <w:p>
            <w:pPr>
              <w:spacing w:after="0"/>
              <w:rPr>
                <w:sz w:val="12"/>
                <w:szCs w:val="12"/>
                <w:color w:val="auto"/>
              </w:rPr>
            </w:pPr>
          </w:p>
        </w:tc>
      </w:tr>
      <w:tr>
        <w:trPr>
          <w:trHeight w:val="148"/>
        </w:trPr>
        <w:tc>
          <w:tcPr>
            <w:tcW w:w="1780" w:type="dxa"/>
            <w:vAlign w:val="bottom"/>
          </w:tcPr>
          <w:p>
            <w:pPr>
              <w:ind w:left="100"/>
              <w:spacing w:after="0" w:line="149" w:lineRule="exact"/>
              <w:rPr>
                <w:sz w:val="20"/>
                <w:szCs w:val="20"/>
                <w:color w:val="auto"/>
              </w:rPr>
            </w:pPr>
            <w:r>
              <w:rPr>
                <w:rFonts w:ascii="Arial" w:cs="Arial" w:eastAsia="Arial" w:hAnsi="Arial"/>
                <w:sz w:val="17"/>
                <w:szCs w:val="17"/>
                <w:b w:val="1"/>
                <w:bCs w:val="1"/>
                <w:color w:val="auto"/>
              </w:rPr>
              <w:t>retifanlimab</w:t>
            </w:r>
          </w:p>
        </w:tc>
        <w:tc>
          <w:tcPr>
            <w:tcW w:w="7140" w:type="dxa"/>
            <w:vAlign w:val="bottom"/>
          </w:tcPr>
          <w:p>
            <w:pPr>
              <w:ind w:left="720"/>
              <w:spacing w:after="0" w:line="149" w:lineRule="exact"/>
              <w:rPr>
                <w:sz w:val="20"/>
                <w:szCs w:val="20"/>
                <w:color w:val="auto"/>
              </w:rPr>
            </w:pPr>
            <w:r>
              <w:rPr>
                <w:rFonts w:ascii="Arial" w:cs="Arial" w:eastAsia="Arial" w:hAnsi="Arial"/>
                <w:sz w:val="17"/>
                <w:szCs w:val="17"/>
                <w:color w:val="auto"/>
              </w:rPr>
              <w:t>SCAC: Phase II (POD1UM-202); Phase III (PODIUM-303); BLA under Priority</w:t>
            </w:r>
          </w:p>
        </w:tc>
      </w:tr>
      <w:tr>
        <w:trPr>
          <w:trHeight w:val="215"/>
        </w:trPr>
        <w:tc>
          <w:tcPr>
            <w:tcW w:w="1780" w:type="dxa"/>
            <w:vAlign w:val="bottom"/>
          </w:tcPr>
          <w:p>
            <w:pPr>
              <w:ind w:left="100"/>
              <w:spacing w:after="0" w:line="216" w:lineRule="exact"/>
              <w:rPr>
                <w:sz w:val="20"/>
                <w:szCs w:val="20"/>
                <w:color w:val="auto"/>
              </w:rPr>
            </w:pPr>
            <w:r>
              <w:rPr>
                <w:rFonts w:ascii="Arial" w:cs="Arial" w:eastAsia="Arial" w:hAnsi="Arial"/>
                <w:sz w:val="17"/>
                <w:szCs w:val="17"/>
                <w:b w:val="1"/>
                <w:bCs w:val="1"/>
                <w:color w:val="auto"/>
              </w:rPr>
              <w:t>(PD-1)</w:t>
            </w:r>
            <w:r>
              <w:rPr>
                <w:rFonts w:ascii="Arial" w:cs="Arial" w:eastAsia="Arial" w:hAnsi="Arial"/>
                <w:sz w:val="24"/>
                <w:szCs w:val="24"/>
                <w:b w:val="1"/>
                <w:bCs w:val="1"/>
                <w:color w:val="auto"/>
                <w:vertAlign w:val="superscript"/>
              </w:rPr>
              <w:t>5</w:t>
            </w:r>
          </w:p>
        </w:tc>
        <w:tc>
          <w:tcPr>
            <w:tcW w:w="7140" w:type="dxa"/>
            <w:vAlign w:val="bottom"/>
          </w:tcPr>
          <w:p>
            <w:pPr>
              <w:ind w:left="720"/>
              <w:spacing w:after="0"/>
              <w:rPr>
                <w:sz w:val="20"/>
                <w:szCs w:val="20"/>
                <w:color w:val="auto"/>
              </w:rPr>
            </w:pPr>
            <w:r>
              <w:rPr>
                <w:rFonts w:ascii="Arial" w:cs="Arial" w:eastAsia="Arial" w:hAnsi="Arial"/>
                <w:sz w:val="18"/>
                <w:szCs w:val="18"/>
                <w:color w:val="auto"/>
              </w:rPr>
              <w:t>Review; MAA under review</w:t>
            </w:r>
          </w:p>
        </w:tc>
      </w:tr>
      <w:tr>
        <w:trPr>
          <w:trHeight w:val="203"/>
        </w:trPr>
        <w:tc>
          <w:tcPr>
            <w:tcW w:w="1780" w:type="dxa"/>
            <w:vAlign w:val="bottom"/>
          </w:tcPr>
          <w:p>
            <w:pPr>
              <w:spacing w:after="0"/>
              <w:rPr>
                <w:sz w:val="17"/>
                <w:szCs w:val="17"/>
                <w:color w:val="auto"/>
              </w:rPr>
            </w:pPr>
          </w:p>
        </w:tc>
        <w:tc>
          <w:tcPr>
            <w:tcW w:w="7140" w:type="dxa"/>
            <w:vAlign w:val="bottom"/>
          </w:tcPr>
          <w:p>
            <w:pPr>
              <w:ind w:left="720"/>
              <w:spacing w:after="0" w:line="202" w:lineRule="exact"/>
              <w:rPr>
                <w:sz w:val="20"/>
                <w:szCs w:val="20"/>
                <w:color w:val="auto"/>
              </w:rPr>
            </w:pPr>
            <w:r>
              <w:rPr>
                <w:rFonts w:ascii="Arial" w:cs="Arial" w:eastAsia="Arial" w:hAnsi="Arial"/>
                <w:sz w:val="18"/>
                <w:szCs w:val="18"/>
                <w:color w:val="auto"/>
              </w:rPr>
              <w:t>MSI-high endometrial cancer: Phase II (POD1UM-101, POD1UM-204)</w:t>
            </w:r>
          </w:p>
        </w:tc>
      </w:tr>
      <w:tr>
        <w:trPr>
          <w:trHeight w:val="216"/>
        </w:trPr>
        <w:tc>
          <w:tcPr>
            <w:tcW w:w="1780" w:type="dxa"/>
            <w:vAlign w:val="bottom"/>
          </w:tcPr>
          <w:p>
            <w:pPr>
              <w:spacing w:after="0"/>
              <w:rPr>
                <w:sz w:val="18"/>
                <w:szCs w:val="18"/>
                <w:color w:val="auto"/>
              </w:rPr>
            </w:pPr>
          </w:p>
        </w:tc>
        <w:tc>
          <w:tcPr>
            <w:tcW w:w="7140" w:type="dxa"/>
            <w:vAlign w:val="bottom"/>
          </w:tcPr>
          <w:p>
            <w:pPr>
              <w:ind w:left="720"/>
              <w:spacing w:after="0"/>
              <w:rPr>
                <w:sz w:val="20"/>
                <w:szCs w:val="20"/>
                <w:color w:val="auto"/>
              </w:rPr>
            </w:pPr>
            <w:r>
              <w:rPr>
                <w:rFonts w:ascii="Arial" w:cs="Arial" w:eastAsia="Arial" w:hAnsi="Arial"/>
                <w:sz w:val="18"/>
                <w:szCs w:val="18"/>
                <w:color w:val="auto"/>
              </w:rPr>
              <w:t>Merkel cell carcinoma: Phase II (POD1UM-201)</w:t>
            </w:r>
          </w:p>
        </w:tc>
      </w:tr>
      <w:tr>
        <w:trPr>
          <w:trHeight w:val="230"/>
        </w:trPr>
        <w:tc>
          <w:tcPr>
            <w:tcW w:w="1780" w:type="dxa"/>
            <w:vAlign w:val="bottom"/>
          </w:tcPr>
          <w:p>
            <w:pPr>
              <w:spacing w:after="0"/>
              <w:rPr>
                <w:sz w:val="20"/>
                <w:szCs w:val="20"/>
                <w:color w:val="auto"/>
              </w:rPr>
            </w:pPr>
          </w:p>
        </w:tc>
        <w:tc>
          <w:tcPr>
            <w:tcW w:w="7140" w:type="dxa"/>
            <w:vAlign w:val="bottom"/>
          </w:tcPr>
          <w:p>
            <w:pPr>
              <w:ind w:left="720"/>
              <w:spacing w:after="0"/>
              <w:rPr>
                <w:sz w:val="20"/>
                <w:szCs w:val="20"/>
                <w:color w:val="auto"/>
              </w:rPr>
            </w:pPr>
            <w:r>
              <w:rPr>
                <w:rFonts w:ascii="Arial" w:cs="Arial" w:eastAsia="Arial" w:hAnsi="Arial"/>
                <w:sz w:val="18"/>
                <w:szCs w:val="18"/>
                <w:color w:val="auto"/>
              </w:rPr>
              <w:t>NSCLC: Phase III (POD1UM-304)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96" w:lineRule="exact"/>
        <w:rPr>
          <w:sz w:val="20"/>
          <w:szCs w:val="20"/>
          <w:color w:val="auto"/>
        </w:rPr>
      </w:pPr>
    </w:p>
    <w:p>
      <w:pPr>
        <w:ind w:left="200" w:hanging="156"/>
        <w:spacing w:after="0"/>
        <w:tabs>
          <w:tab w:leader="none" w:pos="20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Clinical development of ruxolitinib in GVHD conducted in collaboration with Novartis.</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2"/>
        </w:numPr>
        <w:rPr>
          <w:rFonts w:ascii="Arial" w:cs="Arial" w:eastAsia="Arial" w:hAnsi="Arial"/>
          <w:sz w:val="24"/>
          <w:szCs w:val="24"/>
          <w:color w:val="auto"/>
          <w:vertAlign w:val="superscript"/>
        </w:rPr>
      </w:pPr>
      <w:r>
        <w:rPr>
          <w:rFonts w:ascii="Arial" w:cs="Arial" w:eastAsia="Arial" w:hAnsi="Arial"/>
          <w:sz w:val="16"/>
          <w:szCs w:val="16"/>
          <w:color w:val="auto"/>
        </w:rPr>
        <w:t>Development collaboration with Cellenkos, Inc.</w:t>
      </w:r>
    </w:p>
    <w:p>
      <w:pPr>
        <w:spacing w:after="0" w:line="2" w:lineRule="exact"/>
        <w:rPr>
          <w:rFonts w:ascii="Arial" w:cs="Arial" w:eastAsia="Arial" w:hAnsi="Arial"/>
          <w:sz w:val="24"/>
          <w:szCs w:val="24"/>
          <w:color w:val="auto"/>
          <w:vertAlign w:val="superscript"/>
        </w:rPr>
      </w:pPr>
    </w:p>
    <w:p>
      <w:pPr>
        <w:ind w:left="180" w:hanging="136"/>
        <w:spacing w:after="0" w:line="186" w:lineRule="auto"/>
        <w:tabs>
          <w:tab w:leader="none" w:pos="180" w:val="left"/>
        </w:tabs>
        <w:numPr>
          <w:ilvl w:val="0"/>
          <w:numId w:val="22"/>
        </w:numPr>
        <w:rPr>
          <w:rFonts w:ascii="Arial" w:cs="Arial" w:eastAsia="Arial" w:hAnsi="Arial"/>
          <w:sz w:val="24"/>
          <w:szCs w:val="24"/>
          <w:color w:val="auto"/>
          <w:vertAlign w:val="superscript"/>
        </w:rPr>
      </w:pPr>
      <w:r>
        <w:rPr>
          <w:rFonts w:ascii="Arial" w:cs="Arial" w:eastAsia="Arial" w:hAnsi="Arial"/>
          <w:sz w:val="16"/>
          <w:szCs w:val="16"/>
          <w:color w:val="auto"/>
        </w:rPr>
        <w:t>tafasitamab development in collaboration with MorphoSys.</w:t>
      </w:r>
    </w:p>
    <w:p>
      <w:pPr>
        <w:spacing w:after="0" w:line="2" w:lineRule="exact"/>
        <w:rPr>
          <w:rFonts w:ascii="Arial" w:cs="Arial" w:eastAsia="Arial" w:hAnsi="Arial"/>
          <w:sz w:val="24"/>
          <w:szCs w:val="24"/>
          <w:color w:val="auto"/>
          <w:vertAlign w:val="superscript"/>
        </w:rPr>
      </w:pPr>
    </w:p>
    <w:p>
      <w:pPr>
        <w:ind w:left="40" w:right="59" w:firstLine="4"/>
        <w:spacing w:after="0" w:line="208" w:lineRule="auto"/>
        <w:tabs>
          <w:tab w:leader="none" w:pos="192" w:val="left"/>
        </w:tabs>
        <w:numPr>
          <w:ilvl w:val="0"/>
          <w:numId w:val="22"/>
        </w:numPr>
        <w:rPr>
          <w:rFonts w:ascii="Arial" w:cs="Arial" w:eastAsia="Arial" w:hAnsi="Arial"/>
          <w:sz w:val="26"/>
          <w:szCs w:val="26"/>
          <w:color w:val="auto"/>
          <w:vertAlign w:val="superscript"/>
        </w:rPr>
      </w:pPr>
      <w:r>
        <w:rPr>
          <w:rFonts w:ascii="Arial" w:cs="Arial" w:eastAsia="Arial" w:hAnsi="Arial"/>
          <w:sz w:val="17"/>
          <w:szCs w:val="17"/>
          <w:color w:val="auto"/>
        </w:rPr>
        <w:t>Clinical collaboration with MorphoSys and Xencor, Inc. to investigate the combination of tafasitamab plus lenalidomide in combination with Xencor’s CD20xCD3 XmAb bispecific antibody, plamotamab.</w:t>
      </w:r>
    </w:p>
    <w:p>
      <w:pPr>
        <w:spacing w:after="0" w:line="1" w:lineRule="exact"/>
        <w:rPr>
          <w:rFonts w:ascii="Arial" w:cs="Arial" w:eastAsia="Arial" w:hAnsi="Arial"/>
          <w:sz w:val="26"/>
          <w:szCs w:val="26"/>
          <w:color w:val="auto"/>
          <w:vertAlign w:val="superscript"/>
        </w:rPr>
      </w:pPr>
    </w:p>
    <w:p>
      <w:pPr>
        <w:ind w:left="200" w:hanging="156"/>
        <w:spacing w:after="0" w:line="180" w:lineRule="auto"/>
        <w:tabs>
          <w:tab w:leader="none" w:pos="200" w:val="left"/>
        </w:tabs>
        <w:numPr>
          <w:ilvl w:val="0"/>
          <w:numId w:val="22"/>
        </w:numPr>
        <w:rPr>
          <w:rFonts w:ascii="Arial" w:cs="Arial" w:eastAsia="Arial" w:hAnsi="Arial"/>
          <w:sz w:val="25"/>
          <w:szCs w:val="25"/>
          <w:color w:val="auto"/>
          <w:vertAlign w:val="superscript"/>
        </w:rPr>
      </w:pPr>
      <w:r>
        <w:rPr>
          <w:rFonts w:ascii="Arial" w:cs="Arial" w:eastAsia="Arial" w:hAnsi="Arial"/>
          <w:sz w:val="17"/>
          <w:szCs w:val="17"/>
          <w:color w:val="auto"/>
        </w:rPr>
        <w:t>retifanlimab licensed from MacroGenics.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also have a number of other earlier-stage clinical programs in hematology and oncology, as detailed in the table below. We intend to describe these programs more fully if we obtain clinical proof-of-concept and establish that a program warrants further development in a specific indication or group of indications.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2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Modality</w:t>
            </w: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Candidates</w:t>
            </w:r>
          </w:p>
        </w:tc>
      </w:tr>
      <w:tr>
        <w:trPr>
          <w:trHeight w:val="49"/>
        </w:trPr>
        <w:tc>
          <w:tcPr>
            <w:tcW w:w="224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r>
      <w:tr>
        <w:trPr>
          <w:trHeight w:val="195"/>
        </w:trPr>
        <w:tc>
          <w:tcPr>
            <w:tcW w:w="224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b w:val="1"/>
                <w:bCs w:val="1"/>
                <w:color w:val="auto"/>
              </w:rPr>
              <w:t>Small molecules</w:t>
            </w:r>
          </w:p>
        </w:tc>
        <w:tc>
          <w:tcPr>
            <w:tcW w:w="6680" w:type="dxa"/>
            <w:vAlign w:val="bottom"/>
            <w:shd w:val="clear" w:color="auto" w:fill="CCEEFF"/>
          </w:tcPr>
          <w:p>
            <w:pPr>
              <w:ind w:left="320"/>
              <w:spacing w:after="0" w:line="195" w:lineRule="exact"/>
              <w:rPr>
                <w:sz w:val="20"/>
                <w:szCs w:val="20"/>
                <w:color w:val="auto"/>
              </w:rPr>
            </w:pPr>
            <w:r>
              <w:rPr>
                <w:rFonts w:ascii="Arial" w:cs="Arial" w:eastAsia="Arial" w:hAnsi="Arial"/>
                <w:sz w:val="16"/>
                <w:szCs w:val="16"/>
                <w:color w:val="auto"/>
              </w:rPr>
              <w:t>INCB01158 (ARG)</w:t>
            </w:r>
            <w:r>
              <w:rPr>
                <w:rFonts w:ascii="Arial" w:cs="Arial" w:eastAsia="Arial" w:hAnsi="Arial"/>
                <w:sz w:val="22"/>
                <w:szCs w:val="22"/>
                <w:color w:val="auto"/>
                <w:vertAlign w:val="superscript"/>
              </w:rPr>
              <w:t>1</w:t>
            </w:r>
            <w:r>
              <w:rPr>
                <w:rFonts w:ascii="Arial" w:cs="Arial" w:eastAsia="Arial" w:hAnsi="Arial"/>
                <w:sz w:val="16"/>
                <w:szCs w:val="16"/>
                <w:color w:val="auto"/>
              </w:rPr>
              <w:t>, INCB81776 (AXL/MER), epacadostat (IDO1), INCB86550</w:t>
            </w:r>
          </w:p>
        </w:tc>
      </w:tr>
      <w:tr>
        <w:trPr>
          <w:trHeight w:val="353"/>
        </w:trPr>
        <w:tc>
          <w:tcPr>
            <w:tcW w:w="2240" w:type="dxa"/>
            <w:vAlign w:val="bottom"/>
            <w:shd w:val="clear" w:color="auto" w:fill="CCEEFF"/>
          </w:tcPr>
          <w:p>
            <w:pPr>
              <w:spacing w:after="0"/>
              <w:rPr>
                <w:sz w:val="24"/>
                <w:szCs w:val="24"/>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(PD-L1), INCB106385 (A</w:t>
            </w:r>
            <w:r>
              <w:rPr>
                <w:rFonts w:ascii="Arial" w:cs="Arial" w:eastAsia="Arial" w:hAnsi="Arial"/>
                <w:sz w:val="26"/>
                <w:szCs w:val="26"/>
                <w:color w:val="auto"/>
                <w:vertAlign w:val="subscript"/>
              </w:rPr>
              <w:t>2A</w:t>
            </w:r>
            <w:r>
              <w:rPr>
                <w:rFonts w:ascii="Arial" w:cs="Arial" w:eastAsia="Arial" w:hAnsi="Arial"/>
                <w:sz w:val="18"/>
                <w:szCs w:val="18"/>
                <w:color w:val="auto"/>
              </w:rPr>
              <w:t>/A</w:t>
            </w:r>
            <w:r>
              <w:rPr>
                <w:rFonts w:ascii="Arial" w:cs="Arial" w:eastAsia="Arial" w:hAnsi="Arial"/>
                <w:sz w:val="26"/>
                <w:szCs w:val="26"/>
                <w:color w:val="auto"/>
                <w:vertAlign w:val="subscript"/>
              </w:rPr>
              <w:t>2B</w:t>
            </w:r>
            <w:r>
              <w:rPr>
                <w:rFonts w:ascii="Arial" w:cs="Arial" w:eastAsia="Arial" w:hAnsi="Arial"/>
                <w:sz w:val="18"/>
                <w:szCs w:val="18"/>
                <w:color w:val="auto"/>
              </w:rPr>
              <w:t>)</w:t>
            </w:r>
          </w:p>
        </w:tc>
      </w:tr>
      <w:tr>
        <w:trPr>
          <w:trHeight w:val="107"/>
        </w:trPr>
        <w:tc>
          <w:tcPr>
            <w:tcW w:w="2240" w:type="dxa"/>
            <w:vAlign w:val="bottom"/>
            <w:shd w:val="clear" w:color="auto" w:fill="CCEEFF"/>
          </w:tcPr>
          <w:p>
            <w:pPr>
              <w:spacing w:after="0"/>
              <w:rPr>
                <w:sz w:val="9"/>
                <w:szCs w:val="9"/>
                <w:color w:val="auto"/>
              </w:rPr>
            </w:pPr>
          </w:p>
        </w:tc>
        <w:tc>
          <w:tcPr>
            <w:tcW w:w="6680" w:type="dxa"/>
            <w:vAlign w:val="bottom"/>
            <w:shd w:val="clear" w:color="auto" w:fill="CCEEFF"/>
          </w:tcPr>
          <w:p>
            <w:pPr>
              <w:spacing w:after="0"/>
              <w:rPr>
                <w:sz w:val="9"/>
                <w:szCs w:val="9"/>
                <w:color w:val="auto"/>
              </w:rPr>
            </w:pPr>
          </w:p>
        </w:tc>
      </w:tr>
      <w:tr>
        <w:trPr>
          <w:trHeight w:val="202"/>
        </w:trPr>
        <w:tc>
          <w:tcPr>
            <w:tcW w:w="2240" w:type="dxa"/>
            <w:vAlign w:val="bottom"/>
          </w:tcPr>
          <w:p>
            <w:pPr>
              <w:ind w:left="100"/>
              <w:spacing w:after="0" w:line="201" w:lineRule="exact"/>
              <w:rPr>
                <w:sz w:val="20"/>
                <w:szCs w:val="20"/>
                <w:color w:val="auto"/>
              </w:rPr>
            </w:pPr>
            <w:r>
              <w:rPr>
                <w:rFonts w:ascii="Arial" w:cs="Arial" w:eastAsia="Arial" w:hAnsi="Arial"/>
                <w:sz w:val="16"/>
                <w:szCs w:val="16"/>
                <w:b w:val="1"/>
                <w:bCs w:val="1"/>
                <w:color w:val="auto"/>
              </w:rPr>
              <w:t>Monoclonal antibodies</w:t>
            </w:r>
            <w:r>
              <w:rPr>
                <w:rFonts w:ascii="Arial" w:cs="Arial" w:eastAsia="Arial" w:hAnsi="Arial"/>
                <w:sz w:val="23"/>
                <w:szCs w:val="23"/>
                <w:b w:val="1"/>
                <w:bCs w:val="1"/>
                <w:color w:val="auto"/>
                <w:vertAlign w:val="superscript"/>
              </w:rPr>
              <w:t>2</w:t>
            </w:r>
          </w:p>
        </w:tc>
        <w:tc>
          <w:tcPr>
            <w:tcW w:w="6680" w:type="dxa"/>
            <w:vAlign w:val="bottom"/>
          </w:tcPr>
          <w:p>
            <w:pPr>
              <w:ind w:left="320"/>
              <w:spacing w:after="0" w:line="201" w:lineRule="exact"/>
              <w:rPr>
                <w:sz w:val="20"/>
                <w:szCs w:val="20"/>
                <w:color w:val="auto"/>
              </w:rPr>
            </w:pPr>
            <w:r>
              <w:rPr>
                <w:rFonts w:ascii="Arial" w:cs="Arial" w:eastAsia="Arial" w:hAnsi="Arial"/>
                <w:sz w:val="18"/>
                <w:szCs w:val="18"/>
                <w:color w:val="auto"/>
              </w:rPr>
              <w:t>INCAGN1876 (GITR), INCAGN2385 (LAG-3), INCAGN1949 (OX40),</w:t>
            </w:r>
          </w:p>
        </w:tc>
      </w:tr>
      <w:tr>
        <w:trPr>
          <w:trHeight w:val="230"/>
        </w:trPr>
        <w:tc>
          <w:tcPr>
            <w:tcW w:w="224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INCAGN2390 (TIM-3), INCA00186 (CD73)</w:t>
            </w:r>
          </w:p>
        </w:tc>
      </w:tr>
      <w:tr>
        <w:trPr>
          <w:trHeight w:val="216"/>
        </w:trPr>
        <w:tc>
          <w:tcPr>
            <w:tcW w:w="224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372"/>
        </w:trPr>
        <w:tc>
          <w:tcPr>
            <w:tcW w:w="2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Bispecific antibodies</w:t>
            </w:r>
          </w:p>
        </w:tc>
        <w:tc>
          <w:tcPr>
            <w:tcW w:w="6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MCLA-145 (PD-L1xCD137)</w:t>
            </w:r>
            <w:r>
              <w:rPr>
                <w:rFonts w:ascii="Arial" w:cs="Arial" w:eastAsia="Arial" w:hAnsi="Arial"/>
                <w:sz w:val="26"/>
                <w:szCs w:val="26"/>
                <w:color w:val="auto"/>
                <w:vertAlign w:val="superscript"/>
              </w:rPr>
              <w:t>3</w:t>
            </w:r>
          </w:p>
        </w:tc>
      </w:tr>
      <w:tr>
        <w:trPr>
          <w:trHeight w:val="20"/>
        </w:trPr>
        <w:tc>
          <w:tcPr>
            <w:tcW w:w="224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r>
    </w:tbl>
    <w:p>
      <w:pPr>
        <w:spacing w:after="0" w:line="14" w:lineRule="exact"/>
        <w:rPr>
          <w:sz w:val="20"/>
          <w:szCs w:val="20"/>
          <w:color w:val="auto"/>
        </w:rPr>
      </w:pPr>
    </w:p>
    <w:p>
      <w:pPr>
        <w:ind w:left="200" w:hanging="156"/>
        <w:spacing w:after="0"/>
        <w:tabs>
          <w:tab w:leader="none" w:pos="20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INCB01158 licensed from Calithera Biosciences, Inc.</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Discovery collaboration with Agenus Inc.</w:t>
      </w:r>
    </w:p>
    <w:p>
      <w:pPr>
        <w:spacing w:after="0" w:line="2" w:lineRule="exact"/>
        <w:rPr>
          <w:rFonts w:ascii="Arial" w:cs="Arial" w:eastAsia="Arial" w:hAnsi="Arial"/>
          <w:sz w:val="24"/>
          <w:szCs w:val="24"/>
          <w:color w:val="auto"/>
          <w:vertAlign w:val="superscript"/>
        </w:rPr>
      </w:pPr>
    </w:p>
    <w:p>
      <w:pPr>
        <w:ind w:left="200" w:hanging="156"/>
        <w:spacing w:after="0" w:line="186" w:lineRule="auto"/>
        <w:tabs>
          <w:tab w:leader="none" w:pos="20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MCLA-145 development in collaboration with Merus N.V.</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do not yet have any approved products in IAI. In anticipation of the potential FDA approval of our most advanced program, ruxolitinib cream for use in mild-to-moderate atopic dermatitis (AD), we recently established Incyte Dermatology as a new commercial franchise in the United States.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Ruxolitinib cream is a potent, selective inhibitor of JAK1 and JAK2 that provides the opportunity to directly target diverse pathogenic pathways that underlie certain dermatologic conditions, including atopic dermatitis and vitiligo.</w:t>
      </w:r>
    </w:p>
    <w:p>
      <w:pPr>
        <w:spacing w:after="0" w:line="12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April 2020, safety and efficacy data from the two Phase III trials in the TRuE-AD program evaluating ruxolitinib cream in mild-to-moderate atopic dermatitis (AD) were presented at the Revolutionizing Atopic Dermatitis (RAD) virtual symposium; both trials met their primary endpoints. The 44-week long-term safety and efficacy portion of both the TRuE-AD1 and TRuE-AD2 trials have been completed. Additional pooled analysis from the TRuE-AD program were presented at the American Academy of Dermatology (AAD) in April 2021, with results demonstrating ruxolitinib cream’s safety and efficacy across various patient subgroups.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September 2020, we purchased a priority review voucher (PRV) from a third party, with the intent to use it in connection with our submission seeking FDA approval of ruxolitinib cream for the treatment of mild-to-moderate AD. In February 2021, we announced that the NDA seeking approval for ruxolitinib cream as a treatment for patients with mild-to-moderate AD was accepted for Priority Review by the FDA. The Prescription Drug User Fee Act (PDUFA) action date is June 21, 2021.</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June 2019, primary endpoint data after 6 months of therapy from the Phase II trial of ruxolitinib cream in patients with vitiligo showed a significant benefit over vehicle control, and a global, pivotal Phase III program was initiated in September 2019. In October 2019, updated data from the Phase II trial showed, after 12 months of therapy, additional improvement in the repigmentation of vitiligo lesions. In April 2021, updated 104-week data from the Phase II trial were presented at AAD, with results showing continued efficacy in patients treated with ruxolitinib cream through 104 weeks, with a longer duration of treatment being associated with greater levels of repigmentation.</w:t>
      </w:r>
    </w:p>
    <w:p>
      <w:pPr>
        <w:spacing w:after="0" w:line="178"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Vitiligo is a long-term skin condition characterized by patches of the skin losing their pigment. It is estimated that vitiligo affects 0.5-2% of the US population and, therefore, there are at least 1.5 million patients in the United States with this disorder. There are no FDA approved treatments for repigmentation of vitiligo lesions.</w:t>
      </w:r>
    </w:p>
    <w:p>
      <w:pPr>
        <w:spacing w:after="0" w:line="16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are also developing INCB54707, which is an oral small molecule selective JAK1 inhibitor. INCB54707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INCB54707 is underway in patients with HS. In March 2021, we initiated a Phase II trial evaluating INCB54707 in patients with vitiligo.</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A Phase II trial of parsaclisib in patients with autoimmune hemolytic anemia (AIHA), a rare red blood cell disorder, is ongoing. The FDA has granted orphan drug designation to parsaclisib as a treatment for patients with AIHA.</w:t>
      </w:r>
    </w:p>
    <w:p>
      <w:pPr>
        <w:spacing w:after="0" w:line="12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 Phase II trial of INCB00928 is in preparation for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1940" w:type="dxa"/>
            <w:vAlign w:val="bottom"/>
            <w:tcBorders>
              <w:top w:val="single" w:sz="8" w:color="auto"/>
            </w:tcBorders>
          </w:tcPr>
          <w:p>
            <w:pPr>
              <w:spacing w:after="0"/>
              <w:rPr>
                <w:sz w:val="21"/>
                <w:szCs w:val="21"/>
                <w:color w:val="auto"/>
              </w:rPr>
            </w:pPr>
          </w:p>
        </w:tc>
        <w:tc>
          <w:tcPr>
            <w:tcW w:w="69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Indication and status</w:t>
            </w:r>
          </w:p>
        </w:tc>
      </w:tr>
      <w:tr>
        <w:trPr>
          <w:trHeight w:val="49"/>
        </w:trPr>
        <w:tc>
          <w:tcPr>
            <w:tcW w:w="194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r>
      <w:tr>
        <w:trPr>
          <w:trHeight w:val="142"/>
        </w:trPr>
        <w:tc>
          <w:tcPr>
            <w:tcW w:w="1940" w:type="dxa"/>
            <w:vAlign w:val="bottom"/>
            <w:shd w:val="clear" w:color="auto" w:fill="CCEEFF"/>
          </w:tcPr>
          <w:p>
            <w:pPr>
              <w:ind w:left="100"/>
              <w:spacing w:after="0" w:line="142" w:lineRule="exact"/>
              <w:rPr>
                <w:sz w:val="20"/>
                <w:szCs w:val="20"/>
                <w:color w:val="auto"/>
              </w:rPr>
            </w:pPr>
            <w:r>
              <w:rPr>
                <w:rFonts w:ascii="Arial" w:cs="Arial" w:eastAsia="Arial" w:hAnsi="Arial"/>
                <w:sz w:val="12"/>
                <w:szCs w:val="12"/>
                <w:b w:val="1"/>
                <w:bCs w:val="1"/>
                <w:color w:val="auto"/>
              </w:rPr>
              <w:t>ruxolitinib cream</w:t>
            </w:r>
            <w:r>
              <w:rPr>
                <w:rFonts w:ascii="Arial" w:cs="Arial" w:eastAsia="Arial" w:hAnsi="Arial"/>
                <w:sz w:val="16"/>
                <w:szCs w:val="16"/>
                <w:b w:val="1"/>
                <w:bCs w:val="1"/>
                <w:color w:val="auto"/>
                <w:vertAlign w:val="superscript"/>
              </w:rPr>
              <w:t>1</w:t>
            </w:r>
          </w:p>
        </w:tc>
        <w:tc>
          <w:tcPr>
            <w:tcW w:w="6980" w:type="dxa"/>
            <w:vAlign w:val="bottom"/>
            <w:shd w:val="clear" w:color="auto" w:fill="CCEEFF"/>
          </w:tcPr>
          <w:p>
            <w:pPr>
              <w:ind w:left="280"/>
              <w:spacing w:after="0" w:line="142" w:lineRule="exact"/>
              <w:rPr>
                <w:sz w:val="20"/>
                <w:szCs w:val="20"/>
                <w:color w:val="auto"/>
              </w:rPr>
            </w:pPr>
            <w:r>
              <w:rPr>
                <w:rFonts w:ascii="Arial" w:cs="Arial" w:eastAsia="Arial" w:hAnsi="Arial"/>
                <w:sz w:val="16"/>
                <w:szCs w:val="16"/>
                <w:color w:val="auto"/>
              </w:rPr>
              <w:t>Atopic dermatitis: Phase III (TRuE-AD1, TRuE-AD2; primary endpoint met); NDA under</w:t>
            </w:r>
          </w:p>
        </w:tc>
      </w:tr>
      <w:tr>
        <w:trPr>
          <w:trHeight w:val="215"/>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(JAK1/JAK2)</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Priority Review</w:t>
            </w:r>
          </w:p>
        </w:tc>
      </w:tr>
      <w:tr>
        <w:trPr>
          <w:trHeight w:val="230"/>
        </w:trPr>
        <w:tc>
          <w:tcPr>
            <w:tcW w:w="1940" w:type="dxa"/>
            <w:vAlign w:val="bottom"/>
            <w:shd w:val="clear" w:color="auto" w:fill="CCEEFF"/>
          </w:tcPr>
          <w:p>
            <w:pPr>
              <w:spacing w:after="0"/>
              <w:rPr>
                <w:sz w:val="20"/>
                <w:szCs w:val="20"/>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Vitiligo: Phase III (TRuE-V1, TRuE-V2; recruitment complete in both trials)</w:t>
            </w:r>
          </w:p>
        </w:tc>
      </w:tr>
      <w:tr>
        <w:trPr>
          <w:trHeight w:val="216"/>
        </w:trPr>
        <w:tc>
          <w:tcPr>
            <w:tcW w:w="194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r>
      <w:tr>
        <w:trPr>
          <w:trHeight w:val="188"/>
        </w:trPr>
        <w:tc>
          <w:tcPr>
            <w:tcW w:w="1940" w:type="dxa"/>
            <w:vAlign w:val="bottom"/>
          </w:tcPr>
          <w:p>
            <w:pPr>
              <w:ind w:left="100"/>
              <w:spacing w:after="0" w:line="189" w:lineRule="exact"/>
              <w:rPr>
                <w:sz w:val="20"/>
                <w:szCs w:val="20"/>
                <w:color w:val="auto"/>
              </w:rPr>
            </w:pPr>
            <w:r>
              <w:rPr>
                <w:rFonts w:ascii="Arial" w:cs="Arial" w:eastAsia="Arial" w:hAnsi="Arial"/>
                <w:sz w:val="18"/>
                <w:szCs w:val="18"/>
                <w:b w:val="1"/>
                <w:bCs w:val="1"/>
                <w:color w:val="auto"/>
              </w:rPr>
              <w:t>INCB54707 (JAK1)</w:t>
            </w:r>
          </w:p>
        </w:tc>
        <w:tc>
          <w:tcPr>
            <w:tcW w:w="6980" w:type="dxa"/>
            <w:vAlign w:val="bottom"/>
          </w:tcPr>
          <w:p>
            <w:pPr>
              <w:ind w:left="280"/>
              <w:spacing w:after="0" w:line="189" w:lineRule="exact"/>
              <w:rPr>
                <w:sz w:val="20"/>
                <w:szCs w:val="20"/>
                <w:color w:val="auto"/>
              </w:rPr>
            </w:pPr>
            <w:r>
              <w:rPr>
                <w:rFonts w:ascii="Arial" w:cs="Arial" w:eastAsia="Arial" w:hAnsi="Arial"/>
                <w:sz w:val="18"/>
                <w:szCs w:val="18"/>
                <w:color w:val="auto"/>
              </w:rPr>
              <w:t>Hidradenitis suppurativa: Phase II</w:t>
            </w:r>
          </w:p>
        </w:tc>
      </w:tr>
      <w:tr>
        <w:trPr>
          <w:trHeight w:val="230"/>
        </w:trPr>
        <w:tc>
          <w:tcPr>
            <w:tcW w:w="1940" w:type="dxa"/>
            <w:vAlign w:val="bottom"/>
          </w:tcPr>
          <w:p>
            <w:pPr>
              <w:spacing w:after="0"/>
              <w:rPr>
                <w:sz w:val="20"/>
                <w:szCs w:val="20"/>
                <w:color w:val="auto"/>
              </w:rPr>
            </w:pPr>
          </w:p>
        </w:tc>
        <w:tc>
          <w:tcPr>
            <w:tcW w:w="6980" w:type="dxa"/>
            <w:vAlign w:val="bottom"/>
          </w:tcPr>
          <w:p>
            <w:pPr>
              <w:ind w:left="280"/>
              <w:spacing w:after="0"/>
              <w:rPr>
                <w:sz w:val="20"/>
                <w:szCs w:val="20"/>
                <w:color w:val="auto"/>
              </w:rPr>
            </w:pPr>
            <w:r>
              <w:rPr>
                <w:rFonts w:ascii="Arial" w:cs="Arial" w:eastAsia="Arial" w:hAnsi="Arial"/>
                <w:sz w:val="18"/>
                <w:szCs w:val="18"/>
                <w:color w:val="auto"/>
              </w:rPr>
              <w:t>Vitiligo: Phase II</w:t>
            </w:r>
          </w:p>
        </w:tc>
      </w:tr>
      <w:tr>
        <w:trPr>
          <w:trHeight w:val="216"/>
        </w:trPr>
        <w:tc>
          <w:tcPr>
            <w:tcW w:w="1940" w:type="dxa"/>
            <w:vAlign w:val="bottom"/>
          </w:tcPr>
          <w:p>
            <w:pPr>
              <w:spacing w:after="0"/>
              <w:rPr>
                <w:sz w:val="18"/>
                <w:szCs w:val="18"/>
                <w:color w:val="auto"/>
              </w:rPr>
            </w:pPr>
          </w:p>
        </w:tc>
        <w:tc>
          <w:tcPr>
            <w:tcW w:w="6980" w:type="dxa"/>
            <w:vAlign w:val="bottom"/>
          </w:tcPr>
          <w:p>
            <w:pPr>
              <w:spacing w:after="0"/>
              <w:rPr>
                <w:sz w:val="18"/>
                <w:szCs w:val="18"/>
                <w:color w:val="auto"/>
              </w:rPr>
            </w:pPr>
          </w:p>
        </w:tc>
      </w:tr>
      <w:tr>
        <w:trPr>
          <w:trHeight w:val="234"/>
        </w:trPr>
        <w:tc>
          <w:tcPr>
            <w:tcW w:w="19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parsaclisib (PI3Kδ)</w:t>
            </w:r>
          </w:p>
        </w:tc>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Autoimmune hemolytic anemia: Phase II</w:t>
            </w:r>
          </w:p>
        </w:tc>
      </w:tr>
      <w:tr>
        <w:trPr>
          <w:trHeight w:val="144"/>
        </w:trPr>
        <w:tc>
          <w:tcPr>
            <w:tcW w:w="194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rPr>
                <w:sz w:val="12"/>
                <w:szCs w:val="12"/>
                <w:color w:val="auto"/>
              </w:rPr>
            </w:pPr>
          </w:p>
        </w:tc>
      </w:tr>
      <w:tr>
        <w:trPr>
          <w:trHeight w:val="234"/>
        </w:trPr>
        <w:tc>
          <w:tcPr>
            <w:tcW w:w="1940" w:type="dxa"/>
            <w:vAlign w:val="bottom"/>
          </w:tcPr>
          <w:p>
            <w:pPr>
              <w:ind w:left="100"/>
              <w:spacing w:after="0"/>
              <w:rPr>
                <w:sz w:val="20"/>
                <w:szCs w:val="20"/>
                <w:color w:val="auto"/>
              </w:rPr>
            </w:pPr>
            <w:r>
              <w:rPr>
                <w:rFonts w:ascii="Arial" w:cs="Arial" w:eastAsia="Arial" w:hAnsi="Arial"/>
                <w:sz w:val="18"/>
                <w:szCs w:val="18"/>
                <w:b w:val="1"/>
                <w:bCs w:val="1"/>
                <w:color w:val="auto"/>
              </w:rPr>
              <w:t>INCB00928 (ALK2)</w:t>
            </w:r>
          </w:p>
        </w:tc>
        <w:tc>
          <w:tcPr>
            <w:tcW w:w="6980" w:type="dxa"/>
            <w:vAlign w:val="bottom"/>
          </w:tcPr>
          <w:p>
            <w:pPr>
              <w:ind w:left="280"/>
              <w:spacing w:after="0"/>
              <w:rPr>
                <w:sz w:val="20"/>
                <w:szCs w:val="20"/>
                <w:color w:val="auto"/>
              </w:rPr>
            </w:pPr>
            <w:r>
              <w:rPr>
                <w:rFonts w:ascii="Arial" w:cs="Arial" w:eastAsia="Arial" w:hAnsi="Arial"/>
                <w:sz w:val="18"/>
                <w:szCs w:val="18"/>
                <w:color w:val="auto"/>
              </w:rPr>
              <w:t>Fibrodysplasia ossificans progressiva: Phase II in preparation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31" w:lineRule="exact"/>
        <w:rPr>
          <w:sz w:val="20"/>
          <w:szCs w:val="20"/>
          <w:color w:val="auto"/>
        </w:rPr>
      </w:pPr>
    </w:p>
    <w:p>
      <w:pPr>
        <w:ind w:left="40" w:right="59" w:firstLine="4"/>
        <w:spacing w:after="0" w:line="207" w:lineRule="auto"/>
        <w:tabs>
          <w:tab w:leader="none" w:pos="227"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Rheumatoid Arthritis. </w:t>
      </w:r>
      <w:r>
        <w:rPr>
          <w:rFonts w:ascii="Arial" w:cs="Arial" w:eastAsia="Arial" w:hAnsi="Arial"/>
          <w:sz w:val="17"/>
          <w:szCs w:val="17"/>
          <w:color w:val="auto"/>
        </w:rPr>
        <w:t>Rheumatoid arthritis is an autoimmune disease characterized by aberrant or abnormal</w:t>
      </w:r>
      <w:r>
        <w:rPr>
          <w:rFonts w:ascii="Arial" w:cs="Arial" w:eastAsia="Arial" w:hAnsi="Arial"/>
          <w:sz w:val="17"/>
          <w:szCs w:val="17"/>
          <w:i w:val="1"/>
          <w:iCs w:val="1"/>
          <w:color w:val="auto"/>
        </w:rPr>
        <w:t xml:space="preserve"> </w:t>
      </w:r>
      <w:r>
        <w:rPr>
          <w:rFonts w:ascii="Arial" w:cs="Arial" w:eastAsia="Arial" w:hAnsi="Arial"/>
          <w:sz w:val="17"/>
          <w:szCs w:val="17"/>
          <w:color w:val="auto"/>
        </w:rPr>
        <w:t>immune mechanisms that lead to joint inflammation and swelling and, in some patients, the progressive destruction of joints. Rheumatoid arthritis can also affect connective tissue in the skin and organs of the body.</w:t>
      </w:r>
    </w:p>
    <w:p>
      <w:pPr>
        <w:spacing w:after="0" w:line="16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6"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Lilly has conducted a Phase IIa trial and a Phase III program to evaluate the safety and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of baricitinib in patients with 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71"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An sNDA for baricitinib has been submitted by Lilly for the treatment of patients with AD. In April 2021, we and Lilly announced the FDA extended the review period for the sNDA for baricitinib for the treatment of moderate to severe atopic dermatitis by three months to allow time for additional data analyses.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8"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i w:val="1"/>
          <w:iCs w:val="1"/>
          <w:color w:val="auto"/>
        </w:rPr>
        <w:t xml:space="preserve">Systemic Lupus Erythematosus. </w:t>
      </w:r>
      <w:r>
        <w:rPr>
          <w:rFonts w:ascii="Arial" w:cs="Arial" w:eastAsia="Arial" w:hAnsi="Arial"/>
          <w:sz w:val="18"/>
          <w:szCs w:val="18"/>
          <w:color w:val="auto"/>
        </w:rPr>
        <w:t>Systemic lupus erythematosus (SLE) is a chronic disease that causes</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 In addition to affecting the 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 The potential impact of baricitinib on the IFN pathway is highly relevant to SLE, as clinical and preclinical studies have established that this pathway is involved in the pathogenesis of SLE. Lilly is currently running two Phase III trials of baricitinib in patients with SLE, BRAVE I and BRAVE II.</w:t>
      </w:r>
    </w:p>
    <w:p>
      <w:pPr>
        <w:spacing w:after="0" w:line="196"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i w:val="1"/>
          <w:iCs w:val="1"/>
          <w:color w:val="auto"/>
        </w:rPr>
        <w:t>Alopecia Areata</w:t>
      </w:r>
      <w:r>
        <w:rPr>
          <w:rFonts w:ascii="Arial" w:cs="Arial" w:eastAsia="Arial" w:hAnsi="Arial"/>
          <w:sz w:val="17"/>
          <w:szCs w:val="17"/>
          <w:color w:val="auto"/>
        </w:rPr>
        <w:t>. Alopecia areata is an autoimmune disorder in which the immune system attacks the hair follicles,</w:t>
      </w:r>
      <w:r>
        <w:rPr>
          <w:rFonts w:ascii="Arial" w:cs="Arial" w:eastAsia="Arial" w:hAnsi="Arial"/>
          <w:sz w:val="17"/>
          <w:szCs w:val="17"/>
          <w:i w:val="1"/>
          <w:iCs w:val="1"/>
          <w:color w:val="auto"/>
        </w:rPr>
        <w:t xml:space="preserve"> </w:t>
      </w:r>
      <w:r>
        <w:rPr>
          <w:rFonts w:ascii="Arial" w:cs="Arial" w:eastAsia="Arial" w:hAnsi="Arial"/>
          <w:sz w:val="17"/>
          <w:szCs w:val="17"/>
          <w:color w:val="auto"/>
        </w:rPr>
        <w:t>causing hair loss in patches. In March 2020, Lilly announced that baricitinib received Breakthrough Therapy designation for the treatment of alopecia areata, based on the positive Phase II 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The two studies showed statistically significant improvement in scalp hair regrowth across both baricitinib dosing groups when compared to placebo.</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57"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1720" w:type="dxa"/>
            <w:vAlign w:val="bottom"/>
            <w:tcBorders>
              <w:top w:val="single" w:sz="8" w:color="auto"/>
            </w:tcBorders>
          </w:tcPr>
          <w:p>
            <w:pPr>
              <w:spacing w:after="0"/>
              <w:rPr>
                <w:sz w:val="22"/>
                <w:szCs w:val="22"/>
                <w:color w:val="auto"/>
              </w:rPr>
            </w:pPr>
          </w:p>
        </w:tc>
        <w:tc>
          <w:tcPr>
            <w:tcW w:w="72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Indication and status</w:t>
            </w:r>
          </w:p>
        </w:tc>
      </w:tr>
      <w:tr>
        <w:trPr>
          <w:trHeight w:val="63"/>
        </w:trPr>
        <w:tc>
          <w:tcPr>
            <w:tcW w:w="1720" w:type="dxa"/>
            <w:vAlign w:val="bottom"/>
            <w:tcBorders>
              <w:bottom w:val="single" w:sz="8" w:color="auto"/>
            </w:tcBorders>
          </w:tcPr>
          <w:p>
            <w:pPr>
              <w:spacing w:after="0"/>
              <w:rPr>
                <w:sz w:val="5"/>
                <w:szCs w:val="5"/>
                <w:color w:val="auto"/>
              </w:rPr>
            </w:pPr>
          </w:p>
        </w:tc>
        <w:tc>
          <w:tcPr>
            <w:tcW w:w="7200" w:type="dxa"/>
            <w:vAlign w:val="bottom"/>
            <w:tcBorders>
              <w:bottom w:val="single" w:sz="8" w:color="auto"/>
            </w:tcBorders>
          </w:tcPr>
          <w:p>
            <w:pPr>
              <w:spacing w:after="0"/>
              <w:rPr>
                <w:sz w:val="5"/>
                <w:szCs w:val="5"/>
                <w:color w:val="auto"/>
              </w:rPr>
            </w:pPr>
          </w:p>
        </w:tc>
      </w:tr>
      <w:tr>
        <w:trPr>
          <w:trHeight w:val="142"/>
        </w:trPr>
        <w:tc>
          <w:tcPr>
            <w:tcW w:w="1720" w:type="dxa"/>
            <w:vAlign w:val="bottom"/>
            <w:shd w:val="clear" w:color="auto" w:fill="CCEEFF"/>
          </w:tcPr>
          <w:p>
            <w:pPr>
              <w:ind w:left="100"/>
              <w:spacing w:after="0" w:line="142" w:lineRule="exact"/>
              <w:rPr>
                <w:sz w:val="20"/>
                <w:szCs w:val="20"/>
                <w:color w:val="auto"/>
              </w:rPr>
            </w:pPr>
            <w:r>
              <w:rPr>
                <w:rFonts w:ascii="Arial" w:cs="Arial" w:eastAsia="Arial" w:hAnsi="Arial"/>
                <w:sz w:val="16"/>
                <w:szCs w:val="16"/>
                <w:b w:val="1"/>
                <w:bCs w:val="1"/>
                <w:color w:val="auto"/>
              </w:rPr>
              <w:t>baricitinib</w:t>
            </w:r>
          </w:p>
        </w:tc>
        <w:tc>
          <w:tcPr>
            <w:tcW w:w="7200" w:type="dxa"/>
            <w:vAlign w:val="bottom"/>
            <w:shd w:val="clear" w:color="auto" w:fill="CCEEFF"/>
          </w:tcPr>
          <w:p>
            <w:pPr>
              <w:ind w:left="120"/>
              <w:spacing w:after="0" w:line="142" w:lineRule="exact"/>
              <w:rPr>
                <w:sz w:val="20"/>
                <w:szCs w:val="20"/>
                <w:color w:val="auto"/>
              </w:rPr>
            </w:pPr>
            <w:r>
              <w:rPr>
                <w:rFonts w:ascii="Arial" w:cs="Arial" w:eastAsia="Arial" w:hAnsi="Arial"/>
                <w:sz w:val="16"/>
                <w:szCs w:val="16"/>
                <w:color w:val="auto"/>
              </w:rPr>
              <w:t>Atopic dermatitis: Phase III (BREEZE-AD); approved in European Union and Japan; sNDA</w:t>
            </w:r>
          </w:p>
        </w:tc>
      </w:tr>
      <w:tr>
        <w:trPr>
          <w:trHeight w:val="215"/>
        </w:trPr>
        <w:tc>
          <w:tcPr>
            <w:tcW w:w="172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b w:val="1"/>
                <w:bCs w:val="1"/>
                <w:color w:val="auto"/>
              </w:rPr>
              <w:t>(JAK1/JAK2)</w:t>
            </w:r>
            <w:r>
              <w:rPr>
                <w:rFonts w:ascii="Arial" w:cs="Arial" w:eastAsia="Arial" w:hAnsi="Arial"/>
                <w:sz w:val="24"/>
                <w:szCs w:val="24"/>
                <w:b w:val="1"/>
                <w:bCs w:val="1"/>
                <w:color w:val="auto"/>
                <w:vertAlign w:val="superscript"/>
              </w:rPr>
              <w:t>1</w:t>
            </w: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review</w:t>
            </w:r>
          </w:p>
        </w:tc>
      </w:tr>
      <w:tr>
        <w:trPr>
          <w:trHeight w:val="203"/>
        </w:trPr>
        <w:tc>
          <w:tcPr>
            <w:tcW w:w="1720" w:type="dxa"/>
            <w:vAlign w:val="bottom"/>
            <w:shd w:val="clear" w:color="auto" w:fill="CCEEFF"/>
          </w:tcPr>
          <w:p>
            <w:pPr>
              <w:spacing w:after="0"/>
              <w:rPr>
                <w:sz w:val="17"/>
                <w:szCs w:val="17"/>
                <w:color w:val="auto"/>
              </w:rPr>
            </w:pPr>
          </w:p>
        </w:tc>
        <w:tc>
          <w:tcPr>
            <w:tcW w:w="7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Severe alopecia areata: Phase III (BRAVE-AA1, BRAVE-AA2)</w:t>
            </w:r>
          </w:p>
        </w:tc>
      </w:tr>
      <w:tr>
        <w:trPr>
          <w:trHeight w:val="230"/>
        </w:trPr>
        <w:tc>
          <w:tcPr>
            <w:tcW w:w="1720" w:type="dxa"/>
            <w:vAlign w:val="bottom"/>
            <w:shd w:val="clear" w:color="auto" w:fill="CCEEFF"/>
          </w:tcPr>
          <w:p>
            <w:pPr>
              <w:spacing w:after="0"/>
              <w:rPr>
                <w:sz w:val="20"/>
                <w:szCs w:val="20"/>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Systemic lupus erythematosus: Phase III (BRAVE I, BRAVE II)</w:t>
            </w:r>
          </w:p>
        </w:tc>
      </w:tr>
      <w:tr>
        <w:trPr>
          <w:trHeight w:val="229"/>
        </w:trPr>
        <w:tc>
          <w:tcPr>
            <w:tcW w:w="17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19"/>
                <w:szCs w:val="19"/>
                <w:color w:val="auto"/>
              </w:rPr>
            </w:pPr>
          </w:p>
        </w:tc>
      </w:tr>
      <w:tr>
        <w:trPr>
          <w:trHeight w:val="355"/>
        </w:trPr>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6"/>
                <w:szCs w:val="26"/>
                <w:b w:val="1"/>
                <w:bCs w:val="1"/>
                <w:color w:val="auto"/>
                <w:vertAlign w:val="superscript"/>
              </w:rPr>
              <w:t>2</w:t>
            </w:r>
          </w:p>
        </w:tc>
        <w:tc>
          <w:tcPr>
            <w:tcW w:w="7200" w:type="dxa"/>
            <w:vAlign w:val="bottom"/>
          </w:tcPr>
          <w:p>
            <w:pPr>
              <w:ind w:left="120"/>
              <w:spacing w:after="0"/>
              <w:rPr>
                <w:sz w:val="20"/>
                <w:szCs w:val="20"/>
                <w:color w:val="auto"/>
              </w:rPr>
            </w:pPr>
            <w:r>
              <w:rPr>
                <w:rFonts w:ascii="Arial" w:cs="Arial" w:eastAsia="Arial" w:hAnsi="Arial"/>
                <w:sz w:val="18"/>
                <w:szCs w:val="18"/>
                <w:color w:val="auto"/>
              </w:rPr>
              <w:t>NSCLC (with MET exon 14 skipping mutations): approved in United States and 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1" w:lineRule="exact"/>
        <w:rPr>
          <w:sz w:val="20"/>
          <w:szCs w:val="20"/>
          <w:color w:val="auto"/>
        </w:rPr>
      </w:pPr>
    </w:p>
    <w:p>
      <w:pPr>
        <w:ind w:left="200" w:hanging="156"/>
        <w:spacing w:after="0"/>
        <w:tabs>
          <w:tab w:leader="none" w:pos="20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7"/>
          <w:szCs w:val="27"/>
          <w:color w:val="auto"/>
          <w:vertAlign w:val="superscript"/>
        </w:rPr>
      </w:pPr>
    </w:p>
    <w:p>
      <w:pPr>
        <w:ind w:left="200" w:hanging="156"/>
        <w:spacing w:after="0" w:line="186" w:lineRule="auto"/>
        <w:tabs>
          <w:tab w:leader="none" w:pos="20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capmatinib licensed to Novartis.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9 of notes to our condensed consolidated financial statements.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a subsidiary of Zai Lab Limited. Under the terms of this agreement, Zai Lab received development and exclusive commercialization rights to INCMGA0012 in hematology and oncology in mainland China, Hong Kong, Macau and Taiwan. We retained an option to assist in the promotion of INCMGA0012 in Zai Lab’s licensed territories.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two of which were removed from the collaboration under the February 2017 amendments.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 The most advanced collaboration program is MCLA-145, a bispecific antibody targeting PD-L1 and CD137, for which we received exclusive development and commercialization rights outside of the United States. Merus retained exclusive development and commercialization rights in the United States to MCLA-145.</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 investigational monoclonal antibody that inhibits PD-1. MacroGenics has retained the right to develop and commercialize, at its cost and expense, its pipeline assets in combination with INCMGA0012.</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the agreement, we received exclusive commercialization rights outside of the United States, and MorphoSys and we have co-commercialization rights in the United States, with respect to tafasitamab.</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(“the COVID-19 Pandemic”). We and our collaboration partners Lilly and Novartis initiated a number of clinical trials to address COVID-19.</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57"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2020, we announced initial results from RUXCOVID, where treatment with ruxolitinib plus SoC did not prevent complications compared to SoC treatment alone in patients with COVID-19 associated cytokine storm. The RUXCOVID study has been completed and the data will be further analyzed to determine any potential impact on other studies of ruxolitinib in patients with COVID-19, including our Expanded Access Program in the United States, which allows eligible patients with severe COVID-19 associated cytokine storm to receive ruxolitinib.</w:t>
      </w:r>
    </w:p>
    <w:p>
      <w:pPr>
        <w:spacing w:after="0" w:line="1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In March 2021, results from a second Phase III clinical trial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were announced. Ruxolitinib failed to reduce mortality due to any cause through Day 29 although in the U.S. study population (91% of total study patients), there was a clinically and statistically significant improvement in mortality in each of the 5mg and 15mg ruxolitinib arms.</w:t>
      </w:r>
    </w:p>
    <w:p>
      <w:pPr>
        <w:spacing w:after="0" w:line="19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w:t>
      </w:r>
    </w:p>
    <w:p>
      <w:pPr>
        <w:spacing w:after="0" w:line="16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April 2021, we and Lilly announced that the primary endpoint was not met in COV-BARRIER, the Phase III randomized, double-blind, placebo–controlled study to evaluate the efficacy and safety of baricitinib in hospitalized adults not on mechanical ventilation and who have COVID-19. There was, however, a 38% reduction in mortality by Day 28 in patients treated with baricitinib in addition to SoC.</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our condensed consolidated financial statements. See Note 2 of Notes to the Condensed Consolidated Financial Statements for a complete list of our significant accounting policies.</w:t>
      </w:r>
    </w:p>
    <w:p>
      <w:pPr>
        <w:spacing w:after="0" w:line="181"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only when we have satisfied a performance obligation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transferring control of the promised good or service to a customer in an amount that reflects the consideration we expect to receive in exchange for those goods or services. We apply the following five-step model in order to determine this amount:</w:t>
      </w:r>
    </w:p>
    <w:p>
      <w:pPr>
        <w:spacing w:after="0" w:line="2" w:lineRule="exact"/>
        <w:rPr>
          <w:sz w:val="20"/>
          <w:szCs w:val="20"/>
          <w:color w:val="auto"/>
        </w:rPr>
      </w:pPr>
    </w:p>
    <w:p>
      <w:pPr>
        <w:jc w:val="both"/>
        <w:ind w:left="40" w:right="59" w:firstLine="4"/>
        <w:spacing w:after="0" w:line="252" w:lineRule="auto"/>
        <w:tabs>
          <w:tab w:leader="none" w:pos="2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Our product revenues consist of U.S. sales of JAKAFI and PEMAZYRE and European sales of ICLUSIG.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United States.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w:t>
      </w:r>
    </w:p>
    <w:p>
      <w:pPr>
        <w:spacing w:after="0" w:line="16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prompt payment discounts. 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7"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i w:val="1"/>
          <w:iCs w:val="1"/>
          <w:color w:val="auto"/>
        </w:rPr>
        <w:t xml:space="preserve">Rebates and Discounts: </w:t>
      </w:r>
      <w:r>
        <w:rPr>
          <w:rFonts w:ascii="Arial" w:cs="Arial" w:eastAsia="Arial" w:hAnsi="Arial"/>
          <w:sz w:val="16"/>
          <w:szCs w:val="16"/>
          <w:color w:val="auto"/>
        </w:rPr>
        <w:t>We accrue rebates for mandated discounts under the Medicaid Drug Rebate Program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and mandated discounts in Europe in markets where government-sponsored healthcare systems are the primary payers for healthcare. These accruals are based on statutory discount rates and expected utilization as well as historical data we have accumulated since product launch. Our estimates for expected utilization of rebates are based on data received from our customers. Rebates are generally invoiced and paid in arrears so that the accrual balance consists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84"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are discounts that occur when certain contracted customers purchase directly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wholesalers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78"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i w:val="1"/>
          <w:iCs w:val="1"/>
          <w:color w:val="auto"/>
        </w:rPr>
        <w:t xml:space="preserve">Medicare Part D Coverage Gap: </w:t>
      </w:r>
      <w:r>
        <w:rPr>
          <w:rFonts w:ascii="Arial" w:cs="Arial" w:eastAsia="Arial" w:hAnsi="Arial"/>
          <w:sz w:val="16"/>
          <w:szCs w:val="16"/>
          <w:color w:val="auto"/>
        </w:rPr>
        <w:t>Medicare Part D prescription drug benefit mandates manufacturers to fund 70%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Medicare Part D 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7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i w:val="1"/>
          <w:iCs w:val="1"/>
          <w:color w:val="auto"/>
        </w:rPr>
        <w:t xml:space="preserve">Co-payment Assistance: </w:t>
      </w:r>
      <w:r>
        <w:rPr>
          <w:rFonts w:ascii="Arial" w:cs="Arial" w:eastAsia="Arial" w:hAnsi="Arial"/>
          <w:sz w:val="17"/>
          <w:szCs w:val="17"/>
          <w:color w:val="auto"/>
        </w:rPr>
        <w:t>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We accrue a liability for co-payment assistance based on actual program participation and estimates of program redemption using data provided by third-party administrators.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Royalty revenues on commercial sales for JAKAVI and TABRECTA by Novartis are estimated based on information provided by Novartis. Royalty revenues on commercial sales for OLUMIANT by Lilly are estimated based on information provided by Lilly.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pacing w:after="0" w:line="18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units (RSUs) and 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w:t>
      </w:r>
    </w:p>
    <w:p>
      <w:pPr>
        <w:spacing w:after="0" w:line="179"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account for income taxes using an asset and liability approach to financial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Under this method, 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7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7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87"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w:t>
      </w:r>
    </w:p>
    <w:p>
      <w:pPr>
        <w:spacing w:after="0" w:line="184"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Acquisition-related contingent consideration. </w:t>
      </w:r>
      <w:r>
        <w:rPr>
          <w:rFonts w:ascii="Arial" w:cs="Arial" w:eastAsia="Arial" w:hAnsi="Arial"/>
          <w:sz w:val="18"/>
          <w:szCs w:val="18"/>
          <w:color w:val="auto"/>
        </w:rPr>
        <w:t>Acquisition-related contingent consideration, which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future royalty obligations to ARIAD/Takeda, was recorded on the acquisition date at the estimated fair value of the obligation, in accordance with the acquisition method of accounting. The fair value of the contingent consideration was determined using an income approach based on estimated ICLUSIG revenues in the European Union and other countries. As the fair value measurement is based on significant inputs that are unobservable in the market, this represents a Level 3 measurement.</w:t>
      </w:r>
    </w:p>
    <w:p>
      <w:pPr>
        <w:spacing w:after="0" w:line="19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ICLUSIG revenues and a discount rate which, require significant judgement and are analyzed on a quarterly basis. While we use the best available information to prepare our projected ICLUSIG revenues and discount rate assumptions, actual ICLUSIG revenues and/or market conditions could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differ significantly. Changes to one or multiple inputs could have a material impact on the amount of acquisition-related contingent consideration expense recorded during the reporting period.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This guidance applies to all entities and aims to reduce the complexity of tax accounting standards while enhancing reporting disclosures. This guidance is effective for fiscal years beginning after December 15, 2020 and interim periods therein. We adopted this guidance for the period beginning January 1, 2021. Upon adoption, ASU No. 2019-12 had an immaterial impact on the condensed consolidated financial statements.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recorded net income of $53.5 million and basic and diluted net income per share of $0.24 for the three months ended March 31, 2021, as compared to net loss of $720.6 million and basic and diluted net loss per share of $3.33 in the corresponding period in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30"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For the Three Months Ended,</w:t>
      </w:r>
    </w:p>
    <w:p>
      <w:pPr>
        <w:jc w:val="center"/>
        <w:ind w:left="5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r>
      <w:tr>
        <w:trPr>
          <w:trHeight w:val="128"/>
        </w:trPr>
        <w:tc>
          <w:tcPr>
            <w:tcW w:w="4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gridSpan w:val="3"/>
          </w:tcPr>
          <w:p>
            <w:pPr>
              <w:jc w:val="right"/>
              <w:ind w:right="87"/>
              <w:spacing w:after="0" w:line="129"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JAKAFI revenues, net</w:t>
            </w:r>
          </w:p>
        </w:tc>
        <w:tc>
          <w:tcPr>
            <w:tcW w:w="230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6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ICLUSIG revenues, net</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PEMAZYRE revenues, net</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4180" w:type="dxa"/>
            <w:vAlign w:val="bottom"/>
          </w:tcPr>
          <w:p>
            <w:pPr>
              <w:ind w:left="120"/>
              <w:spacing w:after="0"/>
              <w:rPr>
                <w:sz w:val="20"/>
                <w:szCs w:val="20"/>
                <w:color w:val="auto"/>
              </w:rPr>
            </w:pPr>
            <w:r>
              <w:rPr>
                <w:rFonts w:ascii="Arial" w:cs="Arial" w:eastAsia="Arial" w:hAnsi="Arial"/>
                <w:sz w:val="18"/>
                <w:szCs w:val="18"/>
                <w:color w:val="auto"/>
              </w:rPr>
              <w:t>Total product revenues, net</w:t>
            </w:r>
          </w:p>
        </w:tc>
        <w:tc>
          <w:tcPr>
            <w:tcW w:w="1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2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JAKAVI product royalty revenues</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OLUMIANT product royalty revenues</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TABRECTA product royalty revenues</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product royalty revenues</w:t>
            </w:r>
          </w:p>
        </w:tc>
        <w:tc>
          <w:tcPr>
            <w:tcW w:w="13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40" w:type="dxa"/>
            <w:vAlign w:val="bottom"/>
            <w:tcBorders>
              <w:bottom w:val="single" w:sz="8" w:color="CCEEFF"/>
            </w:tcBorders>
          </w:tcPr>
          <w:p>
            <w:pPr>
              <w:spacing w:after="0"/>
              <w:rPr>
                <w:sz w:val="18"/>
                <w:szCs w:val="18"/>
                <w:color w:val="auto"/>
              </w:rPr>
            </w:pPr>
          </w:p>
        </w:tc>
      </w:tr>
      <w:tr>
        <w:trPr>
          <w:trHeight w:val="209"/>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increase in JAKAFI product revenues for the three months ended March 31, 2021 as compared to the corresponding period in 2020 was comprised of a volume decrease of $4.9 million, including the impact of a decline in new patient starts due to the COVID-19 pandemic, and higher patient demand and channel inventory stocking in the prior year comparative period, due to the potential for COVID-19 related supply disruptions, offset by a price increase of $11.1 million. Additionally,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7"/>
              </w:rPr>
              <w:t>Discounts and</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Government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Co-Pay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Assistance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Product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Distribution</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Rebates and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Fees</w:t>
            </w: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Chargebacks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Discounts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Returns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w w:val="94"/>
              </w:rPr>
              <w:t>Allowances for current period sales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111,306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135,217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for prior period sales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220"/>
              <w:spacing w:after="0" w:line="201" w:lineRule="exact"/>
              <w:rPr>
                <w:sz w:val="20"/>
                <w:szCs w:val="20"/>
                <w:color w:val="auto"/>
              </w:rPr>
            </w:pPr>
            <w:r>
              <w:rPr>
                <w:rFonts w:ascii="Arial" w:cs="Arial" w:eastAsia="Arial" w:hAnsi="Arial"/>
                <w:sz w:val="18"/>
                <w:szCs w:val="18"/>
                <w:color w:val="auto"/>
                <w:w w:val="94"/>
              </w:rPr>
              <w:t>Credits/payments for current period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2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(56,786)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(72,271)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Credits/payments for prior period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(26,632)</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(32,784)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93,869</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30"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For the Three Months Ended,</w:t>
      </w:r>
    </w:p>
    <w:p>
      <w:pPr>
        <w:jc w:val="center"/>
        <w:ind w:left="5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r>
      <w:tr>
        <w:trPr>
          <w:trHeight w:val="128"/>
        </w:trPr>
        <w:tc>
          <w:tcPr>
            <w:tcW w:w="4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gridSpan w:val="4"/>
          </w:tcPr>
          <w:p>
            <w:pPr>
              <w:jc w:val="right"/>
              <w:ind w:right="87"/>
              <w:spacing w:after="0" w:line="129"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2040" w:type="dxa"/>
            <w:vAlign w:val="bottom"/>
            <w:gridSpan w:val="2"/>
            <w:shd w:val="clear" w:color="auto" w:fill="CCEEFF"/>
          </w:tcPr>
          <w:p>
            <w:pPr>
              <w:jc w:val="right"/>
              <w:ind w:right="82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Salary and benefits related</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Royalty expense</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definite-lived intangible assets</w:t>
            </w:r>
          </w:p>
        </w:tc>
        <w:tc>
          <w:tcPr>
            <w:tcW w:w="10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r>
      <w:tr>
        <w:trPr>
          <w:trHeight w:val="210"/>
        </w:trPr>
        <w:tc>
          <w:tcPr>
            <w:tcW w:w="4480" w:type="dxa"/>
            <w:vAlign w:val="bottom"/>
          </w:tcPr>
          <w:p>
            <w:pPr>
              <w:ind w:left="120"/>
              <w:spacing w:after="0"/>
              <w:rPr>
                <w:sz w:val="20"/>
                <w:szCs w:val="20"/>
                <w:color w:val="auto"/>
              </w:rPr>
            </w:pPr>
            <w:r>
              <w:rPr>
                <w:rFonts w:ascii="Arial" w:cs="Arial" w:eastAsia="Arial" w:hAnsi="Arial"/>
                <w:sz w:val="18"/>
                <w:szCs w:val="18"/>
                <w:color w:val="auto"/>
              </w:rPr>
              <w:t>Total cost of product revenues</w:t>
            </w:r>
          </w:p>
        </w:tc>
        <w:tc>
          <w:tcPr>
            <w:tcW w:w="1060" w:type="dxa"/>
            <w:vAlign w:val="bottom"/>
          </w:tcPr>
          <w:p>
            <w:pPr>
              <w:spacing w:after="0"/>
              <w:rPr>
                <w:sz w:val="18"/>
                <w:szCs w:val="18"/>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Cost of product revenues includes all JAKAFI, ICLUSIG and PEMAZYRE related product costs, employee personnel costs, including stock compensation, for those employees dedicated to the production of our commercial products, low single-digit royalties to Novartis on all sales of JAKAFI in the United States and amortization of our licensed intellectual property rights for ICLUSIG using the straight-line method over the estimated useful life of 12.5 years.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For the 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8"/>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jc w:val="right"/>
              <w:ind w:right="473"/>
              <w:spacing w:after="0" w:line="129"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1"/>
                <w:szCs w:val="1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and outside services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Occupancy and all other costs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Borders>
              <w:bottom w:val="single" w:sz="8" w:color="CCEEFF"/>
            </w:tcBorders>
          </w:tcPr>
          <w:p>
            <w:pPr>
              <w:spacing w:after="0"/>
              <w:rPr>
                <w:sz w:val="18"/>
                <w:szCs w:val="18"/>
                <w:color w:val="auto"/>
              </w:rPr>
            </w:pPr>
          </w:p>
        </w:tc>
      </w:tr>
      <w:tr>
        <w:trPr>
          <w:trHeight w:val="209"/>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r>
              <w:rPr>
                <w:rFonts w:ascii="Arial" w:cs="Arial" w:eastAsia="Arial" w:hAnsi="Arial"/>
                <w:sz w:val="18"/>
                <w:szCs w:val="18"/>
                <w:u w:val="single" w:color="auto"/>
                <w:color w:val="auto"/>
              </w:rPr>
              <w:t>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1,085.3</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We account for research and development costs by natural expense line and not costs by project. The increase in salary and benefits related expense for the three months ended March 31, 2021 as compared to the corresponding period in 2020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6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The decrease in clinical research and outside services expense for the three months ended March 31, 2021 as compared to the corresponding period in 2020 was primarily due to upfront consideration related to our collaborative agreement with MorphoSys recorded during 2020. Research and development expenses include upfront and milestone expenses related to our collaborative agreements of $11.5 million and $805.5 million, respectively, for the three months ended March 31, 2021 and 2020. Research and development expenses for the three months ended March 31, 2021 and 2020 were net of $3.6 million and $1.7 million, respectively, of costs reimbursed by our collaborative partners.</w:t>
      </w:r>
    </w:p>
    <w:p>
      <w:pPr>
        <w:spacing w:after="0" w:line="164"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For the 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2"/>
                <w:szCs w:val="12"/>
                <w:color w:val="auto"/>
              </w:rPr>
            </w:pPr>
          </w:p>
        </w:tc>
      </w:tr>
      <w:tr>
        <w:trPr>
          <w:trHeight w:val="129"/>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Salary and benefits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contract services and outside costs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8"/>
                <w:szCs w:val="18"/>
                <w:u w:val="single" w:color="auto"/>
                <w:color w:val="auto"/>
              </w:rPr>
              <w:t>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r>
              <w:rPr>
                <w:rFonts w:ascii="Arial" w:cs="Arial" w:eastAsia="Arial" w:hAnsi="Arial"/>
                <w:sz w:val="18"/>
                <w:szCs w:val="18"/>
                <w:u w:val="single" w:color="auto"/>
                <w:color w:val="auto"/>
              </w:rPr>
              <w:t>1</w:t>
            </w:r>
          </w:p>
        </w:tc>
        <w:tc>
          <w:tcPr>
            <w:tcW w:w="2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The increase in salary and benefits related expense for the three months ended March 31, 2021 as compared to the corresponding period in 2020 was due primarily to increased headcount. This increased headcount was due primarily to the ongoing commercialization efforts related to JAKAFI for intermediate or high-risk myelofibrosis, uncontrolled polycythemia vera and GVHD as well as increased headcount related to our European operations.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months ended March 31, 2021, as compared to the corresponding</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period in 2020, was due primarily to expenses related to the establishment of our dermatology commercial organization, expenses related to activities to support the potential launch of ruxolitinib cream for the treatment of atopic dermatitis, expense recognized in connection with a legal reserve, as discussed in Note 15 of notes to our condensed consolidated financial statements, and the timing of certain expenses.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Change in fair value of acquisition-related contingent consideration</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three months ended March 31, 2021 and 2020 was $5.5 million and $6.6 million, respectively, which is recorded in change in fair value of acquisition-related contingent consideration on the condensed consolidated statements of operations. The change in fair value for the three months ended March 31, 2021 and 2020 was due primarily to the passage of time as there were no other significant changes in the key assumptions during the periods.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months ended March 31, 2021 and 2020, our 50% share of the costs for tafasitamab was $10.5 million and $2.1 million, respectively, as recorded in collaboration loss sharing on the condensed consolidated statement of operations.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three months ended March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($1.4) million and $8.7 million, respectively. The decrease in other income (expense), net primarily relates to lower interest income for the three months ended March 31, 2021.</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three months ended March 31, 2021 and 2020 was $0.4 million and $0.6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Included in interest expense for the three months ended March 31, 2020 was $0.2 million of non-cash charges to amortize the discounts on our convertible senior notes due November 2020. Included in interest expense for the three months ended March 31, 2021 and 2020 was $0.3 million of interest expense on our finance lease liabilities.</w:t>
      </w:r>
    </w:p>
    <w:p>
      <w:pPr>
        <w:spacing w:after="0" w:line="157" w:lineRule="exact"/>
        <w:rPr>
          <w:sz w:val="20"/>
          <w:szCs w:val="20"/>
          <w:color w:val="auto"/>
        </w:rPr>
      </w:pPr>
    </w:p>
    <w:p>
      <w:pPr>
        <w:jc w:val="both"/>
        <w:ind w:left="40" w:right="59" w:firstLine="720"/>
        <w:spacing w:after="0" w:line="286" w:lineRule="auto"/>
        <w:rPr>
          <w:sz w:val="20"/>
          <w:szCs w:val="20"/>
          <w:color w:val="auto"/>
        </w:rPr>
      </w:pPr>
      <w:r>
        <w:rPr>
          <w:rFonts w:ascii="Arial" w:cs="Arial" w:eastAsia="Arial" w:hAnsi="Arial"/>
          <w:sz w:val="17"/>
          <w:szCs w:val="17"/>
          <w:i w:val="1"/>
          <w:iCs w:val="1"/>
          <w:color w:val="auto"/>
        </w:rPr>
        <w:t xml:space="preserve">Unrealized gain (loss) on long term investments. </w:t>
      </w:r>
      <w:r>
        <w:rPr>
          <w:rFonts w:ascii="Arial" w:cs="Arial" w:eastAsia="Arial" w:hAnsi="Arial"/>
          <w:sz w:val="17"/>
          <w:szCs w:val="17"/>
          <w:color w:val="auto"/>
        </w:rPr>
        <w:t>Unrealized gains and losses on long term investments will</w:t>
      </w:r>
      <w:r>
        <w:rPr>
          <w:rFonts w:ascii="Arial" w:cs="Arial" w:eastAsia="Arial" w:hAnsi="Arial"/>
          <w:sz w:val="17"/>
          <w:szCs w:val="17"/>
          <w:i w:val="1"/>
          <w:iCs w:val="1"/>
          <w:color w:val="auto"/>
        </w:rPr>
        <w:t xml:space="preserve"> </w:t>
      </w:r>
      <w:r>
        <w:rPr>
          <w:rFonts w:ascii="Arial" w:cs="Arial" w:eastAsia="Arial" w:hAnsi="Arial"/>
          <w:sz w:val="17"/>
          <w:szCs w:val="17"/>
          <w:color w:val="auto"/>
        </w:rPr>
        <w:t>fluctuate from period to period, based on the change in fair value of the securities we hold in our publicly held collaboration partners. The following table provides a summary of those unrealized gains and (losses):</w:t>
      </w:r>
    </w:p>
    <w:p>
      <w:pPr>
        <w:spacing w:after="0" w:line="170"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For the Three Months Ended,</w:t>
      </w:r>
    </w:p>
    <w:p>
      <w:pPr>
        <w:jc w:val="center"/>
        <w:ind w:left="55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r>
      <w:tr>
        <w:trPr>
          <w:trHeight w:val="128"/>
        </w:trPr>
        <w:tc>
          <w:tcPr>
            <w:tcW w:w="4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4"/>
          </w:tcPr>
          <w:p>
            <w:pPr>
              <w:jc w:val="right"/>
              <w:ind w:right="67"/>
              <w:spacing w:after="0" w:line="129"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Agenus</w:t>
            </w:r>
          </w:p>
        </w:tc>
        <w:tc>
          <w:tcPr>
            <w:tcW w:w="206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Calithera</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Merus</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MorphoSys</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Syros</w:t>
            </w:r>
          </w:p>
        </w:tc>
        <w:tc>
          <w:tcPr>
            <w:tcW w:w="1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Total unrealized loss on long term investments</w:t>
            </w:r>
          </w:p>
        </w:tc>
        <w:tc>
          <w:tcPr>
            <w:tcW w:w="1200" w:type="dxa"/>
            <w:vAlign w:val="bottom"/>
          </w:tcPr>
          <w:p>
            <w:pPr>
              <w:spacing w:after="0"/>
              <w:rPr>
                <w:sz w:val="18"/>
                <w:szCs w:val="18"/>
                <w:color w:val="auto"/>
              </w:rPr>
            </w:pP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the three months ended March 31,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$15.8 million and $16.6 million,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Due to historical net losses, we had an accumulated deficit of $1.7 billion as of March 31, 2021. We have funded our research and development operations through sales of equity securities, the issuance of convertible notes, cash received from customers, and collaborative arrangements. At March 31, 2021, we had available cash, cash equivalents and marketable securities of $2.0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6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provided by operating activities for the three months ended March 31, 2021 was $206.1 million and net cash used in operating activities for the three months ended March 31, 2020 was $683.4 million. The $889.5 million increase in cash provided by operating activities was due primarily to cash outflows in March 2020 related to our collaboration and license agreement with MorphoSys and changes in working capital.</w:t>
      </w:r>
    </w:p>
    <w:p>
      <w:pPr>
        <w:spacing w:after="0" w:line="187"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Our investing activities, other than purchases, sales and maturities of marketable securities, have consisted predominantly of capital expenditures and purchases of long term investments. Net cash used in investing activities was $59.8 million for the three months ended March 31, 2021, which represented purchases of marketable securities of $39.3 million, capital expenditures of $48.1 million and purchase of long term equity investment of $8.7 million, offset in part by the sale and maturity of marketable securities of $35.2 million and the sale of long term investment of $1.1 million. Net cash used in investing activities was $108.6 million for the three months ended March 31, 2020, which represented purchases of marketable securities of $147.4 million, capital expenditures of $39.3 million, and purchase of long term equity investment of $95.5 million, offset in part by the sale and maturity of marketable securities of $173.6 million. In the future, net cash used by investing activities may fluctuate significantly from period to period due to the timing of strategic equity investments, acquisitions, capital expenditures and maturities/sales and purchases of marketable securities.</w:t>
      </w:r>
    </w:p>
    <w:p>
      <w:pPr>
        <w:spacing w:after="0" w:line="16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Net cash provided by financing activities was $12.8 million and $2.5 million, respectively, for the three months ended March 31, 2021 and 2020, primarily representing proceeds from the issuance of common stock under our stock plans, offset in part by cash paid to ARIAD/Takeda for contingent consideration.</w:t>
      </w:r>
    </w:p>
    <w:p>
      <w:pPr>
        <w:spacing w:after="0" w:line="18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capital expenditures for construction activities and our non-operating contractual operating and finance lease obligations are discussed in Note 7 of notes to our condensed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We believe that our cash flow from operations, together with our cash, cash equivalents and marketable securities,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9 of notes to our condensed consolidated financial statements.</w:t>
      </w:r>
    </w:p>
    <w:p>
      <w:pPr>
        <w:spacing w:after="0" w:line="181"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additional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off-balance sheet arrangements other than those that are discussed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March 31, 2021, marketable securities were $292.4 million. Due to the nature of these investments, if market interest rates were to increase immediately and uniformly by 10% from levels as of March 31, 2021, the decline in fair value would not be material.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is defined in Rule 13a-15(e)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color w:val="auto"/>
        </w:rPr>
        <w:t>. There were no changes in our internal control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reporting (as defined in Rules 13a-15(f) and 15d-15(f) under the Exchange Act) for the three months ended March 31, 2021, that materially affected or are reasonably likely to materially affect our internal control over financial reporting.</w:t>
      </w:r>
    </w:p>
    <w:p>
      <w:pPr>
        <w:spacing w:after="0" w:line="14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84"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and in May 2019 for the treatment of steroid-refractory acute graft-versus-host disease in adult and pediatric patients 12 years and older. Although we have received regulatory approval for these indications, such approval does not guarantee future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revenues. While we also sell ICLUSIG in the European Union, or EU, and other countries for the treatment of certain types of leukemia, PEMAZYRE in the United States and Europe for the treatment of certain metastatic cholangiocarcinoma indications, and MONJUVI in the United States for the treatment of certain lymphoma indications and our exclusive licensees sell OLUMIANT (baricitinib) for the treatment of specified rheumatoid arthritis and atopic dermatitis indications and TABRECTA for the treatment of a certain type of non small-cell lung cancer, we anticipate that JAKAFI product sales will continue to contribute a significant percentage of our total revenues over the next several years.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JAKAFI and our ability to maintain and continue to increase revenues from the sale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JAKAFI will depend on a number of factors, including:</w:t>
      </w:r>
    </w:p>
    <w:p>
      <w:pPr>
        <w:spacing w:after="0" w:line="211" w:lineRule="exact"/>
        <w:rPr>
          <w:sz w:val="20"/>
          <w:szCs w:val="20"/>
          <w:color w:val="auto"/>
        </w:rPr>
      </w:pPr>
    </w:p>
    <w:p>
      <w:pPr>
        <w:jc w:val="both"/>
        <w:ind w:left="1040" w:right="79" w:hanging="321"/>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acute graft-versus-host disease who are diagnosed with the diseases and the number of such patients that may be treated with JAKAFI;</w:t>
      </w:r>
    </w:p>
    <w:p>
      <w:pPr>
        <w:spacing w:after="0" w:line="183"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obtain and maintain sufficient coverage or reimbursement by third-party payors and pricing;</w:t>
      </w:r>
    </w:p>
    <w:p>
      <w:pPr>
        <w:spacing w:after="0" w:line="236"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third-party manufacturers to manufacture JAKAFI in sufficient quantities that meet all applicable quality standards;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of our company and our third-party providers to provide marketing and distribution support for</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JAKAFI;</w:t>
      </w:r>
    </w:p>
    <w:p>
      <w:pPr>
        <w:spacing w:after="0" w:line="210" w:lineRule="exact"/>
        <w:rPr>
          <w:rFonts w:ascii="Arial" w:cs="Arial" w:eastAsia="Arial" w:hAnsi="Arial"/>
          <w:sz w:val="17"/>
          <w:szCs w:val="17"/>
          <w:color w:val="auto"/>
        </w:rPr>
      </w:pPr>
    </w:p>
    <w:p>
      <w:pPr>
        <w:jc w:val="both"/>
        <w:ind w:left="1040" w:right="59" w:hanging="321"/>
        <w:spacing w:after="0" w:line="25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other risks detailed further below under “—Other Risks Relating to our Business—Public health epidemics, such as the COVID-19 Pandemic, could adversely affect our business, results of operations, and financial condition”;</w:t>
      </w:r>
    </w:p>
    <w:p>
      <w:pPr>
        <w:spacing w:after="0" w:line="194"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our receipt of royalties under our collaboration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If we are unable to obtain, or maintain at anticipated levels, reimbursement for our products from government health administration authorities, private health insurers and other organizations, our pricing may be affected or our product sales, results of operations or financial condition could be harmed.</w:t>
      </w:r>
    </w:p>
    <w:p>
      <w:pPr>
        <w:spacing w:after="0" w:line="165"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We may not be able to sell our products on a profitable basis or our profitability may be reduced if we are required to sell our products at lower than anticipated prices or reimbursement is unavailable or limited in scope or amount. The costs of JAKAFI, ICLUSIG, PEMAZYRE and MONJUVI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 Reimbursement systems in international markets vary significantly by country and by region, and reimbursement approvals must be obtained on a country-by-country basis. Reimbursement in the EU must be negotiated on a country-by-country basis and in many countries the product cannot be commercially launched until reimbursement is approved. The timing to complete the negotiation process in each country is highly uncertain, and in some countries, we expect that it may exceed 12 months. Risks related to pricing and reimbursement are described below under “—Other Risks Relating to our Business—Health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 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w:t>
      </w:r>
    </w:p>
    <w:p>
      <w:pPr>
        <w:spacing w:after="0" w:line="185" w:lineRule="exact"/>
        <w:rPr>
          <w:sz w:val="20"/>
          <w:szCs w:val="20"/>
          <w:color w:val="auto"/>
        </w:rPr>
      </w:pPr>
    </w:p>
    <w:p>
      <w:pPr>
        <w:jc w:val="both"/>
        <w:ind w:left="40" w:right="59" w:firstLine="58"/>
        <w:spacing w:after="0" w:line="263"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the loss of, or significant reduction in sales to, any one of these specialty pharmacies or wholesalers could adversely affect our operations and financial condition.</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sell JAKAFI primarily to specialty pharmacies and wholesalers. Specialty pharmacies dispense JAKAFI to patients in fulfillment of prescriptions and wholesalers sell JAKAFI to hospitals and physician offices. We do not promote JAKAFI to specialty pharmacies or wholesalers, and they do not set or determine demand for JAKAFI. Our ability to successfully commercialize JAKAFI will depend, in part, on the extent to which we are able to provide adequate distribution of JAKAFI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or lower margins or the need to find alternative methods of distributing our product. Although we believe we can find alternative channels to distribute JAKAFI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7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46"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maintaining the sales force and distribution capabilities may be disproportional compared to the revenues we may be able to generate on sales of our products.</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To the extent that we are able to obtain marketing approval for ruxolitinib cream for dermatology indications such as atopic dermatitis and vitiligo, we will have to establish and maintain sales, marketing and distribution capabilities that will generally be separate from our existing capabilities for oncology indications, and we have no prior experience in commercializing products for dermatology indications. Successful commercialization of our drug candidates for dermatology indications, if approved, will require us to establish new physician and payor relationships, reimbursement strategies and governmental interactions. Our inability to commercialize successfully products in indications outside of oncology could harm our business and operating results.</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9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The testing of JAKAFI, ICLUSIG, PEMAZYRE and MONJUVI, the manufacturing, marketing and sale of JAKAFI and PEMAZYRE and the marketing and sale of ICLUSIG and MONJUVI expose us to product liability and other risks. Side effects and other problems experienced by patients from the use of our products could:</w:t>
      </w:r>
    </w:p>
    <w:p>
      <w:pPr>
        <w:spacing w:after="0" w:line="184" w:lineRule="exact"/>
        <w:rPr>
          <w:sz w:val="20"/>
          <w:szCs w:val="20"/>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and MONJUVI.</w:t>
      </w:r>
    </w:p>
    <w:p>
      <w:pPr>
        <w:spacing w:after="0" w:line="18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1"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our and our collaborator MorphoSys’s marketing of MONJUVI.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Present and potential competitors for JAKAFI could include major pharmaceutical and biotechnology companies, as well as specialty pharmaceutical firms. For example, in August 2019, Celgene Corporation, now a subsidiary of Bristol-Myers Squibb Company, announced that the FDA had approved INREBIC (fedratinib) for the treatment of myelofibrosis. See “—Other Risks Relating to our Business— We face significant competition for our drug discovery and development efforts, and if we do not compete effectively, our commercial opportunities will be reduced or eliminated” for a description of risks relating to this type of competition.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generic version of JAKAFI could result in a decrease in JAKAFI sales and materially harm our business, operating results and financial condition.</w:t>
      </w:r>
    </w:p>
    <w:p>
      <w:pPr>
        <w:spacing w:after="0" w:line="182"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MONJUVI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Potential competitors for PEMAZYRE could include major pharmaceutical and biotechnology companies, as well as specialty pharmaceutical firms.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Public health epidemics, such as the COVID-19 Pandemic, could adversely affect our business, results of operations, and financial condition.</w:t>
      </w:r>
    </w:p>
    <w:p>
      <w:pPr>
        <w:spacing w:after="0" w:line="170"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global operations expose us to risks associated with public health epidemics, such as the COVID-19 Pandemic that has spread globally.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7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results of operations and financial condition, including the following:</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9" w:hanging="325"/>
        <w:spacing w:after="0" w:line="287"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protect the health of our employees and their families, and our communities, in accordance with – and in some cases in advance or - direction from state and local government authorities, we currently have limited access to certain of our facilities and instituted additional precautions in our facilities that have reopened, and a significant percentage of our personnel continue to work remotely a significant portion of their time. In the event that governmental authorities were to modify current restrictions or re-establish greater restrictions, our employees conducting research and development activities may not be able to access our laboratory space,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67" w:lineRule="exact"/>
        <w:rPr>
          <w:rFonts w:ascii="Arial" w:cs="Arial" w:eastAsia="Arial" w:hAnsi="Arial"/>
          <w:sz w:val="16"/>
          <w:szCs w:val="16"/>
          <w:color w:val="auto"/>
        </w:rPr>
      </w:pPr>
    </w:p>
    <w:p>
      <w:pPr>
        <w:jc w:val="both"/>
        <w:ind w:left="720" w:right="59" w:hanging="325"/>
        <w:spacing w:after="0" w:line="293"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sales and marketing activities, including our interactions with healthcare professionals, have been limited and made more difficult by the work from home orders and travel restrictions.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or travel restrictions.</w:t>
      </w:r>
    </w:p>
    <w:p>
      <w:pPr>
        <w:spacing w:after="0" w:line="164" w:lineRule="exact"/>
        <w:rPr>
          <w:rFonts w:ascii="Arial" w:cs="Arial" w:eastAsia="Arial" w:hAnsi="Arial"/>
          <w:sz w:val="16"/>
          <w:szCs w:val="16"/>
          <w:color w:val="auto"/>
        </w:rPr>
      </w:pPr>
    </w:p>
    <w:p>
      <w:pPr>
        <w:jc w:val="both"/>
        <w:ind w:left="720" w:right="59" w:hanging="325"/>
        <w:spacing w:after="0" w:line="273"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clinical trials have been and may in the future be affected by delays in site initiation, patient screening, patient enrollment, and monitoring and data collection as a result of prioritization of hospital resources for the COVID-19 Pandemic, travel restrictions, and the inability to access sites for initiation and monitoring. In addition, some patients may be unable to comply with clinical trial protocols if quarantines or stay at home orders impede patient movement or interrupt health services, we may be unable to obtain blood samples for testing, and we may not be able to provide the trial drug candidate to patients.</w:t>
      </w:r>
    </w:p>
    <w:p>
      <w:pPr>
        <w:spacing w:after="0" w:line="177" w:lineRule="exact"/>
        <w:rPr>
          <w:rFonts w:ascii="Arial" w:cs="Arial" w:eastAsia="Arial" w:hAnsi="Arial"/>
          <w:sz w:val="17"/>
          <w:szCs w:val="17"/>
          <w:color w:val="auto"/>
        </w:rPr>
      </w:pPr>
    </w:p>
    <w:p>
      <w:pPr>
        <w:jc w:val="both"/>
        <w:ind w:left="720" w:right="59" w:hanging="325"/>
        <w:spacing w:after="0" w:line="273"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Health 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77" w:lineRule="exact"/>
        <w:rPr>
          <w:rFonts w:ascii="Arial" w:cs="Arial" w:eastAsia="Arial" w:hAnsi="Arial"/>
          <w:sz w:val="17"/>
          <w:szCs w:val="17"/>
          <w:color w:val="auto"/>
        </w:rPr>
      </w:pPr>
    </w:p>
    <w:p>
      <w:pPr>
        <w:jc w:val="both"/>
        <w:ind w:left="720" w:right="59" w:hanging="325"/>
        <w:spacing w:after="0" w:line="287"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71" w:lineRule="exact"/>
        <w:rPr>
          <w:rFonts w:ascii="Arial" w:cs="Arial" w:eastAsia="Arial" w:hAnsi="Arial"/>
          <w:sz w:val="16"/>
          <w:szCs w:val="16"/>
          <w:color w:val="auto"/>
        </w:rPr>
      </w:pPr>
    </w:p>
    <w:p>
      <w:pPr>
        <w:jc w:val="both"/>
        <w:ind w:left="720" w:right="79" w:hanging="325"/>
        <w:spacing w:after="0" w:line="263"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84"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global economy as a whole. However, these effects could have a material adverse impact on our business, results of operations, and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unsuccessful in our efforts to discover and develop drug candidates and commercialize drug products.</w:t>
      </w:r>
    </w:p>
    <w:p>
      <w:pPr>
        <w:spacing w:after="0" w:line="248"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Our long-term success, revenue growth and diversification of revenues depends on our ability to obtain regulatory approval for new drug products and new indications for our existing drug products. Our ability to discover and develop drug candidates and to commercialize additional drug products and indications will depend on our ability to:</w:t>
      </w:r>
    </w:p>
    <w:p>
      <w:pPr>
        <w:spacing w:after="0" w:line="149" w:lineRule="exact"/>
        <w:rPr>
          <w:sz w:val="20"/>
          <w:szCs w:val="20"/>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products internally or license drug candidates from others;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identify and enroll suitable human subjects, either in the United States or abroad, for our clinical trials;</w:t>
      </w:r>
    </w:p>
    <w:p>
      <w:pPr>
        <w:spacing w:after="0" w:line="236" w:lineRule="exact"/>
        <w:rPr>
          <w:rFonts w:ascii="Arial" w:cs="Arial" w:eastAsia="Arial" w:hAnsi="Arial"/>
          <w:sz w:val="17"/>
          <w:szCs w:val="17"/>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and maintain necessary regulatory approvals for our products, both in the United States and abroad;</w:t>
      </w:r>
    </w:p>
    <w:p>
      <w:pPr>
        <w:spacing w:after="0" w:line="248" w:lineRule="exact"/>
        <w:rPr>
          <w:rFonts w:ascii="Arial" w:cs="Arial" w:eastAsia="Arial" w:hAnsi="Arial"/>
          <w:sz w:val="16"/>
          <w:szCs w:val="16"/>
          <w:color w:val="auto"/>
        </w:rPr>
      </w:pPr>
    </w:p>
    <w:p>
      <w:pPr>
        <w:ind w:left="1040" w:hanging="321"/>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enter into arrangements with third parties to provide services or to manufacture our products on our behalf;</w:t>
      </w:r>
    </w:p>
    <w:p>
      <w:pPr>
        <w:spacing w:after="0" w:line="248" w:lineRule="exact"/>
        <w:rPr>
          <w:rFonts w:ascii="Arial" w:cs="Arial" w:eastAsia="Arial" w:hAnsi="Arial"/>
          <w:sz w:val="16"/>
          <w:szCs w:val="16"/>
          <w:color w:val="auto"/>
        </w:rPr>
      </w:pPr>
    </w:p>
    <w:p>
      <w:pPr>
        <w:ind w:left="1040" w:right="7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84"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have invested significant resources in the development of our most advanced drug candidates. We and our collaborator MorphoSys have submitted a European Marketing Authorization Application with the EMA for tafasitamab in combination with lenalidomide for the treatment of patients with a specified type of lymphoma. We have submitted 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supplemental New Drug Application (sNDA) for ruxolitinib for the treatment of patients with steroid-refractory chronic graft-versus-host disease and ruxolitinib is in other clinical trials. We have submitted an NDA for ruxolitinib cream for the treatment of patients with atopic dermatitis and ruxolitinib cream is also in Phase III clinical trials for the treatment of patients with vitiligo. Itacitinib is in Phase III clinical trials for the treatment of patients with chronic graft-versus-host disease. Further, we have a number of drug candidates in Phase I and Phase II clinical trials.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In addition, in January 2020 we announced that itacitinib did not meet the primary endpoint in the Phase III clinical trial for the treatment of patients with acute graft-versus-host disease. If a product is developed but not approved or marketed, we may have spent significant amounts of time and money on it, which could adversely affect our operating results and financial condition as well as our business plans.</w:t>
      </w:r>
    </w:p>
    <w:p>
      <w:pPr>
        <w:spacing w:after="0" w:line="18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84"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65"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77" w:lineRule="exact"/>
        <w:rPr>
          <w:sz w:val="20"/>
          <w:szCs w:val="20"/>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w:t>
      </w:r>
    </w:p>
    <w:p>
      <w:pPr>
        <w:spacing w:after="0" w:line="19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Even if any of our applications receives an FDA priority review designation (including based on a priority review voucher, one of which we recently acquired and used in connection with our submission seeking FDA approval of ruxolitinib cream for atopic dermatitis), this designation may not result in faster review or approval for our product candidate compared to product candidates considered for approval under conventional FDA procedures and, in any event, does not assure ultimate approval of our product candidate by FDA.</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77"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b w:val="1"/>
          <w:bCs w:val="1"/>
          <w:i w:val="1"/>
          <w:iCs w:val="1"/>
          <w:color w:val="auto"/>
        </w:rPr>
        <w:t>Health care reform measures could impact the pricing and profitability of pharmaceuticals, and adversely affect the commercial viability of our or our collaborators’ products and drug candidates. Our ability to generate revenues will be diminished if we or our collaborators are unable to obtain an adequate level of reimbursement from private insurers, government insurance programs or other third-party payors of health care costs, which could be affected by current and potential healthcare reform legislation, and diminished revenues will harm our operating results and financial condition and could adversely affect our ability to conduct our research and development operations.</w:t>
      </w:r>
    </w:p>
    <w:p>
      <w:pPr>
        <w:spacing w:after="0" w:line="16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ability to commercialize our current and any future approved products successfully will depend in part on the prices we are able to charge for our approved products and the extent to which adequate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While there is currently significant uncertainty regarding the implementation of some of these reforms or the scope of amended or additional reforms, the implementation of reforms could significantly reduce payments from Medicare and Medicaid.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68"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In addition, there has been an increasing legislative and enforcement interest in the United States with respect to drug pricing practices. This has resulted in several recent federal and state proposals, including executive orders issued by the Trump Administration in July 2020, to regulate prices of pharmaceutical products and other health care reforms, any of which could limit the prices that we can charge for our products and may further limit the commercial viability of our products and drug candidates. Specifically, there have been several federal congressional inquiries and proposed and enacted federal and state legislation and the July 2020 executive orders designed to, among other things, bring more transparency to drug pricing, reduce the cost of prescription drugs under Medicare, reform government program reimbursement methodologies for prescription drugs, allow importation of drugs into the United States from other countries and limit allowable prices for drugs to a function of an average international reference price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88"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87"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have provided our products without charge to patients who have no or limited insurance coverage through these charitable organizations. Substantial support in this manner could harm our profitability in the future. Further, those organizations’ ability to provide assistance to patients is dependent on funding from external sources, and we cannot guarantee that such funding will be provided at adequate levels, or at all.</w:t>
      </w:r>
    </w:p>
    <w:p>
      <w:pPr>
        <w:spacing w:after="0" w:line="177"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Also, the trend toward managed health care in the United States, the organizations for which could control or significantly influence the purchase of health care services and products, as well as legislative and regulatory proposals to reform health care or reduce government insurance programs, may all result in lower prices for or rejection of our products. Adoption of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products by the medical community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92"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92"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49"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and to Zai Lab certain Asian rights to some of our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could lead to litigation or arbitration, which could be costly and divert the efforts of our management and scientific staff, and could diminish the expected effectiveness of the collaboration.</w:t>
      </w:r>
    </w:p>
    <w:p>
      <w:pPr>
        <w:spacing w:after="0" w:line="17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8"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and Zai Lab collaborations, we have entered into clinical study relationships with respect to several of our programs, including epacadostat, and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86"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left="40" w:right="59" w:firstLine="648"/>
        <w:spacing w:after="0" w:line="284"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Calithera Biosciences, Inc., MacroGenics, Inc., Merus N.V., MorphoSys, and Syros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we may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7" w:lineRule="auto"/>
        <w:rPr>
          <w:sz w:val="20"/>
          <w:szCs w:val="20"/>
          <w:color w:val="auto"/>
        </w:rPr>
      </w:pPr>
      <w:r>
        <w:rPr>
          <w:rFonts w:ascii="Arial" w:cs="Arial" w:eastAsia="Arial" w:hAnsi="Arial"/>
          <w:sz w:val="16"/>
          <w:szCs w:val="16"/>
          <w:color w:val="auto"/>
        </w:rPr>
        <w:t>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72"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2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have not approved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Even if we or our collaborators are successful in gaining regulatory approval of any of our or our collaborators’ drug candidates in addition to JAKAFI, OLUMIANT, PEMAZYRE and MONJUVI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9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46" w:lineRule="exact"/>
        <w:rPr>
          <w:sz w:val="20"/>
          <w:szCs w:val="20"/>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1040" w:right="79" w:hanging="321"/>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perception of patients and the healthcare community, including third-party payors, regarding the safety, efficacy and benefits of our drug products compared to those of competing products or therapies;</w:t>
      </w:r>
    </w:p>
    <w:p>
      <w:pPr>
        <w:spacing w:after="0" w:line="146" w:lineRule="exact"/>
        <w:rPr>
          <w:rFonts w:ascii="Arial" w:cs="Arial" w:eastAsia="Arial" w:hAnsi="Arial"/>
          <w:sz w:val="17"/>
          <w:szCs w:val="17"/>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17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84"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and our other drug candidates or for ICLUSIG or MONJUVI. We currently hire third parties to manufacture the raw materials, API and finished drug product of JAKAFI, ICLUSIG, PEMAZYRE and our other drug candidates for clinical trials and our collaborator MorphoSys is currently responsible for sourcing manufacturing of MONJUVI.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and PEMAZYRE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4"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specifications. Manufacturers of pharmaceutical products often encounter difficulties in production, especially in scaling up initial production. These problems include difficulties with production costs and yields, quality control and assurance and shortages of qualified personnel. To the extent our supply chain involves parties in China or materials originating in areas of China that are or could be affected by disease outbreaks such as the COVID-19 Pandemic in 2020,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6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65"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 number of our collaborations involve the manufacture of antibodies. Either we or our collaborators have primary responsibility for manufacturing activities, and we are currently using third-party contract manufacturing organizations.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for documents and information relating to our speaker programs and patient assistance programs, including our support of non-profit organizations that provide financial assistance to eligible patients. Violations of governmental regulation by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18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7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84"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fail to manage our growth effectively, our ability to develop and commercialize products could suffer.</w:t>
      </w:r>
    </w:p>
    <w:p>
      <w:pPr>
        <w:spacing w:after="0" w:line="23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16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the three month periods ended March 31, 2020, September 30, 2020 and March 31, 2021,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6" w:lineRule="exact"/>
        <w:rPr>
          <w:sz w:val="20"/>
          <w:szCs w:val="20"/>
          <w:color w:val="auto"/>
        </w:rPr>
      </w:pPr>
    </w:p>
    <w:p>
      <w:pPr>
        <w:jc w:val="both"/>
        <w:ind w:left="1040" w:right="79" w:hanging="321"/>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6"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patient self-pay systems;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21"/>
        <w:spacing w:after="0" w:line="26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83" w:lineRule="exact"/>
        <w:rPr>
          <w:rFonts w:ascii="Arial" w:cs="Arial" w:eastAsia="Arial" w:hAnsi="Arial"/>
          <w:sz w:val="18"/>
          <w:szCs w:val="18"/>
          <w:color w:val="auto"/>
        </w:rPr>
      </w:pPr>
    </w:p>
    <w:p>
      <w:pPr>
        <w:jc w:val="both"/>
        <w:ind w:left="1040" w:right="59" w:hanging="321"/>
        <w:spacing w:after="0" w:line="286"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political and economic conditions in the countries in which we operate, including terrorism and political unrest, curtailment of trade and other business restrictions, and uncertainties associated with the implementation of the relationship between the United Kingdom and the European Union;</w:t>
      </w:r>
    </w:p>
    <w:p>
      <w:pPr>
        <w:spacing w:after="0" w:line="165" w:lineRule="exact"/>
        <w:rPr>
          <w:rFonts w:ascii="Arial" w:cs="Arial" w:eastAsia="Arial" w:hAnsi="Arial"/>
          <w:sz w:val="17"/>
          <w:szCs w:val="17"/>
          <w:color w:val="auto"/>
        </w:rPr>
      </w:pPr>
    </w:p>
    <w:p>
      <w:pPr>
        <w:ind w:left="1040" w:right="79" w:hanging="321"/>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health risks, such as the spread globally of COVID-19 in 2020, and related effects on supply chain, travel and employee health and availability; and</w:t>
      </w:r>
    </w:p>
    <w:p>
      <w:pPr>
        <w:spacing w:after="0" w:line="170" w:lineRule="exact"/>
        <w:rPr>
          <w:rFonts w:ascii="Arial" w:cs="Arial" w:eastAsia="Arial" w:hAnsi="Arial"/>
          <w:sz w:val="18"/>
          <w:szCs w:val="18"/>
          <w:color w:val="auto"/>
        </w:rPr>
      </w:pPr>
    </w:p>
    <w:p>
      <w:pPr>
        <w:jc w:val="both"/>
        <w:ind w:left="1040" w:right="79" w:hanging="321"/>
        <w:spacing w:after="0" w:line="25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8"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In addition, our revenues are subject to foreign currency exchange rate fluctuations due to the global nature of our operations.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8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00" w:lineRule="exact"/>
        <w:rPr>
          <w:sz w:val="20"/>
          <w:szCs w:val="20"/>
          <w:color w:val="auto"/>
        </w:rPr>
      </w:pPr>
    </w:p>
    <w:p>
      <w:pPr>
        <w:jc w:val="both"/>
        <w:ind w:left="40" w:right="59" w:firstLine="706"/>
        <w:spacing w:after="0" w:line="273" w:lineRule="auto"/>
        <w:rPr>
          <w:sz w:val="20"/>
          <w:szCs w:val="20"/>
          <w:color w:val="auto"/>
        </w:rPr>
      </w:pPr>
      <w:r>
        <w:rPr>
          <w:rFonts w:ascii="Arial" w:cs="Arial" w:eastAsia="Arial" w:hAnsi="Arial"/>
          <w:sz w:val="17"/>
          <w:szCs w:val="17"/>
          <w:color w:val="auto"/>
        </w:rPr>
        <w:t>Due to historical net losses, we had an accumulated deficit of $1.7 billion as of March 31, 2021.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7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84"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and MONJUVI, for several years, if ever.</w:t>
      </w:r>
    </w:p>
    <w:p>
      <w:pPr>
        <w:spacing w:after="0" w:line="188"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and MONJUVI, we may incur losses if our drug products do not generate significant revenues.</w:t>
      </w:r>
    </w:p>
    <w:p>
      <w:pPr>
        <w:spacing w:after="0" w:line="19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1040" w:right="79" w:hanging="321"/>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9" w:hanging="321"/>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1040" w:right="59" w:hanging="321"/>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170" w:lineRule="exact"/>
        <w:rPr>
          <w:rFonts w:ascii="Arial" w:cs="Arial" w:eastAsia="Arial" w:hAnsi="Arial"/>
          <w:sz w:val="18"/>
          <w:szCs w:val="18"/>
          <w:color w:val="auto"/>
        </w:rPr>
      </w:pPr>
    </w:p>
    <w:p>
      <w:pPr>
        <w:ind w:left="1040" w:right="79" w:hanging="321"/>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8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invest our cash in accordance with an established internal policy and customarily in instruments, money market funds, U.S. government backed-funds and Treasury assets, which historically have been highly liquid and carried relatively low risk. In recent periods, similar types of investments and money market funds have experienced losses in value or liquidity issues that differ from their historical pattern.</w:t>
      </w:r>
    </w:p>
    <w:p>
      <w:pPr>
        <w:spacing w:after="0" w:line="187"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7"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64"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condensed consolidated balance sheets and condensed consolidated statements of operations.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5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derived a substantial portion of our revenues for the year ended December 31, 2020 and the three months ended March 31, 2021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would affect potential future royalty and milestone and contract revenue.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subject to arbitration, litigation and infringement claims, they could be costly and disrupt our drug discovery and development efforts.</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1"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76"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46" w:lineRule="exact"/>
        <w:rPr>
          <w:sz w:val="20"/>
          <w:szCs w:val="20"/>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may not be able to obtain any necessary licenses on acceptable terms, if at all. If we are unable to develop non-infringing technology or license technology on a timely basis or on reasonable terms, our business could be harmed.</w:t>
      </w:r>
    </w:p>
    <w:p>
      <w:pPr>
        <w:spacing w:after="0" w:line="146"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6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 Competition for our products could potentially harm our business and result in a decrease in our revenue,” a potential generic drug company competitor has challenged certain patents relating to JAKAFI.</w:t>
      </w:r>
    </w:p>
    <w:p>
      <w:pPr>
        <w:spacing w:after="0" w:line="17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1"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92"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6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65" w:lineRule="exact"/>
        <w:rPr>
          <w:sz w:val="20"/>
          <w:szCs w:val="20"/>
          <w:color w:val="auto"/>
        </w:rPr>
      </w:pPr>
    </w:p>
    <w:p>
      <w:pPr>
        <w:jc w:val="both"/>
        <w:ind w:left="40" w:right="59" w:firstLine="648"/>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can strain our information technology infrastructure, which may affect our ability to operate effectively, may make us more susceptible to communications disruptions, and expose us to greater cybersecurity risks.</w:t>
      </w:r>
    </w:p>
    <w:p>
      <w:pPr>
        <w:spacing w:after="0" w:line="16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 In addition, our systems and the systems of our third-party providers and collaborators are potentially vulnerable to data security breaches which may expose sensitive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66"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66"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CCPA and other similar laws or regulations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Increasing use of social media could give rise to liability, breaches of data security, or reputational damage.</w:t>
      </w:r>
    </w:p>
    <w:p>
      <w:pPr>
        <w:spacing w:after="0" w:line="237"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760" w:type="dxa"/>
            <w:vAlign w:val="bottom"/>
            <w:gridSpan w:val="4"/>
            <w:vMerge w:val="restart"/>
          </w:tcPr>
          <w:p>
            <w:pPr>
              <w:ind w:left="2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76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77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Second Amendment, dated as of January 8, 2021, to Collaboration and License Agreement entered into as</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of January 12, 2020 by and among the Company, MorphoSys AG and MorphoSys US, Inc.</w:t>
              </w:r>
            </w:hyperlink>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40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Rule 13a-14(a) Certification of Chief Executive Officer</w:t>
              </w:r>
            </w:hyperlink>
          </w:p>
        </w:tc>
        <w:tc>
          <w:tcPr>
            <w:tcW w:w="3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9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Rule 13a-14(a) Certification of Chief Financial Officer</w:t>
              </w:r>
            </w:hyperlink>
          </w:p>
        </w:tc>
        <w:tc>
          <w:tcPr>
            <w:tcW w:w="38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77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Statement of the Chief Executive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77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Statement of the Chief Financial Officer under Section 906 of the Sarbanes-Oxley Act of 2002 (18 U.S.C.</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Section 1350)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999" w:firstLine="9"/>
        <w:spacing w:after="0" w:line="508" w:lineRule="auto"/>
        <w:tabs>
          <w:tab w:leader="none" w:pos="1193"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1" w:lineRule="exact"/>
        <w:rPr>
          <w:rFonts w:ascii="Arial" w:cs="Arial" w:eastAsia="Arial" w:hAnsi="Arial"/>
          <w:sz w:val="18"/>
          <w:szCs w:val="18"/>
          <w:color w:val="auto"/>
        </w:rPr>
      </w:pPr>
    </w:p>
    <w:p>
      <w:pPr>
        <w:jc w:val="both"/>
        <w:ind w:left="300" w:right="79" w:hanging="256"/>
        <w:spacing w:after="0" w:line="259"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-909320</wp:posOffset>
            </wp:positionV>
            <wp:extent cx="1414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INCYTE CORPORATION</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4, 2021</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  /s/ HERVÉ HOPPENOT</w:t>
            </w:r>
          </w:p>
        </w:tc>
      </w:tr>
      <w:tr>
        <w:trPr>
          <w:trHeight w:val="195"/>
        </w:trPr>
        <w:tc>
          <w:tcPr>
            <w:tcW w:w="2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Hervé Hoppenot</w:t>
            </w:r>
          </w:p>
        </w:tc>
      </w:tr>
      <w:tr>
        <w:trPr>
          <w:trHeight w:val="216"/>
        </w:trPr>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Dated: May 4, 2021</w:t>
            </w:r>
          </w:p>
        </w:tc>
        <w:tc>
          <w:tcPr>
            <w:tcW w:w="5960" w:type="dxa"/>
            <w:vAlign w:val="bottom"/>
            <w:gridSpan w:val="2"/>
          </w:tcPr>
          <w:p>
            <w:pPr>
              <w:ind w:left="1500"/>
              <w:spacing w:after="0"/>
              <w:rPr>
                <w:sz w:val="20"/>
                <w:szCs w:val="20"/>
                <w:color w:val="auto"/>
              </w:rPr>
            </w:pPr>
            <w:r>
              <w:rPr>
                <w:rFonts w:ascii="Arial" w:cs="Arial" w:eastAsia="Arial" w:hAnsi="Arial"/>
                <w:sz w:val="18"/>
                <w:szCs w:val="18"/>
                <w:color w:val="auto"/>
              </w:rPr>
              <w:t>By:  /s/ CHRISTIANA STAMOULIS</w:t>
            </w:r>
          </w:p>
        </w:tc>
      </w:tr>
      <w:tr>
        <w:trPr>
          <w:trHeight w:val="195"/>
        </w:trPr>
        <w:tc>
          <w:tcPr>
            <w:tcW w:w="2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Christiana Stamoulis</w:t>
            </w:r>
          </w:p>
        </w:tc>
      </w:tr>
      <w:tr>
        <w:trPr>
          <w:trHeight w:val="216"/>
        </w:trPr>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COLLABORATION AND LICENSE AGREEMENT</w:t>
      </w:r>
    </w:p>
    <w:p>
      <w:pPr>
        <w:spacing w:after="0" w:line="19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This Second Amendment (“</w:t>
      </w:r>
      <w:r>
        <w:rPr>
          <w:rFonts w:ascii="Arial" w:cs="Arial" w:eastAsia="Arial" w:hAnsi="Arial"/>
          <w:sz w:val="18"/>
          <w:szCs w:val="18"/>
          <w:b w:val="1"/>
          <w:bCs w:val="1"/>
          <w:color w:val="auto"/>
        </w:rPr>
        <w:t>Second Amendment</w:t>
      </w:r>
      <w:r>
        <w:rPr>
          <w:rFonts w:ascii="Arial" w:cs="Arial" w:eastAsia="Arial" w:hAnsi="Arial"/>
          <w:sz w:val="18"/>
          <w:szCs w:val="18"/>
          <w:color w:val="auto"/>
        </w:rPr>
        <w:t>”) to the Collaboration and License Agreement, (as subsequently amended, the “</w:t>
      </w:r>
      <w:r>
        <w:rPr>
          <w:rFonts w:ascii="Arial" w:cs="Arial" w:eastAsia="Arial" w:hAnsi="Arial"/>
          <w:sz w:val="18"/>
          <w:szCs w:val="18"/>
          <w:b w:val="1"/>
          <w:bCs w:val="1"/>
          <w:color w:val="auto"/>
        </w:rPr>
        <w:t>Agreement</w:t>
      </w:r>
      <w:r>
        <w:rPr>
          <w:rFonts w:ascii="Arial" w:cs="Arial" w:eastAsia="Arial" w:hAnsi="Arial"/>
          <w:sz w:val="18"/>
          <w:szCs w:val="18"/>
          <w:color w:val="auto"/>
        </w:rPr>
        <w:t>”) is effective as of January 8,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16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color w:val="auto"/>
        </w:rPr>
        <w:t>MorphoSys AG</w:t>
      </w:r>
      <w:r>
        <w:rPr>
          <w:rFonts w:ascii="Arial" w:cs="Arial" w:eastAsia="Arial" w:hAnsi="Arial"/>
          <w:sz w:val="18"/>
          <w:szCs w:val="18"/>
          <w:color w:val="auto"/>
        </w:rPr>
        <w:t>, a German stock corporation having a place of business at Semmelweisstrasse 7, 82152 Planegg, Germany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MorphoSys AG</w:t>
      </w:r>
      <w:r>
        <w:rPr>
          <w:rFonts w:ascii="Arial" w:cs="Arial" w:eastAsia="Arial" w:hAnsi="Arial"/>
          <w:sz w:val="18"/>
          <w:szCs w:val="18"/>
          <w:color w:val="auto"/>
        </w:rPr>
        <w:t xml:space="preserve">"), and </w:t>
      </w:r>
      <w:r>
        <w:rPr>
          <w:rFonts w:ascii="Arial" w:cs="Arial" w:eastAsia="Arial" w:hAnsi="Arial"/>
          <w:sz w:val="18"/>
          <w:szCs w:val="18"/>
          <w:b w:val="1"/>
          <w:bCs w:val="1"/>
          <w:color w:val="auto"/>
        </w:rPr>
        <w:t>MorphoSys US Inc</w:t>
      </w:r>
      <w:r>
        <w:rPr>
          <w:rFonts w:ascii="Arial" w:cs="Arial" w:eastAsia="Arial" w:hAnsi="Arial"/>
          <w:sz w:val="18"/>
          <w:szCs w:val="18"/>
          <w:color w:val="auto"/>
        </w:rPr>
        <w:t>., a Delaware corporation, wholly-owned by MorphoSys AG, having its place of business at 470 Atlantic Avenue, 14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Boston, MA 02210, USA ("</w:t>
      </w:r>
      <w:r>
        <w:rPr>
          <w:rFonts w:ascii="Arial" w:cs="Arial" w:eastAsia="Arial" w:hAnsi="Arial"/>
          <w:sz w:val="18"/>
          <w:szCs w:val="18"/>
          <w:b w:val="1"/>
          <w:bCs w:val="1"/>
          <w:color w:val="auto"/>
        </w:rPr>
        <w:t>MorphoSys Inc.</w:t>
      </w:r>
      <w:r>
        <w:rPr>
          <w:rFonts w:ascii="Arial" w:cs="Arial" w:eastAsia="Arial" w:hAnsi="Arial"/>
          <w:sz w:val="18"/>
          <w:szCs w:val="18"/>
          <w:color w:val="auto"/>
        </w:rPr>
        <w:t>"), (both MorphoSys AG and MorphoSys Inc., "</w:t>
      </w:r>
      <w:r>
        <w:rPr>
          <w:rFonts w:ascii="Arial" w:cs="Arial" w:eastAsia="Arial" w:hAnsi="Arial"/>
          <w:sz w:val="18"/>
          <w:szCs w:val="18"/>
          <w:b w:val="1"/>
          <w:bCs w:val="1"/>
          <w:color w:val="auto"/>
        </w:rPr>
        <w:t>MorphoSys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Incyte Corporation</w:t>
      </w:r>
      <w:r>
        <w:rPr>
          <w:rFonts w:ascii="Arial" w:cs="Arial" w:eastAsia="Arial" w:hAnsi="Arial"/>
          <w:sz w:val="18"/>
          <w:szCs w:val="18"/>
          <w:color w:val="auto"/>
        </w:rPr>
        <w:t>, a Delaware corporation with its principal place of business at 1801 Augustine Cut-Off, Wilmington,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19803, USA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MorphoSys and COMPANY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1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WHEREAS, the Agreement, as more specifically set forth in Section 16.4, provides for the Parties to be able to disclose Confidential Information of the other Party only in certain instances; and</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WHEREAS, COMPANY and MorphoSys have agreed to amend the Agreement to expand the group of third parties to which disclosure may be made to include existing or potential distributors.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NOW and THEREFORE, the Parties hereby agree as follows: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capitalized terms used in this Second Amendment shall have the meaning ascribed to them in the Agreement, except as otherwise expressly stated herein.</w:t>
      </w:r>
    </w:p>
    <w:p>
      <w:pPr>
        <w:spacing w:after="0" w:line="171" w:lineRule="exact"/>
        <w:rPr>
          <w:sz w:val="20"/>
          <w:szCs w:val="20"/>
          <w:color w:val="auto"/>
        </w:rPr>
      </w:pPr>
    </w:p>
    <w:p>
      <w:pPr>
        <w:ind w:firstLine="8"/>
        <w:spacing w:after="0" w:line="261" w:lineRule="auto"/>
        <w:tabs>
          <w:tab w:leader="none" w:pos="193"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Section 16.4(e) to the Agreement shall be deleted in its entirety and replaced by the following (added language underlined only to show its addition):</w:t>
      </w:r>
    </w:p>
    <w:p>
      <w:pPr>
        <w:spacing w:after="0" w:line="170" w:lineRule="exact"/>
        <w:rPr>
          <w:rFonts w:ascii="Arial" w:cs="Arial" w:eastAsia="Arial" w:hAnsi="Arial"/>
          <w:sz w:val="18"/>
          <w:szCs w:val="18"/>
          <w:b w:val="1"/>
          <w:bCs w:val="1"/>
          <w:color w:val="auto"/>
        </w:rPr>
      </w:pPr>
    </w:p>
    <w:p>
      <w:pPr>
        <w:ind w:left="1300" w:hanging="655"/>
        <w:spacing w:after="0"/>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made by a Receiving Party on a need-to-know-basis to (i) existing or potential acquirers or merger candidates;</w:t>
      </w:r>
    </w:p>
    <w:p>
      <w:pPr>
        <w:spacing w:after="0" w:line="23" w:lineRule="exact"/>
        <w:rPr>
          <w:rFonts w:ascii="Arial" w:cs="Arial" w:eastAsia="Arial" w:hAnsi="Arial"/>
          <w:sz w:val="17"/>
          <w:szCs w:val="17"/>
          <w:color w:val="auto"/>
        </w:rPr>
      </w:pPr>
    </w:p>
    <w:p>
      <w:pPr>
        <w:jc w:val="both"/>
        <w:ind w:left="640" w:firstLine="5"/>
        <w:spacing w:after="0" w:line="254" w:lineRule="auto"/>
        <w:tabs>
          <w:tab w:leader="none" w:pos="945" w:val="left"/>
        </w:tabs>
        <w:numPr>
          <w:ilvl w:val="1"/>
          <w:numId w:val="44"/>
        </w:numPr>
        <w:rPr>
          <w:rFonts w:ascii="Arial" w:cs="Arial" w:eastAsia="Arial" w:hAnsi="Arial"/>
          <w:sz w:val="17"/>
          <w:szCs w:val="17"/>
          <w:color w:val="auto"/>
        </w:rPr>
      </w:pPr>
      <w:r>
        <w:rPr>
          <w:rFonts w:ascii="Arial" w:cs="Arial" w:eastAsia="Arial" w:hAnsi="Arial"/>
          <w:sz w:val="17"/>
          <w:szCs w:val="17"/>
          <w:color w:val="auto"/>
        </w:rPr>
        <w:t>existing or potential Sublicensees</w:t>
      </w:r>
      <w:r>
        <w:rPr>
          <w:rFonts w:ascii="Arial" w:cs="Arial" w:eastAsia="Arial" w:hAnsi="Arial"/>
          <w:sz w:val="17"/>
          <w:szCs w:val="17"/>
          <w:u w:val="single" w:color="auto"/>
          <w:color w:val="auto"/>
        </w:rPr>
        <w:t>, existing or potential distributors</w:t>
      </w:r>
      <w:r>
        <w:rPr>
          <w:rFonts w:ascii="Arial" w:cs="Arial" w:eastAsia="Arial" w:hAnsi="Arial"/>
          <w:sz w:val="17"/>
          <w:szCs w:val="17"/>
          <w:color w:val="auto"/>
        </w:rPr>
        <w:t xml:space="preserve"> or existing or potential contractors (to the extent contemplated hereunder); (iii) investment bankers; (iv) existing or potential investors, venture capital firms or other financial institutions or investors for purposes of obtaining financing; or to Affiliates or Sublicensees, each of whom prior to disclosure must be bound by obligations of confidentiality and non-use equivalent in scope to those set forth in this Article 16 or in accordance with applicable industry standards but for no less than five (5) years from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2. Performance under all other terms of the Agreement.</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Except as expressly amended hereby, the Agreement shall continue in full force and effect. This Second Amendment is incorporated and made a part of the Agreement between MorphoSys and COMPANY. In the event of any conflict or inconsistency between the Agreement and this Second Amendment, the latter shall prevail.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Counterparts.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Second Amendment may be executed in three (3) or more counterparts, each of which shall be deemed an original, but all of which together shall constitute one and the same instrument.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91" w:right="101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by duly authorized persons, executed this Second Amendment, as of the Effective Date.</w:t>
      </w:r>
    </w:p>
    <w:p>
      <w:pPr>
        <w:sectPr>
          <w:pgSz w:w="11900" w:h="16838" w:orient="portrait"/>
          <w:cols w:equalWidth="0" w:num="1">
            <w:col w:w="9479"/>
          </w:cols>
          <w:pgMar w:left="980" w:top="891" w:right="1440" w:bottom="1440" w:gutter="0" w:footer="0" w:header="0"/>
        </w:sect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MorphoSys AG</w:t>
            </w:r>
          </w:p>
        </w:tc>
        <w:tc>
          <w:tcPr>
            <w:tcW w:w="10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80"/>
              <w:spacing w:after="0"/>
              <w:rPr>
                <w:sz w:val="20"/>
                <w:szCs w:val="20"/>
                <w:color w:val="auto"/>
              </w:rPr>
            </w:pPr>
            <w:r>
              <w:rPr>
                <w:rFonts w:ascii="Arial" w:cs="Arial" w:eastAsia="Arial" w:hAnsi="Arial"/>
                <w:sz w:val="18"/>
                <w:szCs w:val="18"/>
                <w:color w:val="auto"/>
              </w:rPr>
              <w:t>/s/ Dr. Barbara Krebs-Pohl</w:t>
            </w:r>
          </w:p>
        </w:tc>
        <w:tc>
          <w:tcPr>
            <w:tcW w:w="1080" w:type="dxa"/>
            <w:vAlign w:val="bottom"/>
          </w:tcPr>
          <w:p>
            <w:pPr>
              <w:ind w:left="560"/>
              <w:spacing w:after="0"/>
              <w:rPr>
                <w:sz w:val="20"/>
                <w:szCs w:val="20"/>
                <w:color w:val="auto"/>
              </w:rPr>
            </w:pPr>
            <w:r>
              <w:rPr>
                <w:rFonts w:ascii="Arial" w:cs="Arial" w:eastAsia="Arial" w:hAnsi="Arial"/>
                <w:sz w:val="18"/>
                <w:szCs w:val="18"/>
                <w:color w:val="auto"/>
              </w:rPr>
              <w:t>By:</w:t>
            </w:r>
          </w:p>
        </w:tc>
        <w:tc>
          <w:tcPr>
            <w:tcW w:w="3420" w:type="dxa"/>
            <w:vAlign w:val="bottom"/>
          </w:tcPr>
          <w:p>
            <w:pPr>
              <w:ind w:left="60"/>
              <w:spacing w:after="0"/>
              <w:rPr>
                <w:sz w:val="20"/>
                <w:szCs w:val="20"/>
                <w:color w:val="auto"/>
              </w:rPr>
            </w:pPr>
            <w:r>
              <w:rPr>
                <w:rFonts w:ascii="Arial" w:cs="Arial" w:eastAsia="Arial" w:hAnsi="Arial"/>
                <w:sz w:val="18"/>
                <w:szCs w:val="18"/>
                <w:color w:val="auto"/>
              </w:rPr>
              <w:t>/s/ Samuel White</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80"/>
              <w:spacing w:after="0"/>
              <w:rPr>
                <w:sz w:val="20"/>
                <w:szCs w:val="20"/>
                <w:color w:val="auto"/>
              </w:rPr>
            </w:pPr>
            <w:r>
              <w:rPr>
                <w:rFonts w:ascii="Arial" w:cs="Arial" w:eastAsia="Arial" w:hAnsi="Arial"/>
                <w:sz w:val="18"/>
                <w:szCs w:val="18"/>
                <w:color w:val="auto"/>
              </w:rPr>
              <w:t>Dr. Barbara Krebs-Pohl</w:t>
            </w:r>
          </w:p>
        </w:tc>
        <w:tc>
          <w:tcPr>
            <w:tcW w:w="1080" w:type="dxa"/>
            <w:vAlign w:val="bottom"/>
          </w:tcPr>
          <w:p>
            <w:pPr>
              <w:ind w:left="560"/>
              <w:spacing w:after="0"/>
              <w:rPr>
                <w:sz w:val="20"/>
                <w:szCs w:val="20"/>
                <w:color w:val="auto"/>
              </w:rPr>
            </w:pPr>
            <w:r>
              <w:rPr>
                <w:rFonts w:ascii="Arial" w:cs="Arial" w:eastAsia="Arial" w:hAnsi="Arial"/>
                <w:sz w:val="18"/>
                <w:szCs w:val="18"/>
                <w:color w:val="auto"/>
                <w:w w:val="94"/>
              </w:rPr>
              <w:t>Name:</w:t>
            </w:r>
          </w:p>
        </w:tc>
        <w:tc>
          <w:tcPr>
            <w:tcW w:w="3420" w:type="dxa"/>
            <w:vAlign w:val="bottom"/>
          </w:tcPr>
          <w:p>
            <w:pPr>
              <w:ind w:left="60"/>
              <w:spacing w:after="0"/>
              <w:rPr>
                <w:sz w:val="20"/>
                <w:szCs w:val="20"/>
                <w:color w:val="auto"/>
              </w:rPr>
            </w:pPr>
            <w:r>
              <w:rPr>
                <w:rFonts w:ascii="Arial" w:cs="Arial" w:eastAsia="Arial" w:hAnsi="Arial"/>
                <w:sz w:val="18"/>
                <w:szCs w:val="18"/>
                <w:color w:val="auto"/>
              </w:rPr>
              <w:t>Samuel White</w:t>
            </w:r>
          </w:p>
        </w:tc>
      </w:tr>
      <w:tr>
        <w:trPr>
          <w:trHeight w:val="40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80"/>
              <w:spacing w:after="0"/>
              <w:rPr>
                <w:sz w:val="20"/>
                <w:szCs w:val="20"/>
                <w:color w:val="auto"/>
              </w:rPr>
            </w:pPr>
            <w:r>
              <w:rPr>
                <w:rFonts w:ascii="Arial" w:cs="Arial" w:eastAsia="Arial" w:hAnsi="Arial"/>
                <w:sz w:val="18"/>
                <w:szCs w:val="18"/>
                <w:color w:val="auto"/>
              </w:rPr>
              <w:t>SVP Global BD&amp;L and Alliance Management</w:t>
            </w:r>
          </w:p>
        </w:tc>
        <w:tc>
          <w:tcPr>
            <w:tcW w:w="1080" w:type="dxa"/>
            <w:vAlign w:val="bottom"/>
          </w:tcPr>
          <w:p>
            <w:pPr>
              <w:ind w:left="560"/>
              <w:spacing w:after="0"/>
              <w:rPr>
                <w:sz w:val="20"/>
                <w:szCs w:val="20"/>
                <w:color w:val="auto"/>
              </w:rPr>
            </w:pPr>
            <w:r>
              <w:rPr>
                <w:rFonts w:ascii="Arial" w:cs="Arial" w:eastAsia="Arial" w:hAnsi="Arial"/>
                <w:sz w:val="18"/>
                <w:szCs w:val="18"/>
                <w:color w:val="auto"/>
              </w:rPr>
              <w:t>Title:</w:t>
            </w:r>
          </w:p>
        </w:tc>
        <w:tc>
          <w:tcPr>
            <w:tcW w:w="3420" w:type="dxa"/>
            <w:vAlign w:val="bottom"/>
          </w:tcPr>
          <w:p>
            <w:pPr>
              <w:ind w:left="60"/>
              <w:spacing w:after="0"/>
              <w:rPr>
                <w:sz w:val="20"/>
                <w:szCs w:val="20"/>
                <w:color w:val="auto"/>
              </w:rPr>
            </w:pPr>
            <w:r>
              <w:rPr>
                <w:rFonts w:ascii="Arial" w:cs="Arial" w:eastAsia="Arial" w:hAnsi="Arial"/>
                <w:sz w:val="18"/>
                <w:szCs w:val="18"/>
                <w:color w:val="auto"/>
                <w:w w:val="92"/>
              </w:rPr>
              <w:t>Senior Director, Head of Commercial Alliance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Management</w:t>
            </w:r>
          </w:p>
        </w:tc>
      </w:tr>
      <w:tr>
        <w:trPr>
          <w:trHeight w:val="68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MorphoSys US Inc.</w:t>
            </w:r>
          </w:p>
        </w:tc>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66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80"/>
              <w:spacing w:after="0"/>
              <w:rPr>
                <w:sz w:val="20"/>
                <w:szCs w:val="20"/>
                <w:color w:val="auto"/>
              </w:rPr>
            </w:pPr>
            <w:r>
              <w:rPr>
                <w:rFonts w:ascii="Arial" w:cs="Arial" w:eastAsia="Arial" w:hAnsi="Arial"/>
                <w:sz w:val="18"/>
                <w:szCs w:val="18"/>
                <w:color w:val="auto"/>
              </w:rPr>
              <w:t>/s/ David Trexler</w:t>
            </w:r>
          </w:p>
        </w:tc>
        <w:tc>
          <w:tcPr>
            <w:tcW w:w="1080" w:type="dxa"/>
            <w:vAlign w:val="bottom"/>
          </w:tcPr>
          <w:p>
            <w:pPr>
              <w:ind w:left="560"/>
              <w:spacing w:after="0"/>
              <w:rPr>
                <w:sz w:val="20"/>
                <w:szCs w:val="20"/>
                <w:color w:val="auto"/>
              </w:rPr>
            </w:pPr>
            <w:r>
              <w:rPr>
                <w:rFonts w:ascii="Arial" w:cs="Arial" w:eastAsia="Arial" w:hAnsi="Arial"/>
                <w:sz w:val="18"/>
                <w:szCs w:val="18"/>
                <w:color w:val="auto"/>
              </w:rPr>
              <w:t>By:</w:t>
            </w:r>
          </w:p>
        </w:tc>
        <w:tc>
          <w:tcPr>
            <w:tcW w:w="3420" w:type="dxa"/>
            <w:vAlign w:val="bottom"/>
          </w:tcPr>
          <w:p>
            <w:pPr>
              <w:ind w:left="60"/>
              <w:spacing w:after="0"/>
              <w:rPr>
                <w:sz w:val="20"/>
                <w:szCs w:val="20"/>
                <w:color w:val="auto"/>
              </w:rPr>
            </w:pPr>
            <w:r>
              <w:rPr>
                <w:rFonts w:ascii="Arial" w:cs="Arial" w:eastAsia="Arial" w:hAnsi="Arial"/>
                <w:sz w:val="18"/>
                <w:szCs w:val="18"/>
                <w:color w:val="auto"/>
              </w:rPr>
              <w:t>/s/ Ben Looker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ind w:left="80"/>
              <w:spacing w:after="0"/>
              <w:rPr>
                <w:sz w:val="20"/>
                <w:szCs w:val="20"/>
                <w:color w:val="auto"/>
              </w:rPr>
            </w:pPr>
            <w:r>
              <w:rPr>
                <w:rFonts w:ascii="Arial" w:cs="Arial" w:eastAsia="Arial" w:hAnsi="Arial"/>
                <w:sz w:val="18"/>
                <w:szCs w:val="18"/>
                <w:color w:val="auto"/>
              </w:rPr>
              <w:t>David Trexler</w:t>
            </w:r>
          </w:p>
        </w:tc>
        <w:tc>
          <w:tcPr>
            <w:tcW w:w="1080" w:type="dxa"/>
            <w:vAlign w:val="bottom"/>
          </w:tcPr>
          <w:p>
            <w:pPr>
              <w:ind w:left="560"/>
              <w:spacing w:after="0"/>
              <w:rPr>
                <w:sz w:val="20"/>
                <w:szCs w:val="20"/>
                <w:color w:val="auto"/>
              </w:rPr>
            </w:pPr>
            <w:r>
              <w:rPr>
                <w:rFonts w:ascii="Arial" w:cs="Arial" w:eastAsia="Arial" w:hAnsi="Arial"/>
                <w:sz w:val="18"/>
                <w:szCs w:val="18"/>
                <w:color w:val="auto"/>
                <w:w w:val="94"/>
              </w:rPr>
              <w:t>Name:</w:t>
            </w:r>
          </w:p>
        </w:tc>
        <w:tc>
          <w:tcPr>
            <w:tcW w:w="3420" w:type="dxa"/>
            <w:vAlign w:val="bottom"/>
          </w:tcPr>
          <w:p>
            <w:pPr>
              <w:ind w:left="60"/>
              <w:spacing w:after="0"/>
              <w:rPr>
                <w:sz w:val="20"/>
                <w:szCs w:val="20"/>
                <w:color w:val="auto"/>
              </w:rPr>
            </w:pPr>
            <w:r>
              <w:rPr>
                <w:rFonts w:ascii="Arial" w:cs="Arial" w:eastAsia="Arial" w:hAnsi="Arial"/>
                <w:sz w:val="18"/>
                <w:szCs w:val="18"/>
                <w:color w:val="auto"/>
              </w:rPr>
              <w:t>Ben Looker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80"/>
              <w:spacing w:after="0"/>
              <w:rPr>
                <w:sz w:val="20"/>
                <w:szCs w:val="20"/>
                <w:color w:val="auto"/>
              </w:rPr>
            </w:pPr>
            <w:r>
              <w:rPr>
                <w:rFonts w:ascii="Arial" w:cs="Arial" w:eastAsia="Arial" w:hAnsi="Arial"/>
                <w:sz w:val="18"/>
                <w:szCs w:val="18"/>
                <w:color w:val="auto"/>
              </w:rPr>
              <w:t>President</w:t>
            </w:r>
          </w:p>
        </w:tc>
        <w:tc>
          <w:tcPr>
            <w:tcW w:w="1080" w:type="dxa"/>
            <w:vAlign w:val="bottom"/>
          </w:tcPr>
          <w:p>
            <w:pPr>
              <w:ind w:left="560"/>
              <w:spacing w:after="0"/>
              <w:rPr>
                <w:sz w:val="20"/>
                <w:szCs w:val="20"/>
                <w:color w:val="auto"/>
              </w:rPr>
            </w:pPr>
            <w:r>
              <w:rPr>
                <w:rFonts w:ascii="Arial" w:cs="Arial" w:eastAsia="Arial" w:hAnsi="Arial"/>
                <w:sz w:val="18"/>
                <w:szCs w:val="18"/>
                <w:color w:val="auto"/>
              </w:rPr>
              <w:t>Title:</w:t>
            </w:r>
          </w:p>
        </w:tc>
        <w:tc>
          <w:tcPr>
            <w:tcW w:w="3420" w:type="dxa"/>
            <w:vAlign w:val="bottom"/>
          </w:tcPr>
          <w:p>
            <w:pPr>
              <w:ind w:left="60"/>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INCYTE CORPORATION</w:t>
      </w:r>
    </w:p>
    <w:p>
      <w:pPr>
        <w:spacing w:after="0" w:line="200" w:lineRule="exact"/>
        <w:rPr>
          <w:sz w:val="20"/>
          <w:szCs w:val="20"/>
          <w:color w:val="auto"/>
        </w:rPr>
      </w:pPr>
    </w:p>
    <w:p>
      <w:pPr>
        <w:spacing w:after="0" w:line="2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Vijay Iyengar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Vijay Iyengar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EVP, GSCD</w:t>
      </w:r>
    </w:p>
    <w:p>
      <w:pPr>
        <w:spacing w:after="0" w:line="23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[Signature page to Second Amendment to the Collaboration and License Agreement]</w:t>
      </w: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91" w:right="1440" w:bottom="1440" w:gutter="0" w:footer="0" w:header="0"/>
          <w:type w:val="continuous"/>
        </w:sectPr>
      </w:pPr>
    </w:p>
    <w:bookmarkStart w:id="94" w:name="page95"/>
    <w:bookmarkEnd w:id="9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Hervé Hoppenot, certify that:</w:t>
      </w:r>
    </w:p>
    <w:p>
      <w:pPr>
        <w:spacing w:after="0" w:line="198" w:lineRule="exact"/>
        <w:rPr>
          <w:sz w:val="20"/>
          <w:szCs w:val="20"/>
          <w:color w:val="auto"/>
        </w:rPr>
      </w:pPr>
    </w:p>
    <w:p>
      <w:pPr>
        <w:ind w:left="560" w:hanging="510"/>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4, 2021</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Hervé Hoppenot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Christiana Stamoulis, certify that:</w:t>
      </w:r>
    </w:p>
    <w:p>
      <w:pPr>
        <w:spacing w:after="0" w:line="198" w:lineRule="exact"/>
        <w:rPr>
          <w:sz w:val="20"/>
          <w:szCs w:val="20"/>
          <w:color w:val="auto"/>
        </w:rPr>
      </w:pPr>
    </w:p>
    <w:p>
      <w:pPr>
        <w:ind w:left="560" w:hanging="510"/>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198" w:lineRule="exact"/>
        <w:rPr>
          <w:rFonts w:ascii="Arial" w:cs="Arial" w:eastAsia="Arial" w:hAnsi="Arial"/>
          <w:sz w:val="18"/>
          <w:szCs w:val="18"/>
          <w:color w:val="auto"/>
        </w:rPr>
      </w:pPr>
    </w:p>
    <w:p>
      <w:pPr>
        <w:ind w:left="560" w:right="439" w:hanging="510"/>
        <w:spacing w:after="0" w:line="248" w:lineRule="auto"/>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60" w:right="319" w:hanging="510"/>
        <w:spacing w:after="0" w:line="248" w:lineRule="auto"/>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60" w:right="159" w:hanging="510"/>
        <w:spacing w:after="0" w:line="270" w:lineRule="auto"/>
        <w:tabs>
          <w:tab w:leader="none" w:pos="5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80" w:right="159" w:hanging="517"/>
        <w:spacing w:after="0" w:line="243"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80" w:right="259" w:hanging="517"/>
        <w:spacing w:after="0" w:line="243"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80" w:right="139" w:hanging="517"/>
        <w:spacing w:after="0" w:line="248"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80" w:right="119" w:hanging="517"/>
        <w:spacing w:after="0" w:line="243"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60" w:right="479" w:hanging="510"/>
        <w:spacing w:after="0" w:line="248" w:lineRule="auto"/>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80" w:right="239" w:hanging="517"/>
        <w:spacing w:after="0" w:line="248"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80" w:right="359" w:hanging="517"/>
        <w:spacing w:after="0" w:line="261"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4, 2021</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6" w:name="page97"/>
    <w:bookmarkEnd w:id="9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13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2021,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Hervé Hoppenot</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ind w:left="4500"/>
        <w:spacing w:after="0"/>
        <w:rPr>
          <w:sz w:val="20"/>
          <w:szCs w:val="20"/>
          <w:color w:val="auto"/>
        </w:rPr>
      </w:pPr>
      <w:r>
        <w:rPr>
          <w:rFonts w:ascii="Arial" w:cs="Arial" w:eastAsia="Arial" w:hAnsi="Arial"/>
          <w:sz w:val="18"/>
          <w:szCs w:val="18"/>
          <w:color w:val="auto"/>
        </w:rPr>
        <w:t>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7" w:name="page98"/>
    <w:bookmarkEnd w:id="9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PURSUANT TO</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82" w:lineRule="exact"/>
        <w:rPr>
          <w:sz w:val="20"/>
          <w:szCs w:val="20"/>
          <w:color w:val="auto"/>
        </w:rPr>
      </w:pPr>
    </w:p>
    <w:p>
      <w:pPr>
        <w:ind w:left="40" w:right="379" w:firstLine="648"/>
        <w:spacing w:after="0" w:line="243" w:lineRule="auto"/>
        <w:rPr>
          <w:sz w:val="20"/>
          <w:szCs w:val="20"/>
          <w:color w:val="auto"/>
        </w:rPr>
      </w:pPr>
      <w:r>
        <w:rPr>
          <w:rFonts w:ascii="Arial" w:cs="Arial" w:eastAsia="Arial" w:hAnsi="Arial"/>
          <w:sz w:val="18"/>
          <w:szCs w:val="18"/>
          <w:color w:val="auto"/>
        </w:rPr>
        <w:t>With reference to the Quarterly Report of Incyte Corporation (the “Company”) on Form 10-Q for the quarter ended March 31, 2021,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74" w:lineRule="exact"/>
        <w:rPr>
          <w:sz w:val="20"/>
          <w:szCs w:val="20"/>
          <w:color w:val="auto"/>
        </w:rPr>
      </w:pPr>
    </w:p>
    <w:p>
      <w:pPr>
        <w:ind w:left="380" w:hanging="336"/>
        <w:spacing w:after="0"/>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360" w:right="279" w:hanging="316"/>
        <w:spacing w:after="0" w:line="261" w:lineRule="auto"/>
        <w:tabs>
          <w:tab w:leader="none" w:pos="3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Christiana Stamoulis</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ind w:left="4500"/>
        <w:spacing w:after="0"/>
        <w:rPr>
          <w:sz w:val="20"/>
          <w:szCs w:val="20"/>
          <w:color w:val="auto"/>
        </w:rPr>
      </w:pPr>
      <w:r>
        <w:rPr>
          <w:rFonts w:ascii="Arial" w:cs="Arial" w:eastAsia="Arial" w:hAnsi="Arial"/>
          <w:sz w:val="18"/>
          <w:szCs w:val="18"/>
          <w:color w:val="auto"/>
        </w:rPr>
        <w:t>May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870585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8"/>
    </w:lvl>
  </w:abstractNum>
  <w:abstractNum w:abstractNumId="8">
    <w:nsid w:val="836C40E"/>
    <w:multiLevelType w:val="hybridMultilevel"/>
    <w:lvl w:ilvl="0">
      <w:lvlJc w:val="left"/>
      <w:lvlText w:val="%1."/>
      <w:numFmt w:val="decimal"/>
      <w:start w:val="9"/>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1."/>
      <w:numFmt w:val="decimal"/>
      <w:start w:val="11"/>
    </w:lvl>
  </w:abstractNum>
  <w:abstractNum w:abstractNumId="11">
    <w:nsid w:val="8138641"/>
    <w:multiLevelType w:val="hybridMultilevel"/>
    <w:lvl w:ilvl="0">
      <w:lvlJc w:val="left"/>
      <w:lvlText w:val="%1."/>
      <w:numFmt w:val="decimal"/>
      <w:start w:val="12"/>
    </w:lvl>
  </w:abstractNum>
  <w:abstractNum w:abstractNumId="12">
    <w:nsid w:val="1E7FF521"/>
    <w:multiLevelType w:val="hybridMultilevel"/>
    <w:lvl w:ilvl="0">
      <w:lvlJc w:val="left"/>
      <w:lvlText w:val="%1."/>
      <w:numFmt w:val="decimal"/>
      <w:start w:val="13"/>
    </w:lvl>
  </w:abstractNum>
  <w:abstractNum w:abstractNumId="13">
    <w:nsid w:val="7C3DBD3D"/>
    <w:multiLevelType w:val="hybridMultilevel"/>
    <w:lvl w:ilvl="0">
      <w:lvlJc w:val="left"/>
      <w:lvlText w:val="%1."/>
      <w:numFmt w:val="decimal"/>
      <w:start w:val="14"/>
    </w:lvl>
  </w:abstractNum>
  <w:abstractNum w:abstractNumId="14">
    <w:nsid w:val="737B8DDC"/>
    <w:multiLevelType w:val="hybridMultilevel"/>
    <w:lvl w:ilvl="0">
      <w:lvlJc w:val="left"/>
      <w:lvlText w:val="%1."/>
      <w:numFmt w:val="decimal"/>
      <w:start w:val="15"/>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lowerRoman"/>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2"/>
      <w:numFmt w:val="decimal"/>
      <w:start w:val="104"/>
    </w:lvl>
  </w:abstractNum>
  <w:abstractNum w:abstractNumId="41">
    <w:nsid w:val="57E4CCAF"/>
    <w:multiLevelType w:val="hybridMultilevel"/>
    <w:lvl w:ilvl="0">
      <w:lvlJc w:val="left"/>
      <w:lvlText w:val="**"/>
      <w:numFmt w:val="bullet"/>
      <w:start w:val="1"/>
    </w:lvl>
    <w:lvl w:ilvl="1">
      <w:lvlJc w:val="left"/>
      <w:lvlText w:val="%2"/>
      <w:numFmt w:val="decimal"/>
      <w:start w:val="1"/>
    </w:lvl>
  </w:abstractNum>
  <w:abstractNum w:abstractNumId="42">
    <w:nsid w:val="7A6D8D3C"/>
    <w:multiLevelType w:val="hybridMultilevel"/>
    <w:lvl w:ilvl="0">
      <w:lvlJc w:val="left"/>
      <w:lvlText w:val="%1."/>
      <w:numFmt w:val="decimal"/>
      <w:start w:val="1"/>
    </w:lvl>
    <w:lvl w:ilvl="1">
      <w:lvlJc w:val="left"/>
      <w:lvlText w:val="(%2)"/>
      <w:numFmt w:val="lowerLetter"/>
      <w:start w:val="5"/>
    </w:lvl>
  </w:abstractNum>
  <w:abstractNum w:abstractNumId="43">
    <w:nsid w:val="4B588F54"/>
    <w:multiLevelType w:val="hybridMultilevel"/>
    <w:lvl w:ilvl="0">
      <w:lvlJc w:val="left"/>
      <w:lvlText w:val="%1"/>
      <w:numFmt w:val="decimal"/>
      <w:start w:val="1"/>
    </w:lvl>
    <w:lvl w:ilvl="1">
      <w:lvlJc w:val="left"/>
      <w:lvlText w:val="(%2)"/>
      <w:numFmt w:val="lowerLetter"/>
      <w:start w:val="35"/>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2021-05-04T15:28:56Z</dcterms:created>
  <dcterms:modified xsi:type="dcterms:W3CDTF">2021-05-04T15:28:56Z</dcterms:modified>
</cp:coreProperties>
</file>