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Times New Roman" w:cs="Times New Roman" w:eastAsia="Times New Roman" w:hAnsi="Times New Roman"/>
          <w:sz w:val="22"/>
          <w:szCs w:val="22"/>
          <w:u w:val="single" w:color="auto"/>
          <w:color w:val="0563C1"/>
        </w:rPr>
      </w:pPr>
      <w:hyperlink w:anchor="page2">
        <w:r>
          <w:rPr>
            <w:rFonts w:ascii="Times New Roman" w:cs="Times New Roman" w:eastAsia="Times New Roman" w:hAnsi="Times New Roman"/>
            <w:sz w:val="22"/>
            <w:szCs w:val="2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3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0" w:lineRule="exact"/>
        <w:rPr>
          <w:sz w:val="24"/>
          <w:szCs w:val="24"/>
          <w:color w:val="auto"/>
        </w:rPr>
      </w:pPr>
    </w:p>
    <w:p>
      <w:pPr>
        <w:ind w:left="640" w:right="300" w:hanging="325"/>
        <w:spacing w:after="0" w:line="273" w:lineRule="auto"/>
        <w:tabs>
          <w:tab w:leader="none" w:pos="81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3" w:lineRule="exact"/>
        <w:rPr>
          <w:sz w:val="24"/>
          <w:szCs w:val="24"/>
          <w:color w:val="auto"/>
        </w:rPr>
      </w:pPr>
    </w:p>
    <w:p>
      <w:pPr>
        <w:ind w:left="640" w:right="280" w:hanging="325"/>
        <w:spacing w:after="0" w:line="273" w:lineRule="auto"/>
        <w:tabs>
          <w:tab w:leader="none" w:pos="81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ectPr>
          <w:pgSz w:w="11900" w:h="16838" w:orient="portrait"/>
          <w:cols w:equalWidth="0" w:num="1">
            <w:col w:w="10400"/>
          </w:cols>
          <w:pgMar w:left="760" w:top="220" w:right="739" w:bottom="1440" w:gutter="0" w:footer="0" w:header="0"/>
        </w:sectPr>
      </w:pPr>
    </w:p>
    <w:p>
      <w:pPr>
        <w:spacing w:after="0" w:line="5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90" w:lineRule="exact"/>
        <w:rPr>
          <w:sz w:val="24"/>
          <w:szCs w:val="24"/>
          <w:color w:val="auto"/>
        </w:rPr>
      </w:pPr>
    </w:p>
    <w:p>
      <w:pPr>
        <w:sectPr>
          <w:pgSz w:w="11900" w:h="16838" w:orient="portrait"/>
          <w:cols w:equalWidth="0" w:num="2">
            <w:col w:w="5660" w:space="540"/>
            <w:col w:w="4200"/>
          </w:cols>
          <w:pgMar w:left="760" w:top="220" w:right="7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001-12400</w:t>
      </w:r>
    </w:p>
    <w:p>
      <w:pPr>
        <w:sectPr>
          <w:pgSz w:w="11900" w:h="16838" w:orient="portrait"/>
          <w:cols w:equalWidth="0" w:num="1">
            <w:col w:w="10400"/>
          </w:cols>
          <w:pgMar w:left="760" w:top="220" w:right="7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INCYTE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1" w:lineRule="exact"/>
        <w:rPr>
          <w:sz w:val="24"/>
          <w:szCs w:val="24"/>
          <w:color w:val="auto"/>
        </w:rPr>
      </w:pPr>
    </w:p>
    <w:tbl>
      <w:tblPr>
        <w:tblLayout w:type="fixed"/>
        <w:tblInd w:w="1260" w:type="dxa"/>
        <w:tblCellMar>
          <w:top w:w="0" w:type="dxa"/>
          <w:left w:w="0" w:type="dxa"/>
          <w:bottom w:w="0" w:type="dxa"/>
          <w:right w:w="0" w:type="dxa"/>
        </w:tblCellMar>
      </w:tblPr>
      <w:tr>
        <w:trPr>
          <w:trHeight w:val="205"/>
        </w:trPr>
        <w:tc>
          <w:tcPr>
            <w:tcW w:w="5820" w:type="dxa"/>
            <w:vAlign w:val="bottom"/>
          </w:tcPr>
          <w:p>
            <w:pPr>
              <w:jc w:val="center"/>
              <w:ind w:right="31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94-3136539</w:t>
            </w:r>
          </w:p>
        </w:tc>
      </w:tr>
      <w:tr>
        <w:trPr>
          <w:trHeight w:val="203"/>
        </w:trPr>
        <w:tc>
          <w:tcPr>
            <w:tcW w:w="5820" w:type="dxa"/>
            <w:vAlign w:val="bottom"/>
          </w:tcPr>
          <w:p>
            <w:pPr>
              <w:jc w:val="center"/>
              <w:ind w:right="31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3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820" w:type="dxa"/>
            <w:vAlign w:val="bottom"/>
          </w:tcPr>
          <w:p>
            <w:pPr>
              <w:jc w:val="center"/>
              <w:ind w:right="31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3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5"/>
        </w:trPr>
        <w:tc>
          <w:tcPr>
            <w:tcW w:w="5820" w:type="dxa"/>
            <w:vAlign w:val="bottom"/>
          </w:tcPr>
          <w:p>
            <w:pPr>
              <w:jc w:val="center"/>
              <w:ind w:right="3159"/>
              <w:spacing w:after="0"/>
              <w:rPr>
                <w:sz w:val="20"/>
                <w:szCs w:val="20"/>
                <w:color w:val="auto"/>
              </w:rPr>
            </w:pPr>
            <w:r>
              <w:rPr>
                <w:rFonts w:ascii="Times New Roman" w:cs="Times New Roman" w:eastAsia="Times New Roman" w:hAnsi="Times New Roman"/>
                <w:sz w:val="16"/>
                <w:szCs w:val="16"/>
                <w:b w:val="1"/>
                <w:bCs w:val="1"/>
                <w:color w:val="auto"/>
              </w:rPr>
              <w:t>1801 Augustine Cut-Off</w:t>
            </w:r>
          </w:p>
        </w:tc>
        <w:tc>
          <w:tcPr>
            <w:tcW w:w="1380" w:type="dxa"/>
            <w:vAlign w:val="bottom"/>
          </w:tcPr>
          <w:p>
            <w:pPr>
              <w:spacing w:after="0"/>
              <w:rPr>
                <w:sz w:val="24"/>
                <w:szCs w:val="24"/>
                <w:color w:val="auto"/>
              </w:rPr>
            </w:pPr>
          </w:p>
        </w:tc>
      </w:tr>
      <w:tr>
        <w:trPr>
          <w:trHeight w:val="205"/>
        </w:trPr>
        <w:tc>
          <w:tcPr>
            <w:tcW w:w="5820" w:type="dxa"/>
            <w:vAlign w:val="bottom"/>
          </w:tcPr>
          <w:p>
            <w:pPr>
              <w:jc w:val="center"/>
              <w:ind w:right="3159"/>
              <w:spacing w:after="0"/>
              <w:rPr>
                <w:sz w:val="20"/>
                <w:szCs w:val="20"/>
                <w:color w:val="auto"/>
              </w:rPr>
            </w:pPr>
            <w:r>
              <w:rPr>
                <w:rFonts w:ascii="Times New Roman" w:cs="Times New Roman" w:eastAsia="Times New Roman" w:hAnsi="Times New Roman"/>
                <w:sz w:val="16"/>
                <w:szCs w:val="16"/>
                <w:b w:val="1"/>
                <w:bCs w:val="1"/>
                <w:color w:val="auto"/>
              </w:rPr>
              <w:t>Wilmington, DE 19803</w:t>
            </w:r>
          </w:p>
        </w:tc>
        <w:tc>
          <w:tcPr>
            <w:tcW w:w="13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210"/>
        </w:trPr>
        <w:tc>
          <w:tcPr>
            <w:tcW w:w="5820" w:type="dxa"/>
            <w:vAlign w:val="bottom"/>
          </w:tcPr>
          <w:p>
            <w:pPr>
              <w:jc w:val="center"/>
              <w:ind w:right="3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3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(Zip Code)</w:t>
            </w:r>
          </w:p>
        </w:tc>
      </w:tr>
      <w:tr>
        <w:trPr>
          <w:trHeight w:val="343"/>
        </w:trPr>
        <w:tc>
          <w:tcPr>
            <w:tcW w:w="582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(302) 498-6700</w:t>
            </w:r>
          </w:p>
        </w:tc>
        <w:tc>
          <w:tcPr>
            <w:tcW w:w="1380" w:type="dxa"/>
            <w:vAlign w:val="bottom"/>
          </w:tcPr>
          <w:p>
            <w:pPr>
              <w:spacing w:after="0"/>
              <w:rPr>
                <w:sz w:val="24"/>
                <w:szCs w:val="24"/>
                <w:color w:val="auto"/>
              </w:rPr>
            </w:pPr>
          </w:p>
        </w:tc>
      </w:tr>
      <w:tr>
        <w:trPr>
          <w:trHeight w:val="210"/>
        </w:trPr>
        <w:tc>
          <w:tcPr>
            <w:tcW w:w="582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380" w:type="dxa"/>
            <w:vAlign w:val="bottom"/>
          </w:tcPr>
          <w:p>
            <w:pPr>
              <w:spacing w:after="0"/>
              <w:rPr>
                <w:sz w:val="18"/>
                <w:szCs w:val="18"/>
                <w:color w:val="auto"/>
              </w:rPr>
            </w:pPr>
          </w:p>
        </w:tc>
      </w:tr>
    </w:tbl>
    <w:p>
      <w:pPr>
        <w:spacing w:after="0" w:line="195" w:lineRule="exact"/>
        <w:rPr>
          <w:sz w:val="24"/>
          <w:szCs w:val="24"/>
          <w:color w:val="auto"/>
        </w:rPr>
      </w:pPr>
    </w:p>
    <w:p>
      <w:pPr>
        <w:jc w:val="both"/>
        <w:ind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4" w:lineRule="exact"/>
        <w:rPr>
          <w:sz w:val="24"/>
          <w:szCs w:val="24"/>
          <w:color w:val="auto"/>
        </w:rPr>
      </w:pPr>
    </w:p>
    <w:p>
      <w:pPr>
        <w:jc w:val="both"/>
        <w:ind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4"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20" w:right="739" w:bottom="1440" w:gutter="0" w:footer="0" w:header="0"/>
          <w:type w:val="continuous"/>
        </w:sectPr>
      </w:pPr>
    </w:p>
    <w:p>
      <w:pPr>
        <w:spacing w:after="0" w:line="98" w:lineRule="exact"/>
        <w:rPr>
          <w:sz w:val="24"/>
          <w:szCs w:val="24"/>
          <w:color w:val="auto"/>
        </w:rPr>
      </w:pPr>
    </w:p>
    <w:p>
      <w:pPr>
        <w:ind w:left="17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2">
            <w:col w:w="6500" w:space="720"/>
            <w:col w:w="3180"/>
          </w:cols>
          <w:pgMar w:left="760" w:top="220" w:right="739" w:bottom="1440" w:gutter="0" w:footer="0" w:header="0"/>
          <w:type w:val="continuous"/>
        </w:sectPr>
      </w:pPr>
    </w:p>
    <w:p>
      <w:pPr>
        <w:spacing w:after="0" w:line="21" w:lineRule="exact"/>
        <w:rPr>
          <w:sz w:val="24"/>
          <w:szCs w:val="24"/>
          <w:color w:val="auto"/>
        </w:rPr>
      </w:pPr>
    </w:p>
    <w:p>
      <w:pPr>
        <w:ind w:left="176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40" w:space="720"/>
            <w:col w:w="3540"/>
          </w:cols>
          <w:pgMar w:left="760" w:top="220" w:right="739" w:bottom="1440" w:gutter="0" w:footer="0" w:header="0"/>
          <w:type w:val="continuous"/>
        </w:sectPr>
      </w:pPr>
    </w:p>
    <w:p>
      <w:pPr>
        <w:spacing w:after="0" w:line="21" w:lineRule="exact"/>
        <w:rPr>
          <w:sz w:val="24"/>
          <w:szCs w:val="24"/>
          <w:color w:val="auto"/>
        </w:rPr>
      </w:pPr>
    </w:p>
    <w:p>
      <w:pPr>
        <w:ind w:left="68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400"/>
          </w:cols>
          <w:pgMar w:left="760" w:top="220" w:right="739" w:bottom="1440" w:gutter="0" w:footer="0" w:header="0"/>
          <w:type w:val="continuous"/>
        </w:sectPr>
      </w:pPr>
    </w:p>
    <w:p>
      <w:pPr>
        <w:spacing w:after="0" w:line="207" w:lineRule="exact"/>
        <w:rPr>
          <w:sz w:val="24"/>
          <w:szCs w:val="24"/>
          <w:color w:val="auto"/>
        </w:rPr>
      </w:pPr>
    </w:p>
    <w:p>
      <w:pPr>
        <w:ind w:right="12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p>
      <w:pPr>
        <w:ind w:left="320" w:right="1760"/>
        <w:spacing w:after="0" w:line="28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The number of outstanding shares of the registrant’s Common Stock, $.001 par value, was 214,438,549 as of April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141605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535940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0"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60" w:type="dxa"/>
            <w:vAlign w:val="bottom"/>
            <w:gridSpan w:val="23"/>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1000" w:type="dxa"/>
            <w:vAlign w:val="bottom"/>
          </w:tcPr>
          <w:p>
            <w:pPr>
              <w:spacing w:after="0"/>
              <w:rPr>
                <w:sz w:val="17"/>
                <w:szCs w:val="17"/>
                <w:color w:val="auto"/>
              </w:rPr>
            </w:pPr>
          </w:p>
        </w:tc>
      </w:tr>
      <w:tr>
        <w:trPr>
          <w:trHeight w:val="763"/>
        </w:trPr>
        <w:tc>
          <w:tcPr>
            <w:tcW w:w="5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9"/>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INCYTE CORPORATION</w:t>
            </w:r>
          </w:p>
        </w:tc>
        <w:tc>
          <w:tcPr>
            <w:tcW w:w="1000" w:type="dxa"/>
            <w:vAlign w:val="bottom"/>
          </w:tcPr>
          <w:p>
            <w:pPr>
              <w:spacing w:after="0"/>
              <w:rPr>
                <w:sz w:val="24"/>
                <w:szCs w:val="24"/>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gridSpan w:val="8"/>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338"/>
        </w:trPr>
        <w:tc>
          <w:tcPr>
            <w:tcW w:w="8060" w:type="dxa"/>
            <w:vAlign w:val="bottom"/>
            <w:gridSpan w:val="23"/>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3">
              <w:r>
                <w:rPr>
                  <w:rFonts w:ascii="Times New Roman" w:cs="Times New Roman" w:eastAsia="Times New Roman" w:hAnsi="Times New Roman"/>
                  <w:sz w:val="18"/>
                  <w:szCs w:val="18"/>
                  <w:b w:val="1"/>
                  <w:bCs w:val="1"/>
                  <w:color w:val="0000EE"/>
                </w:rPr>
                <w:t>FINANCIAL INFORMATION</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80" w:type="dxa"/>
            <w:vAlign w:val="bottom"/>
            <w:tcBorders>
              <w:top w:val="single" w:sz="8" w:color="0000EE"/>
            </w:tcBorders>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Item 1.</w:t>
              </w:r>
            </w:hyperlink>
          </w:p>
        </w:tc>
        <w:tc>
          <w:tcPr>
            <w:tcW w:w="16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940" w:type="dxa"/>
            <w:vAlign w:val="bottom"/>
            <w:gridSpan w:val="9"/>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0000EE"/>
            </w:tcBorders>
          </w:tcPr>
          <w:p>
            <w:pPr>
              <w:spacing w:after="0"/>
              <w:rPr>
                <w:sz w:val="24"/>
                <w:szCs w:val="24"/>
                <w:color w:val="auto"/>
              </w:rPr>
            </w:pPr>
          </w:p>
        </w:tc>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Condensed Consolidated Balance Sheets</w:t>
              </w:r>
            </w:hyperlink>
          </w:p>
        </w:tc>
        <w:tc>
          <w:tcPr>
            <w:tcW w:w="436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0000EE"/>
            </w:tcBorders>
          </w:tcPr>
          <w:p>
            <w:pPr>
              <w:spacing w:after="0"/>
              <w:rPr>
                <w:sz w:val="24"/>
                <w:szCs w:val="24"/>
                <w:color w:val="auto"/>
              </w:rPr>
            </w:pPr>
          </w:p>
        </w:tc>
        <w:tc>
          <w:tcPr>
            <w:tcW w:w="3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Condensed Consolidated Statements of Operations</w:t>
              </w:r>
            </w:hyperlink>
          </w:p>
        </w:tc>
        <w:tc>
          <w:tcPr>
            <w:tcW w:w="364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(Loss)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0000EE"/>
              <w:bottom w:val="single" w:sz="8" w:color="0000EE"/>
            </w:tcBorders>
          </w:tcPr>
          <w:p>
            <w:pPr>
              <w:spacing w:after="0"/>
              <w:rPr>
                <w:sz w:val="24"/>
                <w:szCs w:val="24"/>
                <w:color w:val="auto"/>
              </w:rPr>
            </w:pPr>
          </w:p>
        </w:tc>
        <w:tc>
          <w:tcPr>
            <w:tcW w:w="43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Condensed Consolidated Statements of Stockholders’ Equity</w:t>
              </w:r>
            </w:hyperlink>
          </w:p>
        </w:tc>
        <w:tc>
          <w:tcPr>
            <w:tcW w:w="680" w:type="dxa"/>
            <w:vAlign w:val="bottom"/>
            <w:tcBorders>
              <w:top w:val="single" w:sz="8" w:color="0000EE"/>
            </w:tcBorders>
          </w:tcPr>
          <w:p>
            <w:pPr>
              <w:spacing w:after="0"/>
              <w:rPr>
                <w:sz w:val="24"/>
                <w:szCs w:val="24"/>
                <w:color w:val="auto"/>
              </w:rPr>
            </w:pPr>
          </w:p>
        </w:tc>
        <w:tc>
          <w:tcPr>
            <w:tcW w:w="22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0000EE"/>
            </w:tcBorders>
          </w:tcPr>
          <w:p>
            <w:pPr>
              <w:spacing w:after="0"/>
              <w:rPr>
                <w:sz w:val="24"/>
                <w:szCs w:val="24"/>
                <w:color w:val="auto"/>
              </w:rPr>
            </w:pPr>
          </w:p>
        </w:tc>
        <w:tc>
          <w:tcPr>
            <w:tcW w:w="36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Condensed Consolidated Statements of Cash Flows</w:t>
              </w:r>
            </w:hyperlink>
          </w:p>
        </w:tc>
        <w:tc>
          <w:tcPr>
            <w:tcW w:w="358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0000EE"/>
            </w:tcBorders>
          </w:tcPr>
          <w:p>
            <w:pPr>
              <w:spacing w:after="0"/>
              <w:rPr>
                <w:sz w:val="24"/>
                <w:szCs w:val="24"/>
                <w:color w:val="auto"/>
              </w:rPr>
            </w:pPr>
          </w:p>
        </w:tc>
        <w:tc>
          <w:tcPr>
            <w:tcW w:w="3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Notes to Condensed Consolidated Financial Statements</w:t>
              </w:r>
            </w:hyperlink>
          </w:p>
        </w:tc>
        <w:tc>
          <w:tcPr>
            <w:tcW w:w="33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40" w:type="dxa"/>
            <w:vAlign w:val="bottom"/>
            <w:gridSpan w:val="5"/>
          </w:tcPr>
          <w:p>
            <w:pPr>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Item 2.</w:t>
              </w:r>
            </w:hyperlink>
          </w:p>
        </w:tc>
        <w:tc>
          <w:tcPr>
            <w:tcW w:w="60" w:type="dxa"/>
            <w:vAlign w:val="bottom"/>
          </w:tcPr>
          <w:p>
            <w:pPr>
              <w:spacing w:after="0"/>
              <w:rPr>
                <w:sz w:val="24"/>
                <w:szCs w:val="24"/>
                <w:color w:val="auto"/>
              </w:rPr>
            </w:pPr>
          </w:p>
        </w:tc>
        <w:tc>
          <w:tcPr>
            <w:tcW w:w="7260" w:type="dxa"/>
            <w:vAlign w:val="bottom"/>
            <w:gridSpan w:val="1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Item 3.</w:t>
              </w:r>
            </w:hyperlink>
          </w:p>
        </w:tc>
        <w:tc>
          <w:tcPr>
            <w:tcW w:w="60" w:type="dxa"/>
            <w:vAlign w:val="bottom"/>
          </w:tcPr>
          <w:p>
            <w:pPr>
              <w:spacing w:after="0"/>
              <w:rPr>
                <w:sz w:val="24"/>
                <w:szCs w:val="24"/>
                <w:color w:val="auto"/>
              </w:rPr>
            </w:pPr>
          </w:p>
        </w:tc>
        <w:tc>
          <w:tcPr>
            <w:tcW w:w="7260" w:type="dxa"/>
            <w:vAlign w:val="bottom"/>
            <w:gridSpan w:val="1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Times New Roman" w:cs="Times New Roman" w:eastAsia="Times New Roman" w:hAnsi="Times New Roman"/>
                <w:sz w:val="18"/>
                <w:szCs w:val="18"/>
                <w:b w:val="1"/>
                <w:bCs w:val="1"/>
                <w:color w:val="0000EE"/>
              </w:rPr>
            </w:pPr>
            <w:hyperlink w:anchor="page61">
              <w:r>
                <w:rPr>
                  <w:rFonts w:ascii="Times New Roman" w:cs="Times New Roman" w:eastAsia="Times New Roman" w:hAnsi="Times New Roman"/>
                  <w:sz w:val="18"/>
                  <w:szCs w:val="18"/>
                  <w:b w:val="1"/>
                  <w:bCs w:val="1"/>
                  <w:color w:val="0000EE"/>
                </w:rPr>
                <w:t>Item 4.</w:t>
              </w:r>
            </w:hyperlink>
          </w:p>
        </w:tc>
        <w:tc>
          <w:tcPr>
            <w:tcW w:w="60" w:type="dxa"/>
            <w:vAlign w:val="bottom"/>
          </w:tcPr>
          <w:p>
            <w:pPr>
              <w:spacing w:after="0"/>
              <w:rPr>
                <w:sz w:val="24"/>
                <w:szCs w:val="24"/>
                <w:color w:val="auto"/>
              </w:rPr>
            </w:pPr>
          </w:p>
        </w:tc>
        <w:tc>
          <w:tcPr>
            <w:tcW w:w="7260" w:type="dxa"/>
            <w:vAlign w:val="bottom"/>
            <w:gridSpan w:val="1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Controls and Procedures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8060" w:type="dxa"/>
            <w:vAlign w:val="bottom"/>
            <w:gridSpan w:val="23"/>
          </w:tcPr>
          <w:p>
            <w:pPr>
              <w:spacing w:after="0"/>
              <w:rPr>
                <w:rFonts w:ascii="Times New Roman" w:cs="Times New Roman" w:eastAsia="Times New Roman" w:hAnsi="Times New Roman"/>
                <w:sz w:val="18"/>
                <w:szCs w:val="18"/>
                <w:b w:val="1"/>
                <w:bCs w:val="1"/>
                <w:color w:val="0000EE"/>
              </w:rPr>
            </w:pPr>
            <w:hyperlink w:anchor="page62">
              <w:r>
                <w:rPr>
                  <w:rFonts w:ascii="Times New Roman" w:cs="Times New Roman" w:eastAsia="Times New Roman" w:hAnsi="Times New Roman"/>
                  <w:sz w:val="18"/>
                  <w:szCs w:val="18"/>
                  <w:b w:val="1"/>
                  <w:bCs w:val="1"/>
                  <w:color w:val="0000EE"/>
                </w:rPr>
                <w:t>PART II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62">
              <w:r>
                <w:rPr>
                  <w:rFonts w:ascii="Times New Roman" w:cs="Times New Roman" w:eastAsia="Times New Roman" w:hAnsi="Times New Roman"/>
                  <w:sz w:val="18"/>
                  <w:szCs w:val="18"/>
                  <w:b w:val="1"/>
                  <w:bCs w:val="1"/>
                  <w:color w:val="0000EE"/>
                </w:rPr>
                <w:t>OTHER INFORMATION</w:t>
              </w:r>
            </w:hyperlink>
          </w:p>
        </w:tc>
        <w:tc>
          <w:tcPr>
            <w:tcW w:w="100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Times New Roman" w:cs="Times New Roman" w:eastAsia="Times New Roman" w:hAnsi="Times New Roman"/>
                <w:sz w:val="18"/>
                <w:szCs w:val="18"/>
                <w:b w:val="1"/>
                <w:bCs w:val="1"/>
                <w:color w:val="0000EE"/>
                <w:w w:val="98"/>
              </w:rPr>
            </w:pPr>
            <w:hyperlink w:anchor="page62">
              <w:r>
                <w:rPr>
                  <w:rFonts w:ascii="Times New Roman" w:cs="Times New Roman" w:eastAsia="Times New Roman" w:hAnsi="Times New Roman"/>
                  <w:sz w:val="18"/>
                  <w:szCs w:val="18"/>
                  <w:b w:val="1"/>
                  <w:bCs w:val="1"/>
                  <w:color w:val="0000EE"/>
                  <w:w w:val="98"/>
                </w:rPr>
                <w:t>Item 1A.</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7"/>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Risk Factors</w:t>
              </w:r>
            </w:hyperlink>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2"/>
        </w:trPr>
        <w:tc>
          <w:tcPr>
            <w:tcW w:w="68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85">
              <w:r>
                <w:rPr>
                  <w:rFonts w:ascii="Times New Roman" w:cs="Times New Roman" w:eastAsia="Times New Roman" w:hAnsi="Times New Roman"/>
                  <w:sz w:val="18"/>
                  <w:szCs w:val="18"/>
                  <w:b w:val="1"/>
                  <w:bCs w:val="1"/>
                  <w:color w:val="0000EE"/>
                </w:rPr>
                <w:t>Item 6.</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Exhibits</w:t>
              </w:r>
            </w:hyperlink>
          </w:p>
        </w:tc>
        <w:tc>
          <w:tcPr>
            <w:tcW w:w="640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0000EE"/>
            </w:tcBorders>
          </w:tcPr>
          <w:p>
            <w:pPr>
              <w:spacing w:after="0"/>
              <w:rPr>
                <w:sz w:val="24"/>
                <w:szCs w:val="24"/>
                <w:color w:val="auto"/>
              </w:rPr>
            </w:pPr>
          </w:p>
        </w:tc>
        <w:tc>
          <w:tcPr>
            <w:tcW w:w="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2"/>
              </w:rPr>
            </w:pPr>
            <w:hyperlink w:anchor="page86">
              <w:r>
                <w:rPr>
                  <w:rFonts w:ascii="Times New Roman" w:cs="Times New Roman" w:eastAsia="Times New Roman" w:hAnsi="Times New Roman"/>
                  <w:sz w:val="18"/>
                  <w:szCs w:val="18"/>
                  <w:color w:val="0000EE"/>
                  <w:w w:val="92"/>
                </w:rPr>
                <w:t>Signatures</w:t>
              </w:r>
            </w:hyperlink>
          </w:p>
        </w:tc>
        <w:tc>
          <w:tcPr>
            <w:tcW w:w="6540" w:type="dxa"/>
            <w:vAlign w:val="bottom"/>
            <w:gridSpan w:val="14"/>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ind w:left="2380"/>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ind w:left="246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r>
      <w:tr>
        <w:trPr>
          <w:trHeight w:val="142"/>
        </w:trPr>
        <w:tc>
          <w:tcPr>
            <w:tcW w:w="2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1,299,704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securities—available-for-sale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307,598</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79,366</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1,832,254</w:t>
            </w:r>
          </w:p>
        </w:tc>
        <w:tc>
          <w:tcPr>
            <w:tcW w:w="1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319,751</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215,364</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2,754,161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2,645,762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103,827</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425,277</w:t>
            </w:r>
          </w:p>
        </w:tc>
        <w:tc>
          <w:tcPr>
            <w:tcW w:w="1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255,157</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180" w:type="dxa"/>
            <w:vAlign w:val="bottom"/>
            <w:tcBorders>
              <w:bottom w:val="single" w:sz="8" w:color="CCEEFF"/>
            </w:tcBorders>
          </w:tcPr>
          <w:p>
            <w:pPr>
              <w:spacing w:after="0"/>
              <w:rPr>
                <w:sz w:val="18"/>
                <w:szCs w:val="18"/>
                <w:color w:val="auto"/>
              </w:rPr>
            </w:pPr>
          </w:p>
        </w:tc>
      </w:tr>
      <w:tr>
        <w:trPr>
          <w:trHeight w:val="210"/>
        </w:trPr>
        <w:tc>
          <w:tcPr>
            <w:tcW w:w="6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719,795</w:t>
            </w:r>
          </w:p>
        </w:tc>
        <w:tc>
          <w:tcPr>
            <w:tcW w:w="180" w:type="dxa"/>
            <w:vAlign w:val="bottom"/>
            <w:shd w:val="clear" w:color="auto" w:fill="CCEEFF"/>
          </w:tcPr>
          <w:p>
            <w:pPr>
              <w:spacing w:after="0"/>
              <w:rPr>
                <w:sz w:val="18"/>
                <w:szCs w:val="18"/>
                <w:color w:val="auto"/>
              </w:rPr>
            </w:pPr>
          </w:p>
        </w:tc>
      </w:tr>
      <w:tr>
        <w:trPr>
          <w:trHeight w:val="210"/>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8"/>
        </w:trPr>
        <w:tc>
          <w:tcPr>
            <w:tcW w:w="66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none issued or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outstanding as of March 31, 2019 and December 31, 2018</w:t>
            </w: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shares authorized; 214,320,605 and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213,274,660 shares issued and outstanding as of March 31, 2019 and December 31,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2018, respectively</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20"/>
                <w:szCs w:val="20"/>
                <w:color w:val="auto"/>
              </w:rPr>
            </w:pPr>
          </w:p>
        </w:tc>
      </w:tr>
      <w:tr>
        <w:trPr>
          <w:trHeight w:val="216"/>
        </w:trPr>
        <w:tc>
          <w:tcPr>
            <w:tcW w:w="6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3,869,952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3,813,678</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(10,165)</w:t>
            </w:r>
          </w:p>
        </w:tc>
      </w:tr>
      <w:tr>
        <w:trPr>
          <w:trHeight w:val="216"/>
        </w:trPr>
        <w:tc>
          <w:tcPr>
            <w:tcW w:w="6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(1,877,759)</w:t>
            </w:r>
          </w:p>
        </w:tc>
        <w:tc>
          <w:tcPr>
            <w:tcW w:w="180" w:type="dxa"/>
            <w:vAlign w:val="bottom"/>
            <w:tcBorders>
              <w:bottom w:val="single" w:sz="8" w:color="CCEEFF"/>
            </w:tcBorders>
          </w:tcPr>
          <w:p>
            <w:pPr>
              <w:spacing w:after="0"/>
              <w:rPr>
                <w:sz w:val="18"/>
                <w:szCs w:val="18"/>
                <w:color w:val="auto"/>
              </w:rPr>
            </w:pPr>
          </w:p>
        </w:tc>
      </w:tr>
      <w:tr>
        <w:trPr>
          <w:trHeight w:val="210"/>
        </w:trPr>
        <w:tc>
          <w:tcPr>
            <w:tcW w:w="6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1,925,967</w:t>
            </w:r>
          </w:p>
        </w:tc>
        <w:tc>
          <w:tcPr>
            <w:tcW w:w="180" w:type="dxa"/>
            <w:vAlign w:val="bottom"/>
            <w:shd w:val="clear" w:color="auto" w:fill="CCEEFF"/>
          </w:tcPr>
          <w:p>
            <w:pPr>
              <w:spacing w:after="0"/>
              <w:rPr>
                <w:sz w:val="18"/>
                <w:szCs w:val="18"/>
                <w:color w:val="auto"/>
              </w:rPr>
            </w:pPr>
          </w:p>
        </w:tc>
      </w:tr>
      <w:tr>
        <w:trPr>
          <w:trHeight w:val="217"/>
        </w:trPr>
        <w:tc>
          <w:tcPr>
            <w:tcW w:w="6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2,754,161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2,645,762</w:t>
            </w:r>
          </w:p>
        </w:tc>
        <w:tc>
          <w:tcPr>
            <w:tcW w:w="18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1" w:lineRule="exact"/>
        <w:rPr>
          <w:sz w:val="20"/>
          <w:szCs w:val="20"/>
          <w:color w:val="auto"/>
        </w:rPr>
      </w:pPr>
    </w:p>
    <w:p>
      <w:pPr>
        <w:ind w:left="200" w:hanging="197"/>
        <w:spacing w:after="0"/>
        <w:tabs>
          <w:tab w:leader="none" w:pos="2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at December 31, 2018 has been derived from the audited financial statements at that date.</w:t>
      </w:r>
    </w:p>
    <w:p>
      <w:pPr>
        <w:spacing w:after="0" w:line="23" w:lineRule="exact"/>
        <w:rPr>
          <w:rFonts w:ascii="Times New Roman" w:cs="Times New Roman" w:eastAsia="Times New Roman" w:hAnsi="Times New Roman"/>
          <w:sz w:val="16"/>
          <w:szCs w:val="16"/>
          <w:color w:val="auto"/>
        </w:rPr>
      </w:pPr>
    </w:p>
    <w:p>
      <w:pPr>
        <w:ind w:left="3720"/>
        <w:spacing w:after="0" w:line="2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accompanying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45"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revenues, net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396,249</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334,505</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47,716</w:t>
            </w: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497,857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382,282</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303,103</w:t>
            </w: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121,498</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acquisition-related contingent consideration</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423,787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449,392</w:t>
            </w:r>
          </w:p>
        </w:tc>
        <w:tc>
          <w:tcPr>
            <w:tcW w:w="180" w:type="dxa"/>
            <w:vAlign w:val="bottom"/>
            <w:shd w:val="clear" w:color="auto" w:fill="CCEEFF"/>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(67,110)</w:t>
            </w: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gain on long term investments</w:t>
            </w: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8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(40,354)</w:t>
            </w:r>
          </w:p>
        </w:tc>
      </w:tr>
      <w:tr>
        <w:trPr>
          <w:trHeight w:val="216"/>
        </w:trPr>
        <w:tc>
          <w:tcPr>
            <w:tcW w:w="6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(41,140)</w:t>
            </w:r>
          </w:p>
        </w:tc>
      </w:tr>
      <w:tr>
        <w:trPr>
          <w:trHeight w:val="216"/>
        </w:trPr>
        <w:tc>
          <w:tcPr>
            <w:tcW w:w="6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6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211,681</w:t>
            </w:r>
          </w:p>
        </w:tc>
        <w:tc>
          <w:tcPr>
            <w:tcW w:w="180" w:type="dxa"/>
            <w:vAlign w:val="bottom"/>
            <w:shd w:val="clear" w:color="auto" w:fill="CCEEFF"/>
          </w:tcPr>
          <w:p>
            <w:pPr>
              <w:spacing w:after="0"/>
              <w:rPr>
                <w:sz w:val="18"/>
                <w:szCs w:val="18"/>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211,681</w:t>
            </w:r>
          </w:p>
        </w:tc>
        <w:tc>
          <w:tcPr>
            <w:tcW w:w="180" w:type="dxa"/>
            <w:vAlign w:val="bottom"/>
          </w:tcPr>
          <w:p>
            <w:pPr>
              <w:spacing w:after="0"/>
              <w:rPr>
                <w:sz w:val="20"/>
                <w:szCs w:val="20"/>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5"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(41,140)</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Defined benefit pension obligations, net of tax</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103,230</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(41,499)</w:t>
            </w:r>
          </w:p>
        </w:tc>
      </w:tr>
      <w:tr>
        <w:trPr>
          <w:trHeight w:val="365"/>
        </w:trPr>
        <w:tc>
          <w:tcPr>
            <w:tcW w:w="6120" w:type="dxa"/>
            <w:vAlign w:val="bottom"/>
            <w:tcBorders>
              <w:top w:val="single" w:sz="8" w:color="CCEEFF"/>
            </w:tcBorders>
          </w:tcPr>
          <w:p>
            <w:pPr>
              <w:ind w:left="3620"/>
              <w:spacing w:after="0"/>
              <w:rPr>
                <w:sz w:val="20"/>
                <w:szCs w:val="20"/>
                <w:color w:val="auto"/>
              </w:rPr>
            </w:pPr>
            <w:r>
              <w:rPr>
                <w:rFonts w:ascii="Times New Roman" w:cs="Times New Roman" w:eastAsia="Times New Roman" w:hAnsi="Times New Roman"/>
                <w:sz w:val="18"/>
                <w:szCs w:val="18"/>
                <w:color w:val="auto"/>
              </w:rPr>
              <w:t>See accompanying notes.</w:t>
            </w:r>
          </w:p>
        </w:tc>
        <w:tc>
          <w:tcPr>
            <w:tcW w:w="6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621"/>
        </w:trPr>
        <w:tc>
          <w:tcPr>
            <w:tcW w:w="612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6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(1,990,005)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623,709 shares of Common Stock</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upon exercise of stock options and settlement of</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employee restricted stock units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1,032 shares of Common Stock for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539 shares of Common Stock upon</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Senior Notes due 2018</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Adoption of ASU No. 2016-01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(41,140)</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3,666,346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1,628,044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3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6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3,813,678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(1,877,759)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1,925,967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1,044,745 shares of Common Stock</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upon exercise of stock options and settlement of</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employee restricted stock units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1,200 shares of Common Stock for</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ASU No. 2016-02 (Note 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3,869,952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(1,775,352)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(unaudited, in thousands)</w:t>
      </w:r>
    </w:p>
    <w:tbl>
      <w:tblPr>
        <w:tblLayout w:type="fixed"/>
        <w:tblInd w:w="0" w:type="dxa"/>
        <w:tblCellMar>
          <w:top w:w="0" w:type="dxa"/>
          <w:left w:w="0" w:type="dxa"/>
          <w:bottom w:w="0" w:type="dxa"/>
          <w:right w:w="0" w:type="dxa"/>
        </w:tblCellMar>
      </w:tblPr>
      <w:tr>
        <w:trPr>
          <w:trHeight w:val="131"/>
        </w:trPr>
        <w:tc>
          <w:tcPr>
            <w:tcW w:w="7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0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(41,140)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long 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(22,679)</w:t>
            </w: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acquisition-related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(18,922)</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(33,464)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(21,930)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(7,273)</w:t>
            </w:r>
          </w:p>
        </w:tc>
      </w:tr>
      <w:tr>
        <w:trPr>
          <w:trHeight w:val="210"/>
        </w:trPr>
        <w:tc>
          <w:tcPr>
            <w:tcW w:w="70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long 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(8,937)</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(18,267)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(38,033)</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 and maturities of marketable securities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00" w:type="dxa"/>
            <w:vAlign w:val="bottom"/>
            <w:tcBorders>
              <w:bottom w:val="single" w:sz="8" w:color="CCEEFF"/>
            </w:tcBorders>
          </w:tcPr>
          <w:p>
            <w:pPr>
              <w:spacing w:after="0"/>
              <w:rPr>
                <w:sz w:val="18"/>
                <w:szCs w:val="18"/>
                <w:color w:val="auto"/>
              </w:rPr>
            </w:pPr>
          </w:p>
        </w:tc>
      </w:tr>
      <w:tr>
        <w:trPr>
          <w:trHeight w:val="210"/>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w:t>
            </w:r>
          </w:p>
        </w:tc>
        <w:tc>
          <w:tcPr>
            <w:tcW w:w="100" w:type="dxa"/>
            <w:vAlign w:val="bottom"/>
            <w:shd w:val="clear" w:color="auto" w:fill="CCEEFF"/>
          </w:tcPr>
          <w:p>
            <w:pPr>
              <w:spacing w:after="0"/>
              <w:rPr>
                <w:sz w:val="18"/>
                <w:szCs w:val="18"/>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bottom w:val="single" w:sz="8" w:color="CCEEFF"/>
            </w:tcBorders>
          </w:tcPr>
          <w:p>
            <w:pPr>
              <w:spacing w:after="0"/>
              <w:rPr>
                <w:sz w:val="18"/>
                <w:szCs w:val="18"/>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restricted cash and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restricted cash and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900,434</w:t>
            </w:r>
          </w:p>
        </w:tc>
        <w:tc>
          <w:tcPr>
            <w:tcW w:w="100" w:type="dxa"/>
            <w:vAlign w:val="bottom"/>
            <w:shd w:val="clear" w:color="auto" w:fill="CCEEFF"/>
          </w:tcPr>
          <w:p>
            <w:pPr>
              <w:spacing w:after="0"/>
              <w:rPr>
                <w:sz w:val="18"/>
                <w:szCs w:val="18"/>
                <w:color w:val="auto"/>
              </w:rPr>
            </w:pPr>
          </w:p>
        </w:tc>
      </w:tr>
      <w:tr>
        <w:trPr>
          <w:trHeight w:val="217"/>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1,300,699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895,374</w:t>
            </w:r>
          </w:p>
        </w:tc>
        <w:tc>
          <w:tcPr>
            <w:tcW w:w="100" w:type="dxa"/>
            <w:vAlign w:val="bottom"/>
            <w:tcBorders>
              <w:bottom w:val="single" w:sz="8" w:color="CCEEFF"/>
            </w:tcBorders>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Cash Flow Information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198"/>
        </w:trPr>
        <w:tc>
          <w:tcPr>
            <w:tcW w:w="7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common stock and additional paid in capital in connection with conversions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0.375% convertible senior notes due 2018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March 31, 2019</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p>
      <w:pPr>
        <w:ind w:left="360" w:hanging="357"/>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76" w:lineRule="exact"/>
        <w:rPr>
          <w:sz w:val="20"/>
          <w:szCs w:val="20"/>
          <w:color w:val="auto"/>
        </w:rPr>
      </w:pPr>
    </w:p>
    <w:p>
      <w:pPr>
        <w:ind w:left="660" w:right="5400" w:hanging="657"/>
        <w:spacing w:after="0" w:line="503" w:lineRule="auto"/>
        <w:tabs>
          <w:tab w:leader="none" w:pos="37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2019, the condensed consolidated statements of operations, comprehensive income (loss), stockholders’ equity, and cash flows for the three months ended March 31, 2019 and 2018,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2018 has been derived from audited financial statements.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2018.</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our wholly owned subsidiaries. All inter-company accounts, transactions, and profits have been eliminated in consolidation.</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 Operations in non-U.S. entities are recorded in the functional currency of each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Cash, cash equivalents, marketable securities, and trade receivables 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 one type of investment,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held in banks or in custodial accounts with banks.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are defined as all liquid investments and money market funds with maturity from date of purchase of 90 days or less that are readily convertible into cash.</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Marketable Securities—Available-for-Sale. </w:t>
      </w:r>
      <w:r>
        <w:rPr>
          <w:rFonts w:ascii="Times New Roman" w:cs="Times New Roman" w:eastAsia="Times New Roman" w:hAnsi="Times New Roman"/>
          <w:sz w:val="18"/>
          <w:szCs w:val="18"/>
          <w:color w:val="auto"/>
        </w:rPr>
        <w:t>Our marketable securities consist of investments in corporate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March 31, 2019 and December 31, 2018, we had a de minimis allowance for doubtful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determined at the lower of cost and net realizable value with cost determined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identification method and may consist of raw materials, work in process and finished goods.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JAKAFI raw materials and work-in-process inventory is not subject to expiration and the shelf life of finished goods inventory is 36 months from the start of manufacturing of the finished goods. ICLUSIG raw materials and work-in-process inventory is not subject to expiration and finished goods inventory has a shelf life of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We perform an initial and ongoing evaluation of the entities with which we have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March 31, 2019, there were no entities in which we held a variable interest which we determined to be VIEs.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 Term Investments. </w:t>
      </w:r>
      <w:r>
        <w:rPr>
          <w:rFonts w:ascii="Times New Roman" w:cs="Times New Roman" w:eastAsia="Times New Roman" w:hAnsi="Times New Roman"/>
          <w:sz w:val="18"/>
          <w:szCs w:val="18"/>
          <w:color w:val="auto"/>
        </w:rPr>
        <w:t>Our long term investments consist of equity investments in common stock of publicly-held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whom we have entered into collaboration and license agreements. We classify all of our equity investments in common stock of publicly-held companies as long term investments on the condensed consolidated balance sheets. Our equity investments are accounted for at fair value using readily determinable pricing available on a securities exchange on the condensed consolidated balance sheets. All changes in fair value are reported in the condensed consolidated statements of operations as an unrealized gain (loss) on long term investments.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business relationship. Currently, none of our equity investments in publicly-held companies are considered relationships in which we are able to assert control.</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Property and equipment, net is stated at cost, less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Lease Accounting. </w:t>
      </w:r>
      <w:r>
        <w:rPr>
          <w:rFonts w:ascii="Times New Roman" w:cs="Times New Roman" w:eastAsia="Times New Roman" w:hAnsi="Times New Roman"/>
          <w:sz w:val="18"/>
          <w:szCs w:val="18"/>
          <w:color w:val="auto"/>
        </w:rPr>
        <w:t>The new accounting standard for leases, Accounting Standard Codification (“ASC”)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was adopted for the fiscal year beginning on January 1, 2019. Per the new standard, all leases with a lease term greater than 12 months, regardless of lease type classification, are recorded as an obligation on the balance sheet with a corresponding right-of-use asset. Under the prior leasing standard, only contracts assessed as capital leases were recorded on the balance sheet. Both finance and operating leases are reflected as liabilities on the commencement date of the lease based on the present value of the lease payments to be made over the lease term. The current lease liabilities are reflected in accrued and other current liabilities and the noncurrent lease liabilities are reflected in other liabilities on the condensed consolidated balance sheet. Right-of-use assets are valued at the initial measurement of the lease liability, plus any initial direct costs or rent prepayments and reduced by any lease incentives and any deferred lease payments. These assets are recorded in property and equipment, net on the condensed consolidated balance sheet and are amortized over the lease term. For operating leases, the expense recognition is similar to that of operating leases under ASC 840, with a single lease cost recognized on a straight-line basis. For finance leases, the expense recognition is similar to that of capital leases under ASC 840, with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whether a contract contains a lease, asset and service agreements are assessed at onset and upon modification for criteria of specifically identified assets, control and economic benefit.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net. </w:t>
      </w:r>
      <w:r>
        <w:rPr>
          <w:rFonts w:ascii="Times New Roman" w:cs="Times New Roman" w:eastAsia="Times New Roman" w:hAnsi="Times New Roman"/>
          <w:sz w:val="18"/>
          <w:szCs w:val="18"/>
          <w:color w:val="auto"/>
        </w:rPr>
        <w:t>Other intangible assets, net consist of licensed intellectual property rights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are reported at acquisition date fair value, less accumulated amortization. Intangible assets with finite lives are amortized over their estimated useful lives using the straight-line method.</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with finite lives are tested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calculated as the difference between the acquisition date fair value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2018 and determined that the carrying value of our goodwill was not impaired.</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which requires the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Costs Related to Long-term Debt. </w:t>
      </w:r>
      <w:r>
        <w:rPr>
          <w:rFonts w:ascii="Times New Roman" w:cs="Times New Roman" w:eastAsia="Times New Roman" w:hAnsi="Times New Roman"/>
          <w:sz w:val="18"/>
          <w:szCs w:val="18"/>
          <w:color w:val="auto"/>
        </w:rPr>
        <w:t>Costs associated with obtaining long-term debt are deferred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 Accounting. </w:t>
      </w:r>
      <w:r>
        <w:rPr>
          <w:rFonts w:ascii="Times New Roman" w:cs="Times New Roman" w:eastAsia="Times New Roman" w:hAnsi="Times New Roman"/>
          <w:sz w:val="18"/>
          <w:szCs w:val="18"/>
          <w:color w:val="auto"/>
        </w:rPr>
        <w:t>Grant amounts received from government agencies for operations are deferred and are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condensed consolidated balance sheets.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w:t>
      </w:r>
      <w:r>
        <w:rPr>
          <w:rFonts w:ascii="Times New Roman" w:cs="Times New Roman" w:eastAsia="Times New Roman" w:hAnsi="Times New Roman"/>
          <w:sz w:val="18"/>
          <w:szCs w:val="18"/>
          <w:color w:val="auto"/>
        </w:rPr>
        <w:t>Our basic and diluted net income (loss) per share is calculated by dividing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Income (Loss). </w:t>
      </w:r>
      <w:r>
        <w:rPr>
          <w:rFonts w:ascii="Times New Roman" w:cs="Times New Roman" w:eastAsia="Times New Roman" w:hAnsi="Times New Roman"/>
          <w:sz w:val="18"/>
          <w:szCs w:val="18"/>
          <w:color w:val="auto"/>
        </w:rPr>
        <w:t>Accumulated other comprehensive income (loss)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or losses on marketable securities that are classified as available-for-sale, foreign currency translation gains or losses and defined benefit pension obligations.</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new accounting standard for the recognition of revenue,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Overall, the adoption of the new standard did not significantly alter our methodology for recognition of revenue.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At March 31, 2019 and December 31, 2018, $69.4 million and $44.8 million, respectively, of accrued sales allowances were included in accrued and other current liabilities on the condensed consolidated balance sheets. Product shipping and handling costs are included in cost of product revenues.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Allowances for rebates include mandated discounts under the Medicaid Drug Rebate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which currently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Royalty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JAKAFI related product costs as well as ICLUSIG related product costs. The acquired ICLUSIG inventories were recorded at fair value less costs to sell in connection with our June 2016 acquisition of ARIAD Pharmaceuticals (Luxembourg) S.à.r.l., since renamed Incyte Biosciences Luxembourg S.à.r.l. (the “Acquisition”).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Contract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Our license agreements, which fall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Some contracts form collaborative arrangements of various types with third-parties. We assess whether the nature of the arrangement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Our policy is to expense research and development costs as incurred. We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term Incentive Plans. </w:t>
      </w:r>
      <w:r>
        <w:rPr>
          <w:rFonts w:ascii="Times New Roman" w:cs="Times New Roman" w:eastAsia="Times New Roman" w:hAnsi="Times New Roman"/>
          <w:sz w:val="18"/>
          <w:szCs w:val="18"/>
          <w:color w:val="auto"/>
        </w:rPr>
        <w:t>We have long term incentive plans which provide eligible employees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royalty and certain potential milestone obligations to Takeda Pharmaceutical Company Limited, which acquired ARIAD (“Takeda”), is recorded on the acquisition date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remeasured each reporting period, with changes in fair value recorded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utilizing the optional transition method as defined within ASU No. 2018-11. Accordingly, prior periods will not be restated to reflect the adopted standard. For lease agreements entered into or reassessed after the adoption of ASC 842, we combine lease and nonlease components. We did not elect the hindsight expedient.</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adoption on January 1, 2019, we recorded $23.6 million of lease right-of-use assets, $23.7 million of lease liabilities and an adjustment to retained earnings of $0.1 million. In addition, our capital lease assets and liabilities are now classified as finance lease right-of-use assets and liabilities. The capital asset and financing liability of $18.7 million recorded in 2018 related to the Morges office building and construction, described more fully in Note 7, was derecognized upon adoption. In accordance with the transition provisions in ASC 842, we reassessed the Morges lease as of the adoption date and we concluded that we did not have control of the construction project at that time. We will reassess the Morges lease for lease accounting and classification at the point in time in which we take possession of the leased asset, which is anticipated to occur in the second half of 2019. The adoption of the standard did not materially impact our consolidated net income and had no impact on our consolidated cash flows.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For available-for-sale debt securities, entities will be required to recognize an allowance for credit losses rather than a reduction to the carrying value of the asset. For trade receivables, loans and held-to-maturity debt securities, entities will be required to estimate lifetime expected credit losses. This guidance is effective for fiscal years beginning after December 15, 2019 and interim periods therein. Early adoption is permitted for annual periods beginning after December 15, 2018 and interim periods therein. We are currently analyzing the impact of ASU No. 2016-13 on the condensed consolidated financial statements.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condensed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General,” an update to Subtopic ASC 715-20. The guidance amended year-end disclosure requirements related to defined benefit pension plans, and does not affect interim disclosures. The guidance is effective for fiscal years ending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the condensed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SEC issued a final rule Release No. 33-10532, “Disclosure Update and Simplification,” to amend certain disclosure requirements now seen as redundant, duplicative, overlapping, outdated or superseded in wake of recent accounting pronouncements. The amended rules became effective November 5, 2018. We analyzed the release in preparation of this Form 10-Q, which resulted in the additional disclosure of changes to stockholders’ equity during interim periods, as presented within this Form 10-Q within the condensed consolidated statements of stockholders’ equity. We note that many of the amended requirements under this Release are not applicable to the Company, as we do not make dividend payments to stockholders, currently report our activities under a single business segment, and already provided all other significant disclosure requirements.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agreements footnote and are currently analyzing the impact of ASU No. 2018-18 on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360" w:hanging="357"/>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Note 2,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The new standard was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The effect of applying this practical expedient did not result in material differences. Overall, the adoption of the new standard did not significantly alter our methodology for recognition of revenue.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9"/>
        </w:trPr>
        <w:tc>
          <w:tcPr>
            <w:tcW w:w="3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8"/>
                <w:szCs w:val="18"/>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1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375,611</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313,720</w:t>
            </w:r>
          </w:p>
        </w:tc>
        <w:tc>
          <w:tcPr>
            <w:tcW w:w="26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1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20,785</w:t>
            </w:r>
          </w:p>
        </w:tc>
        <w:tc>
          <w:tcPr>
            <w:tcW w:w="260" w:type="dxa"/>
            <w:vAlign w:val="bottom"/>
            <w:tcBorders>
              <w:bottom w:val="single" w:sz="8" w:color="CCEEFF"/>
            </w:tcBorders>
          </w:tcPr>
          <w:p>
            <w:pPr>
              <w:spacing w:after="0"/>
              <w:rPr>
                <w:sz w:val="19"/>
                <w:szCs w:val="19"/>
                <w:color w:val="auto"/>
              </w:rPr>
            </w:pPr>
          </w:p>
        </w:tc>
      </w:tr>
      <w:tr>
        <w:trPr>
          <w:trHeight w:val="22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396,249</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334,505</w:t>
            </w:r>
          </w:p>
        </w:tc>
        <w:tc>
          <w:tcPr>
            <w:tcW w:w="260" w:type="dxa"/>
            <w:vAlign w:val="bottom"/>
            <w:shd w:val="clear" w:color="auto" w:fill="CCEEFF"/>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45,571</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41,337</w:t>
            </w:r>
          </w:p>
        </w:tc>
        <w:tc>
          <w:tcPr>
            <w:tcW w:w="260" w:type="dxa"/>
            <w:vAlign w:val="bottom"/>
          </w:tcPr>
          <w:p>
            <w:pPr>
              <w:spacing w:after="0"/>
              <w:rPr>
                <w:sz w:val="19"/>
                <w:szCs w:val="19"/>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1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2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260" w:type="dxa"/>
            <w:vAlign w:val="bottom"/>
            <w:shd w:val="clear" w:color="auto" w:fill="CCEEFF"/>
          </w:tcPr>
          <w:p>
            <w:pPr>
              <w:spacing w:after="0"/>
              <w:rPr>
                <w:sz w:val="19"/>
                <w:szCs w:val="19"/>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61,608</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47,716</w:t>
            </w:r>
          </w:p>
        </w:tc>
        <w:tc>
          <w:tcPr>
            <w:tcW w:w="260" w:type="dxa"/>
            <w:vAlign w:val="bottom"/>
          </w:tcPr>
          <w:p>
            <w:pPr>
              <w:spacing w:after="0"/>
              <w:rPr>
                <w:sz w:val="19"/>
                <w:szCs w:val="19"/>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CCEEFF"/>
            </w:tcBorders>
          </w:tcPr>
          <w:p>
            <w:pPr>
              <w:spacing w:after="0"/>
              <w:rPr>
                <w:sz w:val="19"/>
                <w:szCs w:val="19"/>
                <w:color w:val="auto"/>
              </w:rPr>
            </w:pPr>
          </w:p>
        </w:tc>
      </w:tr>
      <w:tr>
        <w:trPr>
          <w:trHeight w:val="21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497,857</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382,282</w:t>
            </w:r>
          </w:p>
        </w:tc>
        <w:tc>
          <w:tcPr>
            <w:tcW w:w="2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revenue-generating contracts, refer to our license agreements footnote.</w:t>
      </w:r>
    </w:p>
    <w:p>
      <w:pPr>
        <w:spacing w:after="0" w:line="235" w:lineRule="exact"/>
        <w:rPr>
          <w:sz w:val="20"/>
          <w:szCs w:val="20"/>
          <w:color w:val="auto"/>
        </w:rPr>
      </w:pPr>
    </w:p>
    <w:p>
      <w:pPr>
        <w:ind w:left="360" w:hanging="357"/>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Level 2—Valuations based on observable inputs and quoted prices in active markets for similar assets and liabilities.</w:t>
      </w:r>
    </w:p>
    <w:p>
      <w:pPr>
        <w:spacing w:after="0" w:line="23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marketable securities consist of investments in corporate debt securities and U.S. government securities that are classified as available-for-sale.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our Level 2 corporate debt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recognize transfers into and transfers out of fair value hierarchy levels as of the end of the reporting period. There were no transfers out of or in to hierarchy levels during the three months ended March 31, 2019.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 (Note 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1,419,892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 (Note 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1,263,179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Borders>
              <w:bottom w:val="single" w:sz="8" w:color="auto"/>
            </w:tcBorders>
            <w:gridSpan w:val="1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0" w:type="dxa"/>
            <w:vAlign w:val="bottom"/>
          </w:tcPr>
          <w:p>
            <w:pPr>
              <w:spacing w:after="0"/>
              <w:rPr>
                <w:sz w:val="10"/>
                <w:szCs w:val="10"/>
                <w:color w:val="auto"/>
              </w:rPr>
            </w:pPr>
          </w:p>
        </w:tc>
        <w:tc>
          <w:tcPr>
            <w:tcW w:w="116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60" w:type="dxa"/>
            <w:vAlign w:val="bottom"/>
          </w:tcPr>
          <w:p>
            <w:pPr>
              <w:spacing w:after="0"/>
              <w:rPr>
                <w:sz w:val="12"/>
                <w:szCs w:val="12"/>
                <w:color w:val="auto"/>
              </w:rPr>
            </w:pPr>
          </w:p>
        </w:tc>
        <w:tc>
          <w:tcPr>
            <w:tcW w:w="11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9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60" w:type="dxa"/>
            <w:vAlign w:val="bottom"/>
          </w:tcPr>
          <w:p>
            <w:pPr>
              <w:spacing w:after="0"/>
              <w:rPr>
                <w:sz w:val="12"/>
                <w:szCs w:val="12"/>
                <w:color w:val="auto"/>
              </w:rPr>
            </w:pPr>
          </w:p>
        </w:tc>
        <w:tc>
          <w:tcPr>
            <w:tcW w:w="86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287,001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0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The following is a rollforward of our Level 3 liabilities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287,001</w:t>
            </w: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using an income approach based on projected ICLUSIG revenues in the European Union and other countries for the approved third line treatment and discount rates. The fair value of the contingent consideration is remeasured each reporting period, with changes in fair value recorded in the condensed consolidated statements of operations. The change in fair value of the contingent consideration during the three months ended March 31, 2019 was due primarily to the passage of time as there were no other significant changes in the key assumptions during the period.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make payments to Takeda quarterly based on the royalties or any additional milestone payments earned in the previous quarter. At March 31, 2019 and December 31, 2018, contingent consideration earned but not yet paid was $6.7 million and $13.2 million, respectively. Royalties earned in the first quarter of 2019 of $6.7 million were included in accrued and other current liabilities at March 31, 2019. Royalties earned in the third quarter of 2018 of $6.7 million were included in accounts payable and the royalties earned in the fourth quarter of 2018 of $6.5 million were included in accrued and other current liabilities at December 31, 2018.</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2019</w:t>
            </w:r>
          </w:p>
        </w:tc>
        <w:tc>
          <w:tcPr>
            <w:tcW w:w="1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$ 281,701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$ 281,320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(corporate and government)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$ 275,405</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debt securities generally have contractual maturity dates of between 12 to 18 months.</w:t>
      </w:r>
    </w:p>
    <w:p>
      <w:pPr>
        <w:spacing w:after="0" w:line="221" w:lineRule="exact"/>
        <w:rPr>
          <w:sz w:val="20"/>
          <w:szCs w:val="20"/>
          <w:color w:val="auto"/>
        </w:rPr>
      </w:pPr>
    </w:p>
    <w:p>
      <w:pPr>
        <w:ind w:left="360" w:hanging="357"/>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In November 2009, we entered into a collaboration and license agreement with Novartis. In December 2018, we entered into a research collaboration and licensing agreement with Innovent Biologics, Inc. (“Innovent”). The concentration of credit risk related to our collaborative partners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6220" w:type="dxa"/>
            <w:vAlign w:val="bottom"/>
          </w:tcPr>
          <w:p>
            <w:pPr>
              <w:spacing w:after="0"/>
              <w:rPr>
                <w:sz w:val="12"/>
                <w:szCs w:val="12"/>
                <w:color w:val="auto"/>
              </w:rPr>
            </w:pPr>
          </w:p>
        </w:tc>
        <w:tc>
          <w:tcPr>
            <w:tcW w:w="284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Milestone and Contract Revenues for the</w:t>
            </w:r>
          </w:p>
        </w:tc>
      </w:tr>
      <w:tr>
        <w:trPr>
          <w:trHeight w:val="173"/>
        </w:trPr>
        <w:tc>
          <w:tcPr>
            <w:tcW w:w="62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Partner A</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Partner B</w:t>
            </w:r>
          </w:p>
        </w:tc>
        <w:tc>
          <w:tcPr>
            <w:tcW w:w="14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Partner C</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Collaboration Partners A, B and C comprised, in aggregate, 26% and 42% of the accounts receivable balance as of March 31, 2019 and December 31, 2018,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4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 of Total Net</w:t>
            </w:r>
          </w:p>
        </w:tc>
      </w:tr>
      <w:tr>
        <w:trPr>
          <w:trHeight w:val="149"/>
        </w:trPr>
        <w:tc>
          <w:tcPr>
            <w:tcW w:w="6640" w:type="dxa"/>
            <w:vAlign w:val="bottom"/>
          </w:tcPr>
          <w:p>
            <w:pPr>
              <w:spacing w:after="0"/>
              <w:rPr>
                <w:sz w:val="12"/>
                <w:szCs w:val="12"/>
                <w:color w:val="auto"/>
              </w:rPr>
            </w:pPr>
          </w:p>
        </w:tc>
        <w:tc>
          <w:tcPr>
            <w:tcW w:w="242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Product Revenues for the</w:t>
            </w:r>
          </w:p>
        </w:tc>
      </w:tr>
      <w:tr>
        <w:trPr>
          <w:trHeight w:val="173"/>
        </w:trPr>
        <w:tc>
          <w:tcPr>
            <w:tcW w:w="6640" w:type="dxa"/>
            <w:vAlign w:val="bottom"/>
          </w:tcPr>
          <w:p>
            <w:pPr>
              <w:spacing w:after="0"/>
              <w:rPr>
                <w:sz w:val="15"/>
                <w:szCs w:val="15"/>
                <w:color w:val="auto"/>
              </w:rPr>
            </w:pPr>
          </w:p>
        </w:tc>
        <w:tc>
          <w:tcPr>
            <w:tcW w:w="1860" w:type="dxa"/>
            <w:vAlign w:val="bottom"/>
            <w:tcBorders>
              <w:bottom w:val="single" w:sz="8" w:color="auto"/>
            </w:tcBorders>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80" w:type="dxa"/>
            <w:vAlign w:val="bottom"/>
          </w:tcPr>
          <w:p>
            <w:pPr>
              <w:spacing w:after="0"/>
              <w:rPr>
                <w:sz w:val="18"/>
                <w:szCs w:val="18"/>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shd w:val="clear" w:color="auto" w:fill="CCEEFF"/>
          </w:tcPr>
          <w:p>
            <w:pPr>
              <w:spacing w:after="0"/>
              <w:rPr>
                <w:sz w:val="18"/>
                <w:szCs w:val="18"/>
                <w:color w:val="auto"/>
              </w:rPr>
            </w:pPr>
          </w:p>
        </w:tc>
      </w:t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680" w:type="dxa"/>
            <w:vAlign w:val="bottom"/>
          </w:tcPr>
          <w:p>
            <w:pPr>
              <w:spacing w:after="0"/>
              <w:rPr>
                <w:sz w:val="20"/>
                <w:szCs w:val="20"/>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0"/>
                <w:szCs w:val="20"/>
                <w:color w:val="auto"/>
              </w:rPr>
            </w:pPr>
          </w:p>
        </w:tc>
      </w:tr>
    </w:tbl>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and D comprised, in aggregate, 37% and 30% of the accounts receivable balance as of March 31, 2019 and December 31, 2018,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concentration of credit risk relating to ICLUSIG product revenues or accounts receivable is not significant.</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4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4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Inventories-current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40" w:type="dxa"/>
            <w:vAlign w:val="bottom"/>
            <w:shd w:val="clear" w:color="auto" w:fill="CCEEFF"/>
          </w:tcPr>
          <w:p>
            <w:pPr>
              <w:spacing w:after="0"/>
              <w:rPr>
                <w:sz w:val="18"/>
                <w:szCs w:val="18"/>
                <w:color w:val="auto"/>
              </w:rPr>
            </w:pPr>
          </w:p>
        </w:tc>
      </w:tr>
      <w:tr>
        <w:trPr>
          <w:trHeight w:val="21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40" w:type="dxa"/>
            <w:vAlign w:val="bottom"/>
          </w:tcPr>
          <w:p>
            <w:pPr>
              <w:spacing w:after="0"/>
              <w:rPr>
                <w:sz w:val="18"/>
                <w:szCs w:val="18"/>
                <w:color w:val="auto"/>
              </w:rPr>
            </w:pPr>
          </w:p>
        </w:tc>
      </w:tr>
    </w:tbl>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March 31, 2019, $7.1 million of inventory was classified as current on the condensed consolidated balance sheet as we expect this inventory to be consumed for commercial use within the next twelve months. At March 31, 2019, $3.9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65,576</w:t>
            </w:r>
          </w:p>
        </w:tc>
        <w:tc>
          <w:tcPr>
            <w:tcW w:w="12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422,982</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(113,457)</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(103,231)</w:t>
            </w:r>
          </w:p>
        </w:tc>
      </w:tr>
      <w:tr>
        <w:trPr>
          <w:trHeight w:val="217"/>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The new building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We are responsible for a portion of the renovation and construction costs, and anticipate taking possession of the building and construction activities beginning in July 2019. As of March 31, 2019, we have recorded approximately $2.0 million in on site preparation, design and construction costs.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2018, we signed an agreement to purchase land located within Y-PARC, Switzerland’s largest technology park in Yverdon. The land was purchased, in cash, for $4.8 million. Upon this parcel, we plan on constructing a large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molecule production facility. Construction activity commenced in July 2018 and as of March 31, 2019, we have recorded approximately $55.8 million in costs for construction, ground preparation and architectural and engineering studies. We currently anticipate the facility to be completed in the second half of 2020.</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stated in Note 2, in January 2019, we adopted ASC 842, Leases, which changed the accounting and reporting of our lease activity. Although we do not have significant lease activity, we are the lessee of several contracts, including those to secure fleet vehicles, buildings and IT equipment. Our lease agreements do not contain any material residual value guarantees or restrictive covenants. Some of our building leases include options to renew for additional periods of up to five years and the exercise of these options is at our discretion. Our current lease liabilities are reflected in accrued and other current liabilities and our noncurrent lease liabilities are reflected in other liabilities on the condensed consolidated balance sheets. As of March 31, 2019 our lease liabilities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40" w:type="dxa"/>
            <w:vAlign w:val="bottom"/>
          </w:tcPr>
          <w:p>
            <w:pPr>
              <w:spacing w:after="0"/>
              <w:rPr>
                <w:sz w:val="18"/>
                <w:szCs w:val="18"/>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bottom w:val="single" w:sz="8" w:color="CCEEFF"/>
            </w:tcBorders>
          </w:tcPr>
          <w:p>
            <w:pPr>
              <w:spacing w:after="0"/>
              <w:rPr>
                <w:sz w:val="18"/>
                <w:szCs w:val="18"/>
                <w:color w:val="auto"/>
              </w:rPr>
            </w:pPr>
          </w:p>
        </w:tc>
      </w:tr>
      <w:tr>
        <w:trPr>
          <w:trHeight w:val="217"/>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8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cash paid for amounts included in the measurement of our operating lease liabilities as of March 31, 2019 was $2.8 million in operating cash flows. The cash paid for amounts included in the measurement of our finance lease liabilities as of March 31, 2019 was $0.2 million in financing cash flows.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our lease liabilities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After 2023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cash payments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2019, our finance and operating leases had a weighted average lease term of approximately 2.0 and 4.4 years, respectively. The discount rate of our leases is an approximation of an estimated incremental borrowing rate and is dependent upon the term and economics of each agreement. The weighted average discount rate of our operating leases and finance leases is approximately 4.7% and 6.6%, respectively. For the three months ended March 31, 2019, we incurred approximately $3.6 million of expense related to our operating leases, approximately $0.2 million of amortization on our finance lease right-of-use assets and a de minimis amount of interest expense on our finance lease liabilities. Rent expense for the three months ended March 31, 2018 was $3.3 million. For the three months ended March 31, 2019, the cost of our short term leases with a term less than 12 months was de minimis.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hanging="317"/>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intangible assets were as follows (in thousands, except for useful life):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140" w:type="dxa"/>
            <w:vAlign w:val="bottom"/>
          </w:tcPr>
          <w:p>
            <w:pPr>
              <w:spacing w:after="0"/>
              <w:rPr>
                <w:sz w:val="15"/>
                <w:szCs w:val="15"/>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2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IP</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61,020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$ 209,980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55,636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$ 215,364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Estimated aggregate amortization expense based on the current carrying value of amortizable intangible assets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3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107,681</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for the three months ended March 31, 2019.</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89"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the aggregate $132.0 million for the achievement of development milestones, $215.0 million for the achievement of regulatory milestones and $120.0 million for the achievement of sales milestones through March 31, 2019.</w:t>
      </w:r>
    </w:p>
    <w:p>
      <w:pPr>
        <w:spacing w:after="0" w:line="193"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2018, under this agreement, we recognized a $60.0 million sales milestone for Novartis achieving annual net sales of a JAK licensed product of $900.0 million. In 2017,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 regulatory approval of JAKAVI. In 2011, we recognized a $15.0 million development milestone for the achievement of a predefined milestone in the Phase I dose-escalation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months ended March 31, 2019 and 2018, such royalties payable to Novartis on net sales within the United States totaled $13.4 million and $10.4 million, respectively, and are reflected in cost of product revenues on the condensed consolidated statements of operations. At March 31, 2019 and December 31, 2018, $13.4 million and $18.6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determined that there were two deliverables under the agreement: (i) the ex-U.S. license for ruxolitinib and (ii) 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 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2009, we recorded $10.9 million of reimbursable costs incurred prior to the effective date of the agreement as deferred revenue on the consolidated balance sheet. These costs were recognized on a straight-line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December 2013 consistent with the aforementioned upfront and milestone payments. Future reimbursable costs incurred after the effective date of the agreement with Novartis are recorded net against the related research and development expenses. At March 31, 2019 and December 31, 2018, $0.5 million and $0.7 million, respectively, of reimbursable costs were included in accounts receivable on the condensed consolidated balance sheets. Research and development expenses for the three months ended March 31, 2019 and 2018 were net of $0.6 million and $0.5 million, respectively, of costs reimbursed by Novartis.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Milestone and contract revenue under the Novartis agreement for the three months ended March 31, 2019 and 2018 was $0.0 million. Product royalty revenue related to Novartis net sales of JAKAVI outside of the United States for the three months ended March 31, 2019 and 2018 was $45.6 million and $41.3 million, respectively. At March 31, 2019 and December 31, 2018, $45.6 million and $55.4 million, respectively, of product royalties were included in accounts receivable on the condensed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March 31, 2019.</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2018, under this agreement,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 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 these milestones were substantive as their achievement required substantive efforts by us and was at risk until the milestones were ultimately achieved.</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recorded under the Lilly agreement representing 30% of the global development costs for baricitinib for the treatment of rheumatoid arthritis, psoriatic arthritis, atopic dermatitis, alopecia areata, systemic lupus erythematosus and axial spondyloarthritis for the three months ended March 31, 2019 and 2018 were $0.0 million and $12.5 million, respectively. At March 31, 2019 and December 31, 2018, a total of $0.0 million and $23.1 million, respectively, of such costs were included in accrued and other liabilities on the condensed consolidated balance sheets.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determined that there were two deliverables under the agreement: (i) the worldwide license and (ii) our obligations in connection with a co-development option. We concluded that these deliverables should be accounted for as 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Milestone and contract revenue under the Lilly agreement for the three months ended March 31, 2019 and 2018 was $0.0 million. Product royalty revenue related to Lilly global net sales of OLUMIANT for the three months ended March 31, 2019 and 2018 was $16.0 million and $6.4 million, respectively. At March 31, 2019 and December 31, 2018, $16.2 million and $14.0 million, respectively, of product royalties were included in accounts receivable on the condensed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Ruxolitinib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Amended Agreement, we paid Agenus $20.0 million in accelerated milestones relating to the clinical development of the GITR and OX40 programs, which was recorded in research and development expense.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June 2018, we recorded a $5.0 million development milestone due to Agenus for the LAG-3 program and in September 2018 we recorded a $5.0 million development milestone due to Agenus for the TIM-3 program.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13% of the outstanding shares of Agenus Inc. common stock as of March 31, 2019.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have significant influence. For the three months ended March 31, 2019 and 2018, we recorded an unrealized gain of $10.5 million and $25.8 million, respectively, based on the change in fair value of Agenus Inc.’s common stock during these periods. The fair market value of our long term investment in Agenus Inc. at March 31, 2019 and December 31, 2018 was $52.6 million and $42.3 million,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2018, Agenus reported within its Form 10-K total revenues of approximately $6.5 million and net loss of approximately $48.8 million within their consolidated financial statements.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2019 and 2018 also included $10.2 million and $1.9 million, respectively, of development costs incurred pursuant to the Agenus arrangement. At March 31, 2019 and December 31, 2018, a total of $4.7 million and $2.3 million, respectively, of such costs were included in accrued and other liabilities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 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 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at March 31, 2019 and December 31, 2018 was $47.3 million and $44.8 million, respectively.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concluded Merus is not a VIE because it has sufficient equity to finance its activities without additional subordinated financial support and its at-risk equity holders have the characteristics of a controlling financial interest. As of March 31, 2019, we owned approximately 14% of the outstanding shares of Merus common stock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2019 and 2018 we recorded an unrealized gain of $2.5 million and an unrealized loss of $2.8 million, respectively, based on the change in fair value of Merus’ common stock during these periods.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2018, Merus reported within its Form 6-K total revenues of approximately €8.5 million and net loss of approximately €0.5 million within their condensed consolidated financial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2019 and 2018 included $2.6 million and $2.4 million, respectively, of additional development costs incurred pursuant to the Merus agreement. At March 31, 2019 and December 31, 2018, a total of $2.5 million and $2.9 million, respectively, of such costs were included in accrued and other liabilities on the condensed consolidated balance sheets.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9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w:t>
      </w:r>
    </w:p>
    <w:p>
      <w:pPr>
        <w:spacing w:after="0" w:line="18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March 31, 2019 and December 31, 2018 was $11.6 million and $6.9 million, respectively.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Calithera is not a VIE because it has sufficient equity to finance its activities without additional subordinated financial support and its at-risk equity holders have the characteristics of a controlling financial interest. As of March 31, 2019, we owned approximately 4%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thereby have classified the investment within long term investments on the accompanying condensed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three months ended March 31, 2019 and 2018 we recorded an unrealized gain of $4.7 million and an unrealized loss of $3.5 million, respectively, based on the change in fair value of Calithera’s common stock during these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2019 and 2018 also included $4.6 million and $2.6 million, respectively, of additional development costs incurred pursuant to the Calithera agreement. At March 31, 2019 and December 31, 2018, a total of $3.2 million and $2.6 million, respectively, of such costs were included in accrued and other liabilities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1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the consolidated statement of operations. MacroGenics will be eligible to receive up to $420.0 million in future contingent development and regulatory milestones and up to $330.0 million in commercial milestones as well as tiered royalties ranging from 15% to 24% of global net sales. In September 2018, we recorded $10.0 million and in November 2018 we recorded $5.0 million in aggregate milestones due to MacroGenics for the achievement of certain clinical milestones as part of our collaboration and license agreement, which were recorded in research and development expense.</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2019 and 2018 also included $9.4 million and $6.5 million, respectively, of additional development costs incurred pursuant to the MacroGenics agreement. At March 31, 2019 and December 31, 2018, a total of $4.4 million and $3.2 million of such costs were included in accrued and other liabilities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March 31, 2019 and December 31, 2018 was $8.6 million and $5.2 million, respectively.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concluded Syros is not a VIE because it has sufficient equity to finance its activities without additional subordinated financial support and its at-risk equity holders have the characteristics of a controlling financial interest. As of March 31, 2019, we owned approximately 3%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2019 and 2018, we recorded an unrealized gain of $3.3 million and $3.2 million, respectively, based on the change in fair market value of Syros’ common stock during these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which was recorded in milestone and contract revenues on the condensed consolidated statement of operations for the three months ended March 31, 2019.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82" w:lineRule="exact"/>
        <w:rPr>
          <w:sz w:val="20"/>
          <w:szCs w:val="20"/>
          <w:color w:val="auto"/>
        </w:rPr>
      </w:pPr>
    </w:p>
    <w:p>
      <w:pPr>
        <w:ind w:left="460" w:hanging="457"/>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recorded $40.6 million and $36.2 million, respectively, of stock compensation expense on the condensed consolidated statements of operations for the three months ended March 31, 2019 and 2018. For the three months ended March 31, 2019, we capitalized $0.1 million of stock compensation expense as part of the cost of an asset. Stock compensation expense included within our condensed consolidated statements of operations included research and development expense of $27.4 million and $24.2 million, respectively, for the three months ended March 31, 2019 and 2018. Stock compensation expense included within our condensed consolidated statements of operations also included selling, general and administrative expense of $13.0 million and $12.0 million for the three months ended March 31, 2019 and 2018, respectively. Stock compensation expense included within our condensed consolidated statements of operations also included cost of product revenues of $0.2 million for the three months ended March 31,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9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Employee Stock Options</w:t>
            </w:r>
          </w:p>
        </w:tc>
        <w:tc>
          <w:tcPr>
            <w:tcW w:w="23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r>
      <w:tr>
        <w:trPr>
          <w:trHeight w:val="142"/>
        </w:trPr>
        <w:tc>
          <w:tcPr>
            <w:tcW w:w="470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6"/>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45 %</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45 %</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shd w:val="clear" w:color="auto" w:fill="CCEEFF"/>
          </w:tcPr>
          <w:p>
            <w:pPr>
              <w:spacing w:after="0"/>
              <w:rPr>
                <w:sz w:val="18"/>
                <w:szCs w:val="18"/>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(in dollars)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2010 Stock Plan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1780" w:type="dxa"/>
            <w:vAlign w:val="bottom"/>
            <w:tcBorders>
              <w:bottom w:val="single" w:sz="8" w:color="auto"/>
            </w:tcBorders>
            <w:gridSpan w:val="4"/>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6,477,577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12,285,159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54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(2,271,592)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2,271,592</w:t>
            </w:r>
          </w:p>
        </w:tc>
        <w:tc>
          <w:tcPr>
            <w:tcW w:w="80" w:type="dxa"/>
            <w:vAlign w:val="bottom"/>
          </w:tcPr>
          <w:p>
            <w:pPr>
              <w:spacing w:after="0"/>
              <w:rPr>
                <w:sz w:val="18"/>
                <w:szCs w:val="18"/>
                <w:color w:val="auto"/>
              </w:rPr>
            </w:pPr>
          </w:p>
        </w:tc>
        <w:tc>
          <w:tcPr>
            <w:tcW w:w="780" w:type="dxa"/>
            <w:vAlign w:val="bottom"/>
            <w:gridSpan w:val="2"/>
          </w:tcPr>
          <w:p>
            <w:pPr>
              <w:jc w:val="center"/>
              <w:ind w:right="46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(849,870)</w:t>
            </w:r>
          </w:p>
        </w:tc>
        <w:tc>
          <w:tcPr>
            <w:tcW w:w="780" w:type="dxa"/>
            <w:vAlign w:val="bottom"/>
            <w:gridSpan w:val="2"/>
            <w:shd w:val="clear" w:color="auto" w:fill="CCEEFF"/>
          </w:tcPr>
          <w:p>
            <w:pPr>
              <w:jc w:val="center"/>
              <w:ind w:right="46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315,321</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(315,321)</w:t>
            </w:r>
          </w:p>
        </w:tc>
        <w:tc>
          <w:tcPr>
            <w:tcW w:w="780" w:type="dxa"/>
            <w:vAlign w:val="bottom"/>
            <w:gridSpan w:val="2"/>
          </w:tcPr>
          <w:p>
            <w:pPr>
              <w:jc w:val="center"/>
              <w:ind w:right="46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4,521,306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13,391,560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2"/>
            <w:shd w:val="clear" w:color="auto" w:fill="CCEEFF"/>
          </w:tcPr>
          <w:p>
            <w:pPr>
              <w:jc w:val="center"/>
              <w:ind w:right="46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award and PSU activity under the 2010 Stock Plan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 Available</w:t>
            </w:r>
          </w:p>
        </w:tc>
        <w:tc>
          <w:tcPr>
            <w:tcW w:w="1620" w:type="dxa"/>
            <w:vAlign w:val="bottom"/>
            <w:gridSpan w:val="4"/>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1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 Awards</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for Grant</w:t>
            </w: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Grant Date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545,751</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2,043,337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(165,251)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165,251</w:t>
            </w:r>
          </w:p>
        </w:tc>
        <w:tc>
          <w:tcPr>
            <w:tcW w:w="80" w:type="dxa"/>
            <w:vAlign w:val="bottom"/>
          </w:tcPr>
          <w:p>
            <w:pPr>
              <w:spacing w:after="0"/>
              <w:rPr>
                <w:sz w:val="18"/>
                <w:szCs w:val="18"/>
                <w:color w:val="auto"/>
              </w:rPr>
            </w:pPr>
          </w:p>
        </w:tc>
        <w:tc>
          <w:tcPr>
            <w:tcW w:w="70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achieved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(44,940)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55,591</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(55,591)</w:t>
            </w:r>
          </w:p>
        </w:tc>
        <w:tc>
          <w:tcPr>
            <w:tcW w:w="70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cancelled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(9,889)</w:t>
            </w:r>
          </w:p>
        </w:tc>
        <w:tc>
          <w:tcPr>
            <w:tcW w:w="700" w:type="dxa"/>
            <w:vAlign w:val="bottom"/>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RSUs released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(213,604)</w:t>
            </w:r>
          </w:p>
        </w:tc>
        <w:tc>
          <w:tcPr>
            <w:tcW w:w="70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 years 2014 through 2019, subject to earlier acceleration of vesting upon the occurrence of certain events in accordance with the terms of his employment agreement. As of March 31, 2019, a cumulative total of 333,334 RSUs granted to Mr. Hoppenot had vested and were released, leaving 66,666 RSUs outstanding.</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we granted 190,000 RSUs and 446,500 PSUs under long term incentive plans with performance and/or service-based milestones with graded and/or cliff vesting over three to four years. For one of the long term incentive plans, under which 106,500 PSUs were granted, the actual number of shares of our common stock into which each PSU may convert are subject to a multiplier of up to 267% based on the level at which the performance conditions are achieved. Compensation expense for the performance-based awards is recorded over the estimated service period for each milestone when the performance conditions are deemed probable of achievement. For the period ended March 31, 2019, the stock compensation expense recorded during the period was for service-based awards and performance conditions deemed probable of achievement and/or achieved. For PSUs containing performance conditions which were not deemed probable of achievement at March 31, 2019, no stock compensation expense was recognized.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March 31, 2019, was $133.9 million, which is expected to be recognized over the weighted average period of approximately 1.7 years. Total compensation cost of RSUs granted but not yet vested, as of March 31, 2019, was $59.6 million, which is expected to be recognized over the weighted average period of approximately 1.6 years. Total compensation cost of PSUs granted but not yet vested, as of March 31, 2019, was $27.7 million, which is expected to be recognized over the weighted average period of 2.7 years, should the underlying performance conditions be deemed probable of achievement.</w:t>
      </w:r>
    </w:p>
    <w:p>
      <w:pPr>
        <w:spacing w:after="0" w:line="211" w:lineRule="exact"/>
        <w:rPr>
          <w:sz w:val="20"/>
          <w:szCs w:val="20"/>
          <w:color w:val="auto"/>
        </w:rPr>
      </w:pPr>
    </w:p>
    <w:p>
      <w:pPr>
        <w:ind w:left="440" w:hanging="437"/>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Accrued and other current liabilities at March 31, 2019 and December 31, 2018 consisted of the following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 costs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98,607</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1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34,568</w:t>
            </w:r>
          </w:p>
        </w:tc>
      </w:tr>
      <w:tr>
        <w:trPr>
          <w:trHeight w:val="230"/>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211,302</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229,401</w:t>
            </w:r>
          </w:p>
        </w:tc>
      </w:tr>
      <w:tr>
        <w:trPr>
          <w:trHeight w:val="892"/>
        </w:trPr>
        <w:tc>
          <w:tcPr>
            <w:tcW w:w="3700" w:type="dxa"/>
            <w:vAlign w:val="bottom"/>
          </w:tcPr>
          <w:p>
            <w:pPr>
              <w:spacing w:after="0"/>
              <w:rPr>
                <w:sz w:val="24"/>
                <w:szCs w:val="24"/>
                <w:color w:val="auto"/>
              </w:rPr>
            </w:pPr>
          </w:p>
        </w:tc>
        <w:tc>
          <w:tcPr>
            <w:tcW w:w="17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29"/>
        </w:trPr>
        <w:tc>
          <w:tcPr>
            <w:tcW w:w="37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60" w:hanging="457"/>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convertible notes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17"/>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1220" w:type="dxa"/>
            <w:vAlign w:val="bottom"/>
            <w:gridSpan w:val="2"/>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60" w:type="dxa"/>
            <w:vAlign w:val="bottom"/>
          </w:tcPr>
          <w:p>
            <w:pPr>
              <w:spacing w:after="0"/>
              <w:rPr>
                <w:sz w:val="10"/>
                <w:szCs w:val="10"/>
                <w:color w:val="auto"/>
              </w:rPr>
            </w:pPr>
          </w:p>
        </w:tc>
        <w:tc>
          <w:tcPr>
            <w:tcW w:w="8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60" w:type="dxa"/>
            <w:vAlign w:val="bottom"/>
            <w:gridSpan w:val="2"/>
            <w:vMerge w:val="continue"/>
          </w:tcPr>
          <w:p>
            <w:pPr>
              <w:spacing w:after="0"/>
              <w:rPr>
                <w:sz w:val="15"/>
                <w:szCs w:val="15"/>
                <w:color w:val="auto"/>
              </w:rPr>
            </w:pPr>
          </w:p>
        </w:tc>
        <w:tc>
          <w:tcPr>
            <w:tcW w:w="12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660" w:type="dxa"/>
            <w:vAlign w:val="bottom"/>
            <w:vMerge w:val="continue"/>
          </w:tcPr>
          <w:p>
            <w:pPr>
              <w:spacing w:after="0"/>
              <w:rPr>
                <w:sz w:val="15"/>
                <w:szCs w:val="15"/>
                <w:color w:val="auto"/>
              </w:rPr>
            </w:pPr>
          </w:p>
        </w:tc>
        <w:tc>
          <w:tcPr>
            <w:tcW w:w="86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$ 17,647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$ 17,647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 and fair value of our convertible notes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9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1.25% Convertible Senior Notes due 2020 (the “2020 Notes”) is based on data from readily available pricing sources which utilize market observable inputs and other characteristics for similar types of instruments, and, therefore, is classified within Level 2 in the fair value hierarchy.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May 14, 2014, the 2020 Notes were not convertible except in connection with a make-whole fundamental change, as defined in the respective indentures.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w:t>
      </w:r>
    </w:p>
    <w:p>
      <w:pPr>
        <w:spacing w:after="0" w:line="4" w:lineRule="exact"/>
        <w:rPr>
          <w:sz w:val="20"/>
          <w:szCs w:val="20"/>
          <w:color w:val="auto"/>
        </w:rPr>
      </w:pPr>
    </w:p>
    <w:p>
      <w:pPr>
        <w:jc w:val="both"/>
        <w:ind w:firstLine="3"/>
        <w:spacing w:after="0" w:line="252" w:lineRule="auto"/>
        <w:tabs>
          <w:tab w:leader="none" w:pos="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 2019, the 2020 Notes became convertible through at least June 30, 2019, based on meeting the conversion criteria related to the sale price of our common stock during the calendar quarter ended March 31, 2019 as described in (i) above. The 2020 Notes are reflected in long term liabilities on the condensed consolidated balance sheet as of March 31, 2019 as management’s intent is to settle any conversions of the 2020 Notes during this period in shares of our common stock.</w:t>
      </w:r>
    </w:p>
    <w:p>
      <w:pPr>
        <w:spacing w:after="0" w:line="180" w:lineRule="exact"/>
        <w:rPr>
          <w:sz w:val="20"/>
          <w:szCs w:val="20"/>
          <w:color w:val="auto"/>
        </w:rPr>
      </w:pPr>
    </w:p>
    <w:p>
      <w:pPr>
        <w:ind w:left="460" w:hanging="457"/>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Employees may contribute a portion of their compensation, which is then matched by us, subject to certain limitations. Defined contribution expense for the three months ended March 31, 2019 and 2018 was $2.9 million and $2.7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32"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0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6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income (expense), net on the condensed consolidated statements of operations. We expect to contribute a total of $3.5 million to the pension plans in 2019 inclusive of the amounts contributed to the plan during the current period. As of March 31, 2019 and December 31, 2018, $15.8 million and $15.7 million, respectively, of accrued pension obligation is recorded in other long term liabilities on the condensed consolidated balance sheets.</w:t>
      </w:r>
    </w:p>
    <w:p>
      <w:pPr>
        <w:spacing w:after="0" w:line="180" w:lineRule="exact"/>
        <w:rPr>
          <w:sz w:val="20"/>
          <w:szCs w:val="20"/>
          <w:color w:val="auto"/>
        </w:rPr>
      </w:pPr>
    </w:p>
    <w:p>
      <w:pPr>
        <w:ind w:left="460" w:hanging="457"/>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we recorded income tax expense of approximately $1.8 million and $0.8 million, respectively. The change in tax expense for the three months ended March 31, 2019 was primarily driven by the difference in projected annual operating income or loss compared to our actual results as well as the recognition of certain discrete items in the current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a full valuation allowance continues to be recorded against our U.S. and Swiss net deferred tax assets. This position is based on an analysis of positive and negative evidence, including analyzing three-year cumulative pre-tax income or loss, projections of future taxable income as well as other quantitative and qualitative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approximately $0.4 million during the three months ended March 31, 2019, of which only $0.1 million was recorded as an increase to noncurrent other liabilities on the condensed consolidated balance sheet. The increase is primarily driven by unrecognized tax benefits related to current year operations and research and development tax credits.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income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(loss) per share was calculated as follows for the periods indicated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gridSpan w:val="4"/>
            <w:vMerge w:val="continue"/>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00" w:type="dxa"/>
            <w:vAlign w:val="bottom"/>
            <w:gridSpan w:val="4"/>
            <w:shd w:val="clear" w:color="auto" w:fill="CCEEFF"/>
          </w:tcPr>
          <w:p>
            <w:pPr>
              <w:ind w:left="120"/>
              <w:spacing w:after="0" w:line="170" w:lineRule="exact"/>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Basic net income (loss)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(41,140)</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0" w:type="dxa"/>
            <w:vAlign w:val="bottom"/>
            <w:gridSpan w:val="4"/>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Diluted net income (loss)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102,312</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(41,140)</w:t>
            </w: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stock options and RSUs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(loss) per share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211,681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120" w:type="dxa"/>
            <w:vAlign w:val="bottom"/>
            <w:gridSpan w:val="2"/>
            <w:shd w:val="clear" w:color="auto" w:fill="CCEEFF"/>
          </w:tcPr>
          <w:p>
            <w:pPr>
              <w:spacing w:after="0"/>
              <w:rPr>
                <w:sz w:val="2"/>
                <w:szCs w:val="2"/>
                <w:color w:val="auto"/>
              </w:rPr>
            </w:pPr>
          </w:p>
        </w:tc>
        <w:tc>
          <w:tcPr>
            <w:tcW w:w="160" w:type="dxa"/>
            <w:vAlign w:val="bottom"/>
            <w:gridSpan w:val="2"/>
            <w:shd w:val="clear" w:color="auto" w:fill="CCEEFF"/>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2"/>
        </w:trPr>
        <w:tc>
          <w:tcPr>
            <w:tcW w:w="120" w:type="dxa"/>
            <w:vAlign w:val="bottom"/>
          </w:tcPr>
          <w:p>
            <w:pPr>
              <w:spacing w:after="0"/>
              <w:rPr>
                <w:sz w:val="24"/>
                <w:szCs w:val="24"/>
                <w:color w:val="auto"/>
              </w:rPr>
            </w:pPr>
          </w:p>
        </w:tc>
        <w:tc>
          <w:tcPr>
            <w:tcW w:w="894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The potential common shares that were excluded from the diluted net income (loss) per share computation are as</w:t>
            </w:r>
          </w:p>
        </w:tc>
        <w:tc>
          <w:tcPr>
            <w:tcW w:w="0" w:type="dxa"/>
            <w:vAlign w:val="bottom"/>
          </w:tcPr>
          <w:p>
            <w:pPr>
              <w:spacing w:after="0"/>
              <w:rPr>
                <w:sz w:val="1"/>
                <w:szCs w:val="1"/>
                <w:color w:val="auto"/>
              </w:rPr>
            </w:pPr>
          </w:p>
        </w:tc>
      </w:tr>
      <w:tr>
        <w:trPr>
          <w:trHeight w:val="234"/>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0" w:type="dxa"/>
            <w:vAlign w:val="bottom"/>
            <w:tcBorders>
              <w:bottom w:val="single" w:sz="8" w:color="auto"/>
            </w:tcBorders>
            <w:gridSpan w:val="6"/>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9,318,013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13,104,711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shares issuable upon conversion of the 2018 Notes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148,836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issuable upon conversion of the 2020 Notes</w:t>
            </w: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368,939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80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auto"/>
              </w:rPr>
              <w:t>Total potential common shares excluded from diluted net income (loss) per</w:t>
            </w: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9,686,952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14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13,622,486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computation</w:t>
            </w:r>
          </w:p>
        </w:tc>
        <w:tc>
          <w:tcPr>
            <w:tcW w:w="138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0" w:type="dxa"/>
            <w:vAlign w:val="bottom"/>
            <w:tcBorders>
              <w:bottom w:val="single" w:sz="8" w:color="auto"/>
            </w:tcBorders>
            <w:gridSpan w:val="5"/>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We are cooperating with this inquiry. Given that the investigation is still ongoing and that we have not yet been made aware of the substance of any civil claims, we cannot predict the outcome of the investigation, the timing of the ultimate resolution of this matter, or reasonably estimate the possible range of loss, if any, that may result from this matter. Accordingly, no reserve has been made with respect to this matter as of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months ended March 31, 2019 should be read in conjunction with the unaudited condensed consolidated financial statements and notes to those statements included elsewhere in this Quarterly Report on Form 10-Q and our audited consolidated financial statements as of and for the year ended December 31, 2018 included in our Annual Report on Form 10-K for the year ended December 31, 2018 previously filed with the SEC.</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6" w:lineRule="exact"/>
        <w:rPr>
          <w:sz w:val="20"/>
          <w:szCs w:val="20"/>
          <w:color w:val="auto"/>
        </w:rPr>
      </w:pPr>
    </w:p>
    <w:p>
      <w:pPr>
        <w:ind w:left="980" w:hanging="329"/>
        <w:spacing w:after="0" w:line="23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(ruxolitinib) and ICLUSIG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(ponatinib);</w:t>
      </w:r>
    </w:p>
    <w:p>
      <w:pPr>
        <w:spacing w:after="0" w:line="156" w:lineRule="exact"/>
        <w:rPr>
          <w:rFonts w:ascii="Times New Roman" w:cs="Times New Roman" w:eastAsia="Times New Roman" w:hAnsi="Times New Roman"/>
          <w:sz w:val="18"/>
          <w:szCs w:val="18"/>
          <w:color w:val="auto"/>
        </w:rPr>
      </w:pPr>
    </w:p>
    <w:p>
      <w:pPr>
        <w:ind w:left="980" w:hanging="329"/>
        <w:spacing w:after="0" w:line="23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benefits from our acquisition of ARIAD Pharmaceuticals (Luxembourg) S.à.r.l. and our plans to further develop our European operations;</w:t>
      </w:r>
    </w:p>
    <w:p>
      <w:pPr>
        <w:spacing w:after="0" w:line="170"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anticipated benefits and disadvantages of entering into collaboration agreements;</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JAKAFI and</w:t>
      </w:r>
    </w:p>
    <w:p>
      <w:pPr>
        <w:spacing w:after="0" w:line="2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ICLUSIG;</w:t>
      </w:r>
    </w:p>
    <w:p>
      <w:pPr>
        <w:spacing w:after="0" w:line="204"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58"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58"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58"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211" w:lineRule="exact"/>
        <w:rPr>
          <w:rFonts w:ascii="Times New Roman" w:cs="Times New Roman" w:eastAsia="Times New Roman" w:hAnsi="Times New Roman"/>
          <w:sz w:val="18"/>
          <w:szCs w:val="18"/>
          <w:color w:val="auto"/>
        </w:rPr>
      </w:pPr>
    </w:p>
    <w:p>
      <w:pPr>
        <w:ind w:left="980" w:hanging="329"/>
        <w:spacing w:after="0" w:line="23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84"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U.S. tax laws;</w:t>
      </w:r>
    </w:p>
    <w:p>
      <w:pPr>
        <w:spacing w:after="0" w:line="19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collaboration royalties;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225" w:lineRule="exact"/>
        <w:rPr>
          <w:rFonts w:ascii="Times New Roman" w:cs="Times New Roman" w:eastAsia="Times New Roman" w:hAnsi="Times New Roman"/>
          <w:sz w:val="18"/>
          <w:szCs w:val="18"/>
          <w:color w:val="auto"/>
        </w:rPr>
      </w:pPr>
    </w:p>
    <w:p>
      <w:pPr>
        <w:jc w:val="both"/>
        <w:ind w:left="980" w:hanging="329"/>
        <w:spacing w:after="0" w:line="267"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relating to our new European headquarters, including the anticipated date we take possession of the building and construction activities and expected lease accounting effects, and the anticipated completion date for our large molecule production facility;</w:t>
      </w:r>
    </w:p>
    <w:p>
      <w:pPr>
        <w:spacing w:after="0" w:line="173"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199"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i w:val="1"/>
          <w:iCs w:val="1"/>
          <w:color w:val="auto"/>
        </w:rPr>
        <w:t>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98" w:lineRule="exact"/>
        <w:rPr>
          <w:sz w:val="20"/>
          <w:szCs w:val="20"/>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JAKAFI and ICLUSIG;</w:t>
      </w:r>
    </w:p>
    <w:p>
      <w:pPr>
        <w:spacing w:after="0" w:line="211" w:lineRule="exact"/>
        <w:rPr>
          <w:rFonts w:ascii="Times New Roman" w:cs="Times New Roman" w:eastAsia="Times New Roman" w:hAnsi="Times New Roman"/>
          <w:sz w:val="18"/>
          <w:szCs w:val="18"/>
          <w:color w:val="auto"/>
        </w:rPr>
      </w:pPr>
    </w:p>
    <w:p>
      <w:pPr>
        <w:ind w:left="980" w:hanging="329"/>
        <w:spacing w:after="0" w:line="23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5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84" w:lineRule="exact"/>
        <w:rPr>
          <w:rFonts w:ascii="Times New Roman" w:cs="Times New Roman" w:eastAsia="Times New Roman" w:hAnsi="Times New Roman"/>
          <w:sz w:val="18"/>
          <w:szCs w:val="18"/>
          <w:color w:val="auto"/>
        </w:rPr>
      </w:pPr>
    </w:p>
    <w:p>
      <w:pPr>
        <w:ind w:left="980" w:hanging="329"/>
        <w:spacing w:after="0" w:line="23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5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84"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84" w:lineRule="exact"/>
        <w:rPr>
          <w:rFonts w:ascii="Times New Roman" w:cs="Times New Roman" w:eastAsia="Times New Roman" w:hAnsi="Times New Roman"/>
          <w:sz w:val="18"/>
          <w:szCs w:val="18"/>
          <w:color w:val="auto"/>
        </w:rPr>
      </w:pPr>
    </w:p>
    <w:p>
      <w:pPr>
        <w:ind w:left="980" w:hanging="329"/>
        <w:spacing w:after="0" w:line="23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170"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31"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licensed compounds or drug candidates;</w:t>
      </w:r>
    </w:p>
    <w:p>
      <w:pPr>
        <w:spacing w:after="0" w:line="25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drug candidates;</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225"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198"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license drug candidates or other technology;</w:t>
      </w:r>
    </w:p>
    <w:p>
      <w:pPr>
        <w:spacing w:after="0" w:line="251" w:lineRule="exact"/>
        <w:rPr>
          <w:rFonts w:ascii="Times New Roman" w:cs="Times New Roman" w:eastAsia="Times New Roman" w:hAnsi="Times New Roman"/>
          <w:sz w:val="18"/>
          <w:szCs w:val="18"/>
          <w:color w:val="auto"/>
        </w:rPr>
      </w:pPr>
    </w:p>
    <w:p>
      <w:pPr>
        <w:ind w:left="980" w:hanging="329"/>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construction, other delays or changes in plans relating to our new European headquarters and large molecule production facility;</w:t>
      </w:r>
    </w:p>
    <w:p>
      <w:pPr>
        <w:spacing w:after="0" w:line="158"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history of operating losses;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Incyte and JAKAFI are our registered trademarks. We also refer to trademarks of other corporations and organizations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patients with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myelofibrosis and in December 2014 for the treatment of patients with polycythemia vera who have had an inadequate response to or are intolerant of hydroxyurea. Myelofibrosis and polycythemia vera are both rare blood cancers.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201"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2"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JAK inhibitor for any indication and was the first and remains the only product approved by the FDA for use in MF and PV. The FDA has granted JAKAFI orphan drug status for MF, PV, ET, acute lymphoblastic leukemia (ALL) and graft-versus-host-disease (GVHD).</w:t>
      </w:r>
    </w:p>
    <w:p>
      <w:pPr>
        <w:spacing w:after="0" w:line="201"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To help ensure that all eligible MF and PV patients have access to JAKAFI, we have established a patient assistance program called IncyteCARES (CARES stands for Connecting to Access, Reimbursement, Education and Support). IncyteCARES helps ensure that any patient with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MF or uncontrolled PV who meets certain eligibility criteria and is prescribed JAKAFI has access to the product regardless of ability to pay and has access to ongoing support and educational resources during treatment.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and familiar to physicians who practice within the oncology field.</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4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Myelofibrosis is a rare,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condition. MF, considered the most serious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47" w:lineRule="exact"/>
        <w:rPr>
          <w:sz w:val="20"/>
          <w:szCs w:val="20"/>
          <w:color w:val="auto"/>
        </w:rPr>
      </w:pPr>
    </w:p>
    <w:p>
      <w:pPr>
        <w:jc w:val="both"/>
        <w:ind w:firstLine="648"/>
        <w:spacing w:after="0" w:line="230" w:lineRule="exact"/>
        <w:rPr>
          <w:sz w:val="20"/>
          <w:szCs w:val="20"/>
          <w:color w:val="auto"/>
        </w:rPr>
      </w:pPr>
      <w:r>
        <w:rPr>
          <w:rFonts w:ascii="Times New Roman" w:cs="Times New Roman" w:eastAsia="Times New Roman" w:hAnsi="Times New Roman"/>
          <w:sz w:val="18"/>
          <w:szCs w:val="18"/>
          <w:color w:val="auto"/>
        </w:rPr>
        <w:t>The FDA approval was based on results from two randomized Phase III trials (COMFORT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 and COMFORT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II), which demonstrated that patients treated with JAKAFI experienced significant reductions in splenomegaly (enlarged spleen). COMFORT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 also demonstrated improvements in symptoms. The most common hematologic adverse reactions in both trials were thrombocytopenia and anemia. These events rarely led to discontinuation of JAKAFI treatment. The most common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hematologic adverse reactions were bruising, dizziness and headache.</w:t>
      </w:r>
    </w:p>
    <w:p>
      <w:pPr>
        <w:spacing w:after="0" w:line="14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Meier overall survival curves as well as additional safety and dosing information. The overall survival information is based on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data from COMFORT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 and II, and shows that at three years the probability of survival for patients treated with JAKAFI in COMFORT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 was 70% and for those patients originally randomized to placebo it was 61%. In COMFORT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hematologic adverse events (incidence &gt;10%) were headache, abdominal pain, diarrhea, dizziness, fatigue, pruritus, dyspnea and muscle spasms.</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in Oncology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 Inhibition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development program to improve and expand therapeutic options for patients with MF, we are currently recruiting Phase II trials combining ruxolitinib with our investigational agents such as itacitinib (JAK1), parsaclisib (PI3Kδ), and INCB53914 (PIM) in patients with refractory MF.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GVHD is a condition that can occur after an allogeneic bone marrow transplant (the transfer of genetically dissimilar stem cells or tissue). In GVHD, the donated bone marrow or peripheral blood stem cells view the recipient’s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body as foreign and attack various tissues. 12-month survival rates in patients with Grade III or IV steroid-refractory acute GVHD are 50% or less, and the incidence of newly diagnosed acute and de novo chronic GVHD is approximately 15,000 per year across the United States, Europe and Japan.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Building upon positive, independently published third-party data of ruxolitinib in GVHD, we initiated the REACH clinical program to evaluate ruxolitinib in patients with steroid-refractory GVHD. The result of REACH1, a pivotal Phase II trial in steroid-refractory acute GVHD, formed the basis for a supplemental new drug application (sNDA), which was accepted by the FDA for Priority Review in October 2018. In February 2019, the FDA extended the sNDA review period by three months. REACH2, a Novartis-sponsored Phase III trial in steroid-refractory acute GVHD, and REACH3, a Phase III trial in steroid-refractory chronic GVHD that is co-sponsored by Incyte and Novartis, are both underway. In June 2016, we announced that the FDA granted Breakthrough Therapy designation for ruxolitinib in patients with acute GVHD. In April 2016, we announced an agreement with Eli Lilly and Company enabling us to develop and commercialize ruxolitinib in the United States for the treatment of GVHD. We also announced an agreement with Novartis granting Novartis exclusive research, development and commercialization rights for ruxolitinib in GVHD outside the United States.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data from a proof-of-concept trial of itacitinib, a selective JAK1 inhibitor, in patients with acute GVHD, a pivotal trial (GRAVITAS-301) investigating itacitinib for the treatment of patients with treatment-naïve acute GVHD was initiated in July 2017 and we announced completion of enrollment in April 2019. A second pivotal trial of itacitinib, GRAVITAS-309, was initiated in January 2019 for patients with treatment-naïve chronic GVHD. The FDA has granted itacitinib orphan drug status for GVHD.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positive proof-of-concept data, we initiated a pivotal program investigating ruxolitinib for the treatment of patients with essential thrombocythemia.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 The clinical program to evaluate itacitinib in solid tumors includes a clinical trial in combination with AstraZeneca/MedImmune’s EGFR inhibitor osimertinib.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FGFR1/2/3 Inhibition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 We initiated the FIGHT clinical program to evaluate pemigatinib across a spectrum of cancers that are driven by FGF/FGFR mutations. The program currently has three Phase II trials– FIGHT-201 in patients with bladder cancer, FIGHT-202 in patients with cholangiocarcinoma, and FIGHT-203 in patients with 8p11 myeloproliferative syndrome (8p11 MPN). Based on data generated from ongoing trials in patients with FGFR-driven cholangiocarcinoma, bladder cancer, and 8p11 MPN, we are currently planning to initiate a pivotal tumor-agnostic trial evaluating pemigatinib in patients with driver-activations of FGF/FGFR later in 2019.</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2018, we announced positive data from the FIGHT-202 trial evaluating pemigatinib in patients with advanced/metastatic or surgically unresectable cholangiocarcinoma who failed at least one previous treatment. In February 2019, we announced that the FDA granted Breakthrough Therapy designation for pemigatinib in patients with previously treated, advanced/metastatic or unresectable FGFR2 translocated cholangiocarcinoma. FIGHT-302, a Phase III trial of pemigatinib for the first-line treatment of patients with cholangiocarcinoma is now open for recruitment.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Cholangiocarcinoma is a cancer that arises from the cells within the bile ducts. It is often diagnosed late (stages III and IV) and the prognosis is poor. The incidence of cholangiocarcinoma with FGFR2 translocation is increasing, and is currently estimated at 2,000-3,000 patients in the U.S., Europe and Japan.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PD-1 Antagonism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INCMGA0012, an investigational monoclonal antibody that inhibits PD-1. Under this collaboration, we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 Registration-directed trials in MSI-high endometrial cancer, Merkel cell carcinoma, and anal cancer were initiated in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PI3K-delta Inhibition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PI3K-delta pathway mediates oncogenic signaling in B cell malignancies. Parsaclisib (formerly INCB50465) is a PI3K-delta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580" w:type="dxa"/>
            <w:vAlign w:val="bottom"/>
            <w:tcBorders>
              <w:top w:val="single" w:sz="8" w:color="auto"/>
              <w:bottom w:val="single" w:sz="8" w:color="F2F2F2"/>
            </w:tcBorders>
            <w:shd w:val="clear" w:color="auto" w:fill="F2F2F2"/>
          </w:tcPr>
          <w:p>
            <w:pPr>
              <w:spacing w:after="0"/>
              <w:rPr>
                <w:sz w:val="24"/>
                <w:szCs w:val="24"/>
                <w:color w:val="auto"/>
              </w:rPr>
            </w:pPr>
          </w:p>
        </w:tc>
        <w:tc>
          <w:tcPr>
            <w:tcW w:w="7480" w:type="dxa"/>
            <w:vAlign w:val="bottom"/>
            <w:tcBorders>
              <w:top w:val="single" w:sz="8" w:color="auto"/>
              <w:bottom w:val="single" w:sz="8" w:color="F2F2F2"/>
            </w:tcBorders>
            <w:shd w:val="clear" w:color="auto" w:fill="F2F2F2"/>
          </w:tcPr>
          <w:p>
            <w:pPr>
              <w:ind w:left="32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142"/>
        </w:trPr>
        <w:tc>
          <w:tcPr>
            <w:tcW w:w="158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Ruxolitinib</w:t>
            </w:r>
          </w:p>
        </w:tc>
        <w:tc>
          <w:tcPr>
            <w:tcW w:w="748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6"/>
                <w:szCs w:val="16"/>
                <w:color w:val="auto"/>
              </w:rPr>
              <w:t>Steroid-refractory acute GVHD: sNDA under review (REACH1), Phase III (REACH2)</w:t>
            </w:r>
          </w:p>
        </w:tc>
      </w:tr>
      <w:tr>
        <w:trPr>
          <w:trHeight w:val="238"/>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Steroid-refractory chronic GVHD: Phase III (REACH3)</w:t>
            </w:r>
          </w:p>
        </w:tc>
      </w:tr>
      <w:tr>
        <w:trPr>
          <w:trHeight w:val="216"/>
        </w:trPr>
        <w:tc>
          <w:tcPr>
            <w:tcW w:w="1580" w:type="dxa"/>
            <w:vAlign w:val="bottom"/>
            <w:shd w:val="clear" w:color="auto" w:fill="CCEEFF"/>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Essential thrombocythemia: Phase II (RESET)</w:t>
            </w:r>
          </w:p>
        </w:tc>
      </w:tr>
      <w:tr>
        <w:trPr>
          <w:trHeight w:val="234"/>
        </w:trPr>
        <w:tc>
          <w:tcPr>
            <w:tcW w:w="1580" w:type="dxa"/>
            <w:vAlign w:val="bottom"/>
            <w:shd w:val="clear" w:color="auto" w:fill="CCEEFF"/>
          </w:tcPr>
          <w:p>
            <w:pPr>
              <w:spacing w:after="0"/>
              <w:rPr>
                <w:sz w:val="20"/>
                <w:szCs w:val="20"/>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Refractory myelofibrosis: Phase II with PI3Kδ, PIM or JAK1 inhibition</w:t>
            </w:r>
          </w:p>
        </w:tc>
      </w:tr>
      <w:tr>
        <w:trPr>
          <w:trHeight w:val="216"/>
        </w:trPr>
        <w:tc>
          <w:tcPr>
            <w:tcW w:w="15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r>
      <w:tr>
        <w:trPr>
          <w:trHeight w:val="149"/>
        </w:trPr>
        <w:tc>
          <w:tcPr>
            <w:tcW w:w="1580" w:type="dxa"/>
            <w:vAlign w:val="bottom"/>
            <w:shd w:val="clear" w:color="auto" w:fill="F2F2F2"/>
          </w:tcPr>
          <w:p>
            <w:pPr>
              <w:ind w:left="120"/>
              <w:spacing w:after="0" w:line="149" w:lineRule="exact"/>
              <w:rPr>
                <w:sz w:val="20"/>
                <w:szCs w:val="20"/>
                <w:color w:val="auto"/>
              </w:rPr>
            </w:pPr>
            <w:r>
              <w:rPr>
                <w:rFonts w:ascii="Times New Roman" w:cs="Times New Roman" w:eastAsia="Times New Roman" w:hAnsi="Times New Roman"/>
                <w:sz w:val="17"/>
                <w:szCs w:val="17"/>
                <w:b w:val="1"/>
                <w:bCs w:val="1"/>
                <w:color w:val="auto"/>
              </w:rPr>
              <w:t>Itacitinib</w:t>
            </w:r>
          </w:p>
        </w:tc>
        <w:tc>
          <w:tcPr>
            <w:tcW w:w="7480" w:type="dxa"/>
            <w:vAlign w:val="bottom"/>
            <w:shd w:val="clear" w:color="auto" w:fill="F2F2F2"/>
          </w:tcPr>
          <w:p>
            <w:pPr>
              <w:ind w:left="320"/>
              <w:spacing w:after="0" w:line="149" w:lineRule="exact"/>
              <w:rPr>
                <w:sz w:val="20"/>
                <w:szCs w:val="20"/>
                <w:color w:val="auto"/>
              </w:rPr>
            </w:pPr>
            <w:r>
              <w:rPr>
                <w:rFonts w:ascii="Times New Roman" w:cs="Times New Roman" w:eastAsia="Times New Roman" w:hAnsi="Times New Roman"/>
                <w:sz w:val="17"/>
                <w:szCs w:val="17"/>
                <w:color w:val="auto"/>
              </w:rPr>
              <w:t>Treatment-naïve acute GVHD: Phase III (GRAVITAS-301) recruitment completed</w:t>
            </w:r>
          </w:p>
        </w:tc>
      </w:tr>
      <w:tr>
        <w:trPr>
          <w:trHeight w:val="238"/>
        </w:trPr>
        <w:tc>
          <w:tcPr>
            <w:tcW w:w="1580" w:type="dxa"/>
            <w:vAlign w:val="bottom"/>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480" w:type="dxa"/>
            <w:vAlign w:val="bottom"/>
            <w:shd w:val="clear" w:color="auto" w:fill="F2F2F2"/>
          </w:tcPr>
          <w:p>
            <w:pPr>
              <w:ind w:left="320"/>
              <w:spacing w:after="0"/>
              <w:rPr>
                <w:sz w:val="20"/>
                <w:szCs w:val="20"/>
                <w:color w:val="auto"/>
              </w:rPr>
            </w:pPr>
            <w:r>
              <w:rPr>
                <w:rFonts w:ascii="Times New Roman" w:cs="Times New Roman" w:eastAsia="Times New Roman" w:hAnsi="Times New Roman"/>
                <w:sz w:val="18"/>
                <w:szCs w:val="18"/>
                <w:color w:val="auto"/>
              </w:rPr>
              <w:t>Treatment-naïve chronic GVHD: Phase III (GRAVITAS-309)</w:t>
            </w:r>
          </w:p>
        </w:tc>
      </w:tr>
      <w:tr>
        <w:trPr>
          <w:trHeight w:val="234"/>
        </w:trPr>
        <w:tc>
          <w:tcPr>
            <w:tcW w:w="1580" w:type="dxa"/>
            <w:vAlign w:val="bottom"/>
            <w:shd w:val="clear" w:color="auto" w:fill="F2F2F2"/>
          </w:tcPr>
          <w:p>
            <w:pPr>
              <w:spacing w:after="0"/>
              <w:rPr>
                <w:sz w:val="20"/>
                <w:szCs w:val="20"/>
                <w:color w:val="auto"/>
              </w:rPr>
            </w:pPr>
          </w:p>
        </w:tc>
        <w:tc>
          <w:tcPr>
            <w:tcW w:w="7480" w:type="dxa"/>
            <w:vAlign w:val="bottom"/>
            <w:shd w:val="clear" w:color="auto" w:fill="F2F2F2"/>
          </w:tcPr>
          <w:p>
            <w:pPr>
              <w:ind w:left="320"/>
              <w:spacing w:after="0"/>
              <w:rPr>
                <w:sz w:val="20"/>
                <w:szCs w:val="20"/>
                <w:color w:val="auto"/>
              </w:rPr>
            </w:pPr>
            <w:r>
              <w:rPr>
                <w:rFonts w:ascii="Times New Roman" w:cs="Times New Roman" w:eastAsia="Times New Roman" w:hAnsi="Times New Roman"/>
                <w:sz w:val="18"/>
                <w:szCs w:val="18"/>
                <w:color w:val="auto"/>
              </w:rPr>
              <w:t>NSCLC: Phase I/II in combination with EGFR</w:t>
            </w:r>
          </w:p>
        </w:tc>
      </w:tr>
      <w:tr>
        <w:trPr>
          <w:trHeight w:val="230"/>
        </w:trPr>
        <w:tc>
          <w:tcPr>
            <w:tcW w:w="1580" w:type="dxa"/>
            <w:vAlign w:val="bottom"/>
            <w:shd w:val="clear" w:color="auto" w:fill="F2F2F2"/>
          </w:tcPr>
          <w:p>
            <w:pPr>
              <w:spacing w:after="0"/>
              <w:rPr>
                <w:sz w:val="19"/>
                <w:szCs w:val="19"/>
                <w:color w:val="auto"/>
              </w:rPr>
            </w:pPr>
          </w:p>
        </w:tc>
        <w:tc>
          <w:tcPr>
            <w:tcW w:w="7480" w:type="dxa"/>
            <w:vAlign w:val="bottom"/>
            <w:shd w:val="clear" w:color="auto" w:fill="F2F2F2"/>
          </w:tcPr>
          <w:p>
            <w:pPr>
              <w:spacing w:after="0"/>
              <w:rPr>
                <w:sz w:val="19"/>
                <w:szCs w:val="19"/>
                <w:color w:val="auto"/>
              </w:rPr>
            </w:pPr>
          </w:p>
        </w:tc>
      </w:tr>
      <w:tr>
        <w:trPr>
          <w:trHeight w:val="149"/>
        </w:trPr>
        <w:tc>
          <w:tcPr>
            <w:tcW w:w="1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7"/>
                <w:szCs w:val="17"/>
                <w:b w:val="1"/>
                <w:bCs w:val="1"/>
                <w:color w:val="auto"/>
              </w:rPr>
              <w:t>Pemigatinib</w:t>
            </w:r>
          </w:p>
        </w:tc>
        <w:tc>
          <w:tcPr>
            <w:tcW w:w="7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7"/>
                <w:szCs w:val="17"/>
                <w:color w:val="auto"/>
              </w:rPr>
              <w:t>Cholangiocarcinoma: Phase II (FIGHT-202), Phase III (FIGHT-302) now recruiting</w:t>
            </w:r>
          </w:p>
        </w:tc>
      </w:tr>
      <w:tr>
        <w:trPr>
          <w:trHeight w:val="238"/>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(FGFR1/2/3)</w:t>
            </w: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Bladder cancer: Phase II (FIGHT-201)</w:t>
            </w:r>
          </w:p>
        </w:tc>
      </w:tr>
      <w:tr>
        <w:trPr>
          <w:trHeight w:val="216"/>
        </w:trPr>
        <w:tc>
          <w:tcPr>
            <w:tcW w:w="1580" w:type="dxa"/>
            <w:vAlign w:val="bottom"/>
            <w:shd w:val="clear" w:color="auto" w:fill="CCEEFF"/>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8p11 MPN: Phase II (FIGHT-203)</w:t>
            </w:r>
          </w:p>
        </w:tc>
      </w:tr>
      <w:tr>
        <w:trPr>
          <w:trHeight w:val="234"/>
        </w:trPr>
        <w:tc>
          <w:tcPr>
            <w:tcW w:w="1580" w:type="dxa"/>
            <w:vAlign w:val="bottom"/>
            <w:shd w:val="clear" w:color="auto" w:fill="CCEEFF"/>
          </w:tcPr>
          <w:p>
            <w:pPr>
              <w:spacing w:after="0"/>
              <w:rPr>
                <w:sz w:val="20"/>
                <w:szCs w:val="20"/>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Tumor agnostic: Phase II (FIGHT-207) in preparation</w:t>
            </w:r>
          </w:p>
        </w:tc>
      </w:tr>
      <w:tr>
        <w:trPr>
          <w:trHeight w:val="216"/>
        </w:trPr>
        <w:tc>
          <w:tcPr>
            <w:tcW w:w="158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r>
      <w:tr>
        <w:trPr>
          <w:trHeight w:val="149"/>
        </w:trPr>
        <w:tc>
          <w:tcPr>
            <w:tcW w:w="1580" w:type="dxa"/>
            <w:vAlign w:val="bottom"/>
            <w:shd w:val="clear" w:color="auto" w:fill="F2F2F2"/>
          </w:tcPr>
          <w:p>
            <w:pPr>
              <w:ind w:left="120"/>
              <w:spacing w:after="0" w:line="149" w:lineRule="exact"/>
              <w:rPr>
                <w:sz w:val="20"/>
                <w:szCs w:val="20"/>
                <w:color w:val="auto"/>
              </w:rPr>
            </w:pPr>
            <w:r>
              <w:rPr>
                <w:rFonts w:ascii="Times New Roman" w:cs="Times New Roman" w:eastAsia="Times New Roman" w:hAnsi="Times New Roman"/>
                <w:sz w:val="17"/>
                <w:szCs w:val="17"/>
                <w:b w:val="1"/>
                <w:bCs w:val="1"/>
                <w:color w:val="auto"/>
              </w:rPr>
              <w:t>Parsaclisib</w:t>
            </w:r>
          </w:p>
        </w:tc>
        <w:tc>
          <w:tcPr>
            <w:tcW w:w="7480" w:type="dxa"/>
            <w:vAlign w:val="bottom"/>
            <w:shd w:val="clear" w:color="auto" w:fill="F2F2F2"/>
          </w:tcPr>
          <w:p>
            <w:pPr>
              <w:ind w:left="320"/>
              <w:spacing w:after="0" w:line="149" w:lineRule="exact"/>
              <w:rPr>
                <w:sz w:val="20"/>
                <w:szCs w:val="20"/>
                <w:color w:val="auto"/>
              </w:rPr>
            </w:pPr>
            <w:r>
              <w:rPr>
                <w:rFonts w:ascii="Times New Roman" w:cs="Times New Roman" w:eastAsia="Times New Roman" w:hAnsi="Times New Roman"/>
                <w:sz w:val="17"/>
                <w:szCs w:val="17"/>
                <w:color w:val="auto"/>
              </w:rPr>
              <w:t>Follicular lymphoma: Phase II (CITADEL-203)</w:t>
            </w:r>
          </w:p>
        </w:tc>
      </w:tr>
      <w:tr>
        <w:trPr>
          <w:trHeight w:val="238"/>
        </w:trPr>
        <w:tc>
          <w:tcPr>
            <w:tcW w:w="1580" w:type="dxa"/>
            <w:vAlign w:val="bottom"/>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(PI3Kδ)</w:t>
            </w:r>
          </w:p>
        </w:tc>
        <w:tc>
          <w:tcPr>
            <w:tcW w:w="7480" w:type="dxa"/>
            <w:vAlign w:val="bottom"/>
            <w:shd w:val="clear" w:color="auto" w:fill="F2F2F2"/>
          </w:tcPr>
          <w:p>
            <w:pPr>
              <w:ind w:left="320"/>
              <w:spacing w:after="0"/>
              <w:rPr>
                <w:sz w:val="20"/>
                <w:szCs w:val="20"/>
                <w:color w:val="auto"/>
              </w:rPr>
            </w:pPr>
            <w:r>
              <w:rPr>
                <w:rFonts w:ascii="Times New Roman" w:cs="Times New Roman" w:eastAsia="Times New Roman" w:hAnsi="Times New Roman"/>
                <w:sz w:val="18"/>
                <w:szCs w:val="18"/>
                <w:color w:val="auto"/>
              </w:rPr>
              <w:t>Marginal zone lymphoma: Phase II (CITADEL-204)</w:t>
            </w:r>
          </w:p>
        </w:tc>
      </w:tr>
      <w:tr>
        <w:trPr>
          <w:trHeight w:val="234"/>
        </w:trPr>
        <w:tc>
          <w:tcPr>
            <w:tcW w:w="1580" w:type="dxa"/>
            <w:vAlign w:val="bottom"/>
            <w:shd w:val="clear" w:color="auto" w:fill="F2F2F2"/>
          </w:tcPr>
          <w:p>
            <w:pPr>
              <w:spacing w:after="0"/>
              <w:rPr>
                <w:sz w:val="20"/>
                <w:szCs w:val="20"/>
                <w:color w:val="auto"/>
              </w:rPr>
            </w:pPr>
          </w:p>
        </w:tc>
        <w:tc>
          <w:tcPr>
            <w:tcW w:w="7480" w:type="dxa"/>
            <w:vAlign w:val="bottom"/>
            <w:shd w:val="clear" w:color="auto" w:fill="F2F2F2"/>
          </w:tcPr>
          <w:p>
            <w:pPr>
              <w:ind w:left="320"/>
              <w:spacing w:after="0"/>
              <w:rPr>
                <w:sz w:val="20"/>
                <w:szCs w:val="20"/>
                <w:color w:val="auto"/>
              </w:rPr>
            </w:pPr>
            <w:r>
              <w:rPr>
                <w:rFonts w:ascii="Times New Roman" w:cs="Times New Roman" w:eastAsia="Times New Roman" w:hAnsi="Times New Roman"/>
                <w:sz w:val="18"/>
                <w:szCs w:val="18"/>
                <w:color w:val="auto"/>
              </w:rPr>
              <w:t>Mantle cell lymphoma: Phase II (CITADEL-205)</w:t>
            </w:r>
          </w:p>
        </w:tc>
      </w:tr>
      <w:tr>
        <w:trPr>
          <w:trHeight w:val="230"/>
        </w:trPr>
        <w:tc>
          <w:tcPr>
            <w:tcW w:w="1580" w:type="dxa"/>
            <w:vAlign w:val="bottom"/>
            <w:shd w:val="clear" w:color="auto" w:fill="F2F2F2"/>
          </w:tcPr>
          <w:p>
            <w:pPr>
              <w:spacing w:after="0"/>
              <w:rPr>
                <w:sz w:val="19"/>
                <w:szCs w:val="19"/>
                <w:color w:val="auto"/>
              </w:rPr>
            </w:pPr>
          </w:p>
        </w:tc>
        <w:tc>
          <w:tcPr>
            <w:tcW w:w="7480" w:type="dxa"/>
            <w:vAlign w:val="bottom"/>
            <w:shd w:val="clear" w:color="auto" w:fill="F2F2F2"/>
          </w:tcPr>
          <w:p>
            <w:pPr>
              <w:spacing w:after="0"/>
              <w:rPr>
                <w:sz w:val="19"/>
                <w:szCs w:val="19"/>
                <w:color w:val="auto"/>
              </w:rPr>
            </w:pPr>
          </w:p>
        </w:tc>
      </w:tr>
      <w:tr>
        <w:trPr>
          <w:trHeight w:val="149"/>
        </w:trPr>
        <w:tc>
          <w:tcPr>
            <w:tcW w:w="15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7"/>
                <w:szCs w:val="17"/>
                <w:b w:val="1"/>
                <w:bCs w:val="1"/>
                <w:color w:val="auto"/>
              </w:rPr>
              <w:t>INCMGA0012</w:t>
            </w:r>
          </w:p>
        </w:tc>
        <w:tc>
          <w:tcPr>
            <w:tcW w:w="74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7"/>
                <w:szCs w:val="17"/>
                <w:color w:val="auto"/>
              </w:rPr>
              <w:t>MSI-high endometrial cancer: Phase II (POD1UM-101)</w:t>
            </w:r>
          </w:p>
        </w:tc>
      </w:tr>
      <w:tr>
        <w:trPr>
          <w:trHeight w:val="238"/>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(PD-1)</w:t>
            </w:r>
            <w:r>
              <w:rPr>
                <w:rFonts w:ascii="Times New Roman" w:cs="Times New Roman" w:eastAsia="Times New Roman" w:hAnsi="Times New Roman"/>
                <w:sz w:val="8"/>
                <w:szCs w:val="8"/>
                <w:b w:val="1"/>
                <w:bCs w:val="1"/>
                <w:color w:val="auto"/>
              </w:rPr>
              <w:t>1</w:t>
            </w: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Merkel cell carcinoma: Phase II (POD1UM-201)</w:t>
            </w:r>
          </w:p>
        </w:tc>
      </w:tr>
      <w:tr>
        <w:trPr>
          <w:trHeight w:val="234"/>
        </w:trPr>
        <w:tc>
          <w:tcPr>
            <w:tcW w:w="1580" w:type="dxa"/>
            <w:vAlign w:val="bottom"/>
            <w:shd w:val="clear" w:color="auto" w:fill="CCEEFF"/>
          </w:tcPr>
          <w:p>
            <w:pPr>
              <w:spacing w:after="0"/>
              <w:rPr>
                <w:sz w:val="20"/>
                <w:szCs w:val="20"/>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Anal cancer: Phase II (POD1UM-202)</w:t>
            </w:r>
          </w:p>
        </w:tc>
      </w:tr>
      <w:tr>
        <w:trPr>
          <w:trHeight w:val="230"/>
        </w:trPr>
        <w:tc>
          <w:tcPr>
            <w:tcW w:w="1580" w:type="dxa"/>
            <w:vAlign w:val="bottom"/>
            <w:tcBorders>
              <w:bottom w:val="single" w:sz="8" w:color="auto"/>
            </w:tcBorders>
            <w:shd w:val="clear" w:color="auto" w:fill="CCEEFF"/>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19"/>
                <w:szCs w:val="19"/>
                <w:color w:val="auto"/>
              </w:rPr>
            </w:pPr>
          </w:p>
        </w:tc>
      </w:tr>
    </w:tbl>
    <w:p>
      <w:pPr>
        <w:spacing w:after="0" w:line="198" w:lineRule="exact"/>
        <w:rPr>
          <w:sz w:val="20"/>
          <w:szCs w:val="20"/>
          <w:color w:val="auto"/>
        </w:rPr>
      </w:pPr>
    </w:p>
    <w:p>
      <w:pPr>
        <w:ind w:left="120" w:hanging="117"/>
        <w:spacing w:after="0"/>
        <w:tabs>
          <w:tab w:leader="none" w:pos="12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INCMGA0012 licensed from MacroGenics.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Programs</w:t>
      </w:r>
    </w:p>
    <w:p>
      <w:pPr>
        <w:spacing w:after="0" w:line="22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We also have a number of other earlier-stage clinical programs, as detailed in the table below. We intend to describe these programs more fully if we obtain clinical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concept and establish that a program warrants further development in a specific indication or group of indications.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28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6780" w:type="dxa"/>
            <w:vAlign w:val="bottom"/>
            <w:tcBorders>
              <w:top w:val="single" w:sz="8" w:color="auto"/>
              <w:bottom w:val="single" w:sz="8" w:color="F2F2F2"/>
            </w:tcBorders>
            <w:shd w:val="clear" w:color="auto" w:fill="F2F2F2"/>
          </w:tcPr>
          <w:p>
            <w:pPr>
              <w:ind w:left="360"/>
              <w:spacing w:after="0"/>
              <w:rPr>
                <w:sz w:val="20"/>
                <w:szCs w:val="20"/>
                <w:color w:val="auto"/>
              </w:rPr>
            </w:pPr>
            <w:r>
              <w:rPr>
                <w:rFonts w:ascii="Times New Roman" w:cs="Times New Roman" w:eastAsia="Times New Roman" w:hAnsi="Times New Roman"/>
                <w:sz w:val="18"/>
                <w:szCs w:val="18"/>
                <w:b w:val="1"/>
                <w:bCs w:val="1"/>
                <w:color w:val="auto"/>
              </w:rPr>
              <w:t>Candidates</w:t>
            </w:r>
          </w:p>
        </w:tc>
      </w:tr>
      <w:tr>
        <w:trPr>
          <w:trHeight w:val="191"/>
        </w:trPr>
        <w:tc>
          <w:tcPr>
            <w:tcW w:w="2280" w:type="dxa"/>
            <w:vAlign w:val="bottom"/>
            <w:tcBorders>
              <w:top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Small molecules</w:t>
            </w:r>
          </w:p>
        </w:tc>
        <w:tc>
          <w:tcPr>
            <w:tcW w:w="678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INCB01158 (ARG)</w:t>
            </w:r>
            <w:r>
              <w:rPr>
                <w:rFonts w:ascii="Times New Roman" w:cs="Times New Roman" w:eastAsia="Times New Roman" w:hAnsi="Times New Roman"/>
                <w:sz w:val="8"/>
                <w:szCs w:val="8"/>
                <w:color w:val="auto"/>
              </w:rPr>
              <w:t>1</w:t>
            </w:r>
            <w:r>
              <w:rPr>
                <w:rFonts w:ascii="Times New Roman" w:cs="Times New Roman" w:eastAsia="Times New Roman" w:hAnsi="Times New Roman"/>
                <w:sz w:val="18"/>
                <w:szCs w:val="18"/>
                <w:color w:val="auto"/>
              </w:rPr>
              <w:t>, INCB81776 (AXL/MER), INCB62079 (FGFR4), Epacadostat</w:t>
            </w:r>
          </w:p>
        </w:tc>
      </w:tr>
      <w:tr>
        <w:trPr>
          <w:trHeight w:val="234"/>
        </w:trPr>
        <w:tc>
          <w:tcPr>
            <w:tcW w:w="2280" w:type="dxa"/>
            <w:vAlign w:val="bottom"/>
            <w:shd w:val="clear" w:color="auto" w:fill="CCEEFF"/>
          </w:tcPr>
          <w:p>
            <w:pPr>
              <w:spacing w:after="0"/>
              <w:rPr>
                <w:sz w:val="20"/>
                <w:szCs w:val="20"/>
                <w:color w:val="auto"/>
              </w:rPr>
            </w:pPr>
          </w:p>
        </w:tc>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(IDO1), INCB59872 (LSD1), INCB53914 (PIM), INCB86550 (PD-L1)</w:t>
            </w:r>
          </w:p>
        </w:tc>
      </w:tr>
      <w:tr>
        <w:trPr>
          <w:trHeight w:val="243"/>
        </w:trPr>
        <w:tc>
          <w:tcPr>
            <w:tcW w:w="2280" w:type="dxa"/>
            <w:vAlign w:val="bottom"/>
            <w:shd w:val="clear" w:color="auto" w:fill="CCEEFF"/>
          </w:tcPr>
          <w:p>
            <w:pPr>
              <w:spacing w:after="0"/>
              <w:rPr>
                <w:sz w:val="21"/>
                <w:szCs w:val="21"/>
                <w:color w:val="auto"/>
              </w:rPr>
            </w:pPr>
          </w:p>
        </w:tc>
        <w:tc>
          <w:tcPr>
            <w:tcW w:w="6780" w:type="dxa"/>
            <w:vAlign w:val="bottom"/>
            <w:shd w:val="clear" w:color="auto" w:fill="CCEEFF"/>
          </w:tcPr>
          <w:p>
            <w:pPr>
              <w:spacing w:after="0"/>
              <w:rPr>
                <w:sz w:val="21"/>
                <w:szCs w:val="21"/>
                <w:color w:val="auto"/>
              </w:rPr>
            </w:pPr>
          </w:p>
        </w:tc>
      </w:tr>
      <w:tr>
        <w:trPr>
          <w:trHeight w:val="198"/>
        </w:trPr>
        <w:tc>
          <w:tcPr>
            <w:tcW w:w="2280" w:type="dxa"/>
            <w:vAlign w:val="bottom"/>
            <w:shd w:val="clear" w:color="auto" w:fill="F2F2F2"/>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Monoclonal antibodies</w:t>
            </w:r>
            <w:r>
              <w:rPr>
                <w:rFonts w:ascii="Times New Roman" w:cs="Times New Roman" w:eastAsia="Times New Roman" w:hAnsi="Times New Roman"/>
                <w:sz w:val="8"/>
                <w:szCs w:val="8"/>
                <w:b w:val="1"/>
                <w:bCs w:val="1"/>
                <w:color w:val="auto"/>
              </w:rPr>
              <w:t>2</w:t>
            </w:r>
          </w:p>
        </w:tc>
        <w:tc>
          <w:tcPr>
            <w:tcW w:w="6780" w:type="dxa"/>
            <w:vAlign w:val="bottom"/>
            <w:shd w:val="clear" w:color="auto" w:fill="F2F2F2"/>
          </w:tcPr>
          <w:p>
            <w:pPr>
              <w:ind w:left="360"/>
              <w:spacing w:after="0" w:line="198" w:lineRule="exact"/>
              <w:rPr>
                <w:sz w:val="20"/>
                <w:szCs w:val="20"/>
                <w:color w:val="auto"/>
              </w:rPr>
            </w:pPr>
            <w:r>
              <w:rPr>
                <w:rFonts w:ascii="Times New Roman" w:cs="Times New Roman" w:eastAsia="Times New Roman" w:hAnsi="Times New Roman"/>
                <w:sz w:val="18"/>
                <w:szCs w:val="18"/>
                <w:color w:val="auto"/>
              </w:rPr>
              <w:t>INCAGN1876 (GITR), INCAGN2385 (LAG-3), INCAGN1949 (OX40),</w:t>
            </w:r>
          </w:p>
        </w:tc>
      </w:tr>
      <w:tr>
        <w:trPr>
          <w:trHeight w:val="234"/>
        </w:trPr>
        <w:tc>
          <w:tcPr>
            <w:tcW w:w="2280" w:type="dxa"/>
            <w:vAlign w:val="bottom"/>
            <w:shd w:val="clear" w:color="auto" w:fill="F2F2F2"/>
          </w:tcPr>
          <w:p>
            <w:pPr>
              <w:spacing w:after="0"/>
              <w:rPr>
                <w:sz w:val="20"/>
                <w:szCs w:val="20"/>
                <w:color w:val="auto"/>
              </w:rPr>
            </w:pPr>
          </w:p>
        </w:tc>
        <w:tc>
          <w:tcPr>
            <w:tcW w:w="6780" w:type="dxa"/>
            <w:vAlign w:val="bottom"/>
            <w:shd w:val="clear" w:color="auto" w:fill="F2F2F2"/>
          </w:tcPr>
          <w:p>
            <w:pPr>
              <w:ind w:left="360"/>
              <w:spacing w:after="0"/>
              <w:rPr>
                <w:sz w:val="20"/>
                <w:szCs w:val="20"/>
                <w:color w:val="auto"/>
              </w:rPr>
            </w:pPr>
            <w:r>
              <w:rPr>
                <w:rFonts w:ascii="Times New Roman" w:cs="Times New Roman" w:eastAsia="Times New Roman" w:hAnsi="Times New Roman"/>
                <w:sz w:val="18"/>
                <w:szCs w:val="18"/>
                <w:color w:val="auto"/>
              </w:rPr>
              <w:t>INCAGN2390 (TIM-3)</w:t>
            </w:r>
          </w:p>
        </w:tc>
      </w:tr>
      <w:tr>
        <w:trPr>
          <w:trHeight w:val="243"/>
        </w:trPr>
        <w:tc>
          <w:tcPr>
            <w:tcW w:w="2280" w:type="dxa"/>
            <w:vAlign w:val="bottom"/>
            <w:shd w:val="clear" w:color="auto" w:fill="F2F2F2"/>
          </w:tcPr>
          <w:p>
            <w:pPr>
              <w:spacing w:after="0"/>
              <w:rPr>
                <w:sz w:val="21"/>
                <w:szCs w:val="21"/>
                <w:color w:val="auto"/>
              </w:rPr>
            </w:pPr>
          </w:p>
        </w:tc>
        <w:tc>
          <w:tcPr>
            <w:tcW w:w="6780" w:type="dxa"/>
            <w:vAlign w:val="bottom"/>
            <w:shd w:val="clear" w:color="auto" w:fill="F2F2F2"/>
          </w:tcPr>
          <w:p>
            <w:pPr>
              <w:spacing w:after="0"/>
              <w:rPr>
                <w:sz w:val="21"/>
                <w:szCs w:val="21"/>
                <w:color w:val="auto"/>
              </w:rPr>
            </w:pPr>
          </w:p>
        </w:tc>
      </w:tr>
      <w:tr>
        <w:trPr>
          <w:trHeight w:val="238"/>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Bispecific antibodies</w:t>
            </w:r>
          </w:p>
        </w:tc>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MCLA-145 (PD-L1xCD137)</w:t>
            </w:r>
            <w:r>
              <w:rPr>
                <w:rFonts w:ascii="Times New Roman" w:cs="Times New Roman" w:eastAsia="Times New Roman" w:hAnsi="Times New Roman"/>
                <w:sz w:val="8"/>
                <w:szCs w:val="8"/>
                <w:color w:val="auto"/>
              </w:rPr>
              <w:t>3</w:t>
            </w:r>
          </w:p>
        </w:tc>
      </w:tr>
      <w:tr>
        <w:trPr>
          <w:trHeight w:val="153"/>
        </w:trPr>
        <w:tc>
          <w:tcPr>
            <w:tcW w:w="2280" w:type="dxa"/>
            <w:vAlign w:val="bottom"/>
            <w:tcBorders>
              <w:bottom w:val="single" w:sz="8" w:color="auto"/>
            </w:tcBorders>
            <w:shd w:val="clear" w:color="auto" w:fill="CCEEFF"/>
          </w:tcPr>
          <w:p>
            <w:pPr>
              <w:spacing w:after="0"/>
              <w:rPr>
                <w:sz w:val="13"/>
                <w:szCs w:val="13"/>
                <w:color w:val="auto"/>
              </w:rPr>
            </w:pPr>
          </w:p>
        </w:tc>
        <w:tc>
          <w:tcPr>
            <w:tcW w:w="6780" w:type="dxa"/>
            <w:vAlign w:val="bottom"/>
            <w:tcBorders>
              <w:bottom w:val="single" w:sz="8" w:color="auto"/>
            </w:tcBorders>
            <w:shd w:val="clear" w:color="auto" w:fill="CCEEFF"/>
          </w:tcPr>
          <w:p>
            <w:pPr>
              <w:spacing w:after="0"/>
              <w:rPr>
                <w:sz w:val="13"/>
                <w:szCs w:val="13"/>
                <w:color w:val="auto"/>
              </w:rPr>
            </w:pPr>
          </w:p>
        </w:tc>
      </w:tr>
    </w:tbl>
    <w:p>
      <w:pPr>
        <w:spacing w:after="0" w:line="198" w:lineRule="exact"/>
        <w:rPr>
          <w:sz w:val="20"/>
          <w:szCs w:val="20"/>
          <w:color w:val="auto"/>
        </w:rPr>
      </w:pPr>
    </w:p>
    <w:p>
      <w:pPr>
        <w:ind w:left="120" w:hanging="117"/>
        <w:spacing w:after="0"/>
        <w:tabs>
          <w:tab w:leader="none" w:pos="12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INCB01158 development in collaboration with Calithera Biosciences, Inc.</w:t>
      </w:r>
    </w:p>
    <w:p>
      <w:pPr>
        <w:spacing w:after="0" w:line="27" w:lineRule="exact"/>
        <w:rPr>
          <w:rFonts w:ascii="Times New Roman" w:cs="Times New Roman" w:eastAsia="Times New Roman" w:hAnsi="Times New Roman"/>
          <w:sz w:val="9"/>
          <w:szCs w:val="9"/>
          <w:color w:val="auto"/>
        </w:rPr>
      </w:pPr>
    </w:p>
    <w:p>
      <w:pPr>
        <w:ind w:left="120" w:hanging="117"/>
        <w:spacing w:after="0"/>
        <w:tabs>
          <w:tab w:leader="none" w:pos="12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Discovery collaboration with Agenus Inc.</w:t>
      </w:r>
    </w:p>
    <w:p>
      <w:pPr>
        <w:spacing w:after="0" w:line="9" w:lineRule="exact"/>
        <w:rPr>
          <w:rFonts w:ascii="Times New Roman" w:cs="Times New Roman" w:eastAsia="Times New Roman" w:hAnsi="Times New Roman"/>
          <w:sz w:val="9"/>
          <w:szCs w:val="9"/>
          <w:color w:val="auto"/>
        </w:rPr>
      </w:pPr>
    </w:p>
    <w:p>
      <w:pPr>
        <w:ind w:left="120" w:hanging="117"/>
        <w:spacing w:after="0"/>
        <w:tabs>
          <w:tab w:leader="none" w:pos="12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MCLA-145 development in collaboration with Merus N.V.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 outside Oncology</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2018, we announced that a Phase II trial of ruxolitinib cream for the topical treatment of atopic dermatitis showed a significant benefit over vehicle control and a global, pivotal Phase III program was initiated in December 2018. Atopic dermatitis is a skin disorder that causes the skin to become red, scaly, and itchy. Onset can occur at any age, but is much more common in infants and children. United States and European prevalence are estimated at 10.3 million patients and 6.5 million patients, respectively. A Phase II trial of ruxolitinib cream in patients with vitiligo, a long term skin condition characterized by patches of the skin losing their pigment, was initiated in June 2017.</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Phase II trial of ruxolitinib cream in patients with vitiligo, a long term skin condition characterized by patches of the skin losing their pigment, was recently completed, and plans for a Phase III program are underway.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Phase II trial of INCB54707, a JAK1 selective inhibitor, is ongoing in patients with hidradenitis suppurativa, an inflammatory skin disease.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Phase II trial of itacitinib, a JAK1 selective inhibitor, has been initiated in patients with ulcerative colitis.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Phase II trials of parsaclisib, a PI3Kδ inhibitor, in autoimmune hemolytic anemia and Sjögren's syndrome are underway. Plans for a Phase II trial in pemphigus vulgaris have been withdrawn.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920" w:type="dxa"/>
            <w:vAlign w:val="bottom"/>
            <w:tcBorders>
              <w:top w:val="single" w:sz="8" w:color="auto"/>
              <w:bottom w:val="single" w:sz="8" w:color="F2F2F2"/>
            </w:tcBorders>
            <w:shd w:val="clear" w:color="auto" w:fill="F2F2F2"/>
          </w:tcPr>
          <w:p>
            <w:pPr>
              <w:spacing w:after="0"/>
              <w:rPr>
                <w:sz w:val="24"/>
                <w:szCs w:val="24"/>
                <w:color w:val="auto"/>
              </w:rPr>
            </w:pPr>
          </w:p>
        </w:tc>
        <w:tc>
          <w:tcPr>
            <w:tcW w:w="7140" w:type="dxa"/>
            <w:vAlign w:val="bottom"/>
            <w:tcBorders>
              <w:top w:val="single" w:sz="8" w:color="auto"/>
              <w:bottom w:val="single" w:sz="8" w:color="F2F2F2"/>
            </w:tcBorders>
            <w:shd w:val="clear" w:color="auto" w:fill="F2F2F2"/>
          </w:tcPr>
          <w:p>
            <w:pPr>
              <w:ind w:left="36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160"/>
        </w:trPr>
        <w:tc>
          <w:tcPr>
            <w:tcW w:w="1920" w:type="dxa"/>
            <w:vAlign w:val="bottom"/>
            <w:tcBorders>
              <w:top w:val="single" w:sz="8" w:color="auto"/>
            </w:tcBorders>
            <w:shd w:val="clear" w:color="auto" w:fill="CCEEFF"/>
          </w:tcPr>
          <w:p>
            <w:pPr>
              <w:ind w:left="120"/>
              <w:spacing w:after="0" w:line="160" w:lineRule="exact"/>
              <w:rPr>
                <w:sz w:val="20"/>
                <w:szCs w:val="20"/>
                <w:color w:val="auto"/>
              </w:rPr>
            </w:pPr>
            <w:r>
              <w:rPr>
                <w:rFonts w:ascii="Times New Roman" w:cs="Times New Roman" w:eastAsia="Times New Roman" w:hAnsi="Times New Roman"/>
                <w:sz w:val="18"/>
                <w:szCs w:val="18"/>
                <w:b w:val="1"/>
                <w:bCs w:val="1"/>
                <w:color w:val="auto"/>
              </w:rPr>
              <w:t>Ruxolitinib cream</w:t>
            </w:r>
            <w:r>
              <w:rPr>
                <w:rFonts w:ascii="Times New Roman" w:cs="Times New Roman" w:eastAsia="Times New Roman" w:hAnsi="Times New Roman"/>
                <w:sz w:val="18"/>
                <w:szCs w:val="18"/>
                <w:b w:val="1"/>
                <w:bCs w:val="1"/>
                <w:color w:val="auto"/>
                <w:vertAlign w:val="superscript"/>
              </w:rPr>
              <w:t>1</w:t>
            </w:r>
          </w:p>
        </w:tc>
        <w:tc>
          <w:tcPr>
            <w:tcW w:w="7140" w:type="dxa"/>
            <w:vAlign w:val="bottom"/>
            <w:tcBorders>
              <w:top w:val="single" w:sz="8" w:color="auto"/>
            </w:tcBorders>
            <w:shd w:val="clear" w:color="auto" w:fill="CCEEFF"/>
          </w:tcPr>
          <w:p>
            <w:pPr>
              <w:ind w:left="360"/>
              <w:spacing w:after="0" w:line="160" w:lineRule="exact"/>
              <w:rPr>
                <w:sz w:val="20"/>
                <w:szCs w:val="20"/>
                <w:color w:val="auto"/>
              </w:rPr>
            </w:pPr>
            <w:r>
              <w:rPr>
                <w:rFonts w:ascii="Times New Roman" w:cs="Times New Roman" w:eastAsia="Times New Roman" w:hAnsi="Times New Roman"/>
                <w:sz w:val="18"/>
                <w:szCs w:val="18"/>
                <w:color w:val="auto"/>
              </w:rPr>
              <w:t>Atopic dermatitis: Phase III (TRuE-AD)</w:t>
            </w:r>
          </w:p>
        </w:tc>
      </w:tr>
      <w:tr>
        <w:trPr>
          <w:trHeight w:val="238"/>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Vitiligo: Phase III in preparation (TRuE-V)</w:t>
            </w:r>
          </w:p>
        </w:tc>
      </w:tr>
      <w:tr>
        <w:trPr>
          <w:trHeight w:val="95"/>
        </w:trPr>
        <w:tc>
          <w:tcPr>
            <w:tcW w:w="1920" w:type="dxa"/>
            <w:vAlign w:val="bottom"/>
            <w:shd w:val="clear" w:color="auto" w:fill="CCEEFF"/>
          </w:tcPr>
          <w:p>
            <w:pPr>
              <w:spacing w:after="0"/>
              <w:rPr>
                <w:sz w:val="8"/>
                <w:szCs w:val="8"/>
                <w:color w:val="auto"/>
              </w:rPr>
            </w:pPr>
          </w:p>
        </w:tc>
        <w:tc>
          <w:tcPr>
            <w:tcW w:w="7140" w:type="dxa"/>
            <w:vAlign w:val="bottom"/>
            <w:shd w:val="clear" w:color="auto" w:fill="CCEEFF"/>
          </w:tcPr>
          <w:p>
            <w:pPr>
              <w:spacing w:after="0"/>
              <w:rPr>
                <w:sz w:val="8"/>
                <w:szCs w:val="8"/>
                <w:color w:val="auto"/>
              </w:rPr>
            </w:pPr>
          </w:p>
        </w:tc>
      </w:tr>
      <w:tr>
        <w:trPr>
          <w:trHeight w:val="180"/>
        </w:trPr>
        <w:tc>
          <w:tcPr>
            <w:tcW w:w="1920" w:type="dxa"/>
            <w:vAlign w:val="bottom"/>
            <w:shd w:val="clear" w:color="auto" w:fill="F2F2F2"/>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INCB54707</w:t>
            </w:r>
          </w:p>
        </w:tc>
        <w:tc>
          <w:tcPr>
            <w:tcW w:w="7140" w:type="dxa"/>
            <w:vAlign w:val="bottom"/>
            <w:shd w:val="clear" w:color="auto" w:fill="F2F2F2"/>
          </w:tcPr>
          <w:p>
            <w:pPr>
              <w:ind w:left="360"/>
              <w:spacing w:after="0" w:line="180" w:lineRule="exact"/>
              <w:rPr>
                <w:sz w:val="20"/>
                <w:szCs w:val="20"/>
                <w:color w:val="auto"/>
              </w:rPr>
            </w:pPr>
            <w:r>
              <w:rPr>
                <w:rFonts w:ascii="Times New Roman" w:cs="Times New Roman" w:eastAsia="Times New Roman" w:hAnsi="Times New Roman"/>
                <w:sz w:val="18"/>
                <w:szCs w:val="18"/>
                <w:color w:val="auto"/>
              </w:rPr>
              <w:t>Hidradenitis suppurativa: Phase II</w:t>
            </w:r>
          </w:p>
        </w:tc>
      </w:tr>
      <w:tr>
        <w:trPr>
          <w:trHeight w:val="238"/>
        </w:trPr>
        <w:tc>
          <w:tcPr>
            <w:tcW w:w="1920" w:type="dxa"/>
            <w:vAlign w:val="bottom"/>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140" w:type="dxa"/>
            <w:vAlign w:val="bottom"/>
            <w:shd w:val="clear" w:color="auto" w:fill="F2F2F2"/>
          </w:tcPr>
          <w:p>
            <w:pPr>
              <w:spacing w:after="0"/>
              <w:rPr>
                <w:sz w:val="20"/>
                <w:szCs w:val="20"/>
                <w:color w:val="auto"/>
              </w:rPr>
            </w:pPr>
          </w:p>
        </w:tc>
      </w:tr>
      <w:tr>
        <w:trPr>
          <w:trHeight w:val="95"/>
        </w:trPr>
        <w:tc>
          <w:tcPr>
            <w:tcW w:w="1920" w:type="dxa"/>
            <w:vAlign w:val="bottom"/>
            <w:shd w:val="clear" w:color="auto" w:fill="F2F2F2"/>
          </w:tcPr>
          <w:p>
            <w:pPr>
              <w:spacing w:after="0"/>
              <w:rPr>
                <w:sz w:val="8"/>
                <w:szCs w:val="8"/>
                <w:color w:val="auto"/>
              </w:rPr>
            </w:pPr>
          </w:p>
        </w:tc>
        <w:tc>
          <w:tcPr>
            <w:tcW w:w="7140" w:type="dxa"/>
            <w:vAlign w:val="bottom"/>
            <w:shd w:val="clear" w:color="auto" w:fill="F2F2F2"/>
          </w:tcPr>
          <w:p>
            <w:pPr>
              <w:spacing w:after="0"/>
              <w:rPr>
                <w:sz w:val="8"/>
                <w:szCs w:val="8"/>
                <w:color w:val="auto"/>
              </w:rPr>
            </w:pPr>
          </w:p>
        </w:tc>
      </w:tr>
      <w:tr>
        <w:trPr>
          <w:trHeight w:val="149"/>
        </w:trPr>
        <w:tc>
          <w:tcPr>
            <w:tcW w:w="19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7"/>
                <w:szCs w:val="17"/>
                <w:b w:val="1"/>
                <w:bCs w:val="1"/>
                <w:color w:val="auto"/>
              </w:rPr>
              <w:t>Itacitinib</w:t>
            </w:r>
          </w:p>
        </w:tc>
        <w:tc>
          <w:tcPr>
            <w:tcW w:w="714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7"/>
                <w:szCs w:val="17"/>
                <w:color w:val="auto"/>
              </w:rPr>
              <w:t>Ulcerative colitis: Phase II</w:t>
            </w:r>
          </w:p>
        </w:tc>
      </w:tr>
      <w:tr>
        <w:trPr>
          <w:trHeight w:val="238"/>
        </w:trPr>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7140" w:type="dxa"/>
            <w:vAlign w:val="bottom"/>
            <w:shd w:val="clear" w:color="auto" w:fill="CCEEFF"/>
          </w:tcPr>
          <w:p>
            <w:pPr>
              <w:spacing w:after="0"/>
              <w:rPr>
                <w:sz w:val="20"/>
                <w:szCs w:val="20"/>
                <w:color w:val="auto"/>
              </w:rPr>
            </w:pPr>
          </w:p>
        </w:tc>
      </w:tr>
      <w:tr>
        <w:trPr>
          <w:trHeight w:val="126"/>
        </w:trPr>
        <w:tc>
          <w:tcPr>
            <w:tcW w:w="1920" w:type="dxa"/>
            <w:vAlign w:val="bottom"/>
            <w:shd w:val="clear" w:color="auto" w:fill="CCEEFF"/>
          </w:tcPr>
          <w:p>
            <w:pPr>
              <w:spacing w:after="0"/>
              <w:rPr>
                <w:sz w:val="10"/>
                <w:szCs w:val="10"/>
                <w:color w:val="auto"/>
              </w:rPr>
            </w:pPr>
          </w:p>
        </w:tc>
        <w:tc>
          <w:tcPr>
            <w:tcW w:w="7140" w:type="dxa"/>
            <w:vAlign w:val="bottom"/>
            <w:shd w:val="clear" w:color="auto" w:fill="CCEEFF"/>
          </w:tcPr>
          <w:p>
            <w:pPr>
              <w:spacing w:after="0"/>
              <w:rPr>
                <w:sz w:val="10"/>
                <w:szCs w:val="10"/>
                <w:color w:val="auto"/>
              </w:rPr>
            </w:pPr>
          </w:p>
        </w:tc>
      </w:tr>
      <w:tr>
        <w:trPr>
          <w:trHeight w:val="149"/>
        </w:trPr>
        <w:tc>
          <w:tcPr>
            <w:tcW w:w="1920" w:type="dxa"/>
            <w:vAlign w:val="bottom"/>
            <w:shd w:val="clear" w:color="auto" w:fill="F2F2F2"/>
          </w:tcPr>
          <w:p>
            <w:pPr>
              <w:ind w:left="120"/>
              <w:spacing w:after="0" w:line="149" w:lineRule="exact"/>
              <w:rPr>
                <w:sz w:val="20"/>
                <w:szCs w:val="20"/>
                <w:color w:val="auto"/>
              </w:rPr>
            </w:pPr>
            <w:r>
              <w:rPr>
                <w:rFonts w:ascii="Times New Roman" w:cs="Times New Roman" w:eastAsia="Times New Roman" w:hAnsi="Times New Roman"/>
                <w:sz w:val="17"/>
                <w:szCs w:val="17"/>
                <w:b w:val="1"/>
                <w:bCs w:val="1"/>
                <w:color w:val="auto"/>
              </w:rPr>
              <w:t>Parsaclisib</w:t>
            </w:r>
          </w:p>
        </w:tc>
        <w:tc>
          <w:tcPr>
            <w:tcW w:w="7140" w:type="dxa"/>
            <w:vAlign w:val="bottom"/>
            <w:shd w:val="clear" w:color="auto" w:fill="F2F2F2"/>
          </w:tcPr>
          <w:p>
            <w:pPr>
              <w:ind w:left="360"/>
              <w:spacing w:after="0" w:line="149" w:lineRule="exact"/>
              <w:rPr>
                <w:sz w:val="20"/>
                <w:szCs w:val="20"/>
                <w:color w:val="auto"/>
              </w:rPr>
            </w:pPr>
            <w:r>
              <w:rPr>
                <w:rFonts w:ascii="Times New Roman" w:cs="Times New Roman" w:eastAsia="Times New Roman" w:hAnsi="Times New Roman"/>
                <w:sz w:val="17"/>
                <w:szCs w:val="17"/>
                <w:color w:val="auto"/>
              </w:rPr>
              <w:t>Autoimmune hemolytic anemia: Phase II</w:t>
            </w:r>
          </w:p>
        </w:tc>
      </w:tr>
      <w:tr>
        <w:trPr>
          <w:trHeight w:val="257"/>
        </w:trPr>
        <w:tc>
          <w:tcPr>
            <w:tcW w:w="1920" w:type="dxa"/>
            <w:vAlign w:val="bottom"/>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(PI3Kδ)</w:t>
            </w:r>
          </w:p>
        </w:tc>
        <w:tc>
          <w:tcPr>
            <w:tcW w:w="7140" w:type="dxa"/>
            <w:vAlign w:val="bottom"/>
            <w:shd w:val="clear" w:color="auto" w:fill="F2F2F2"/>
          </w:tcPr>
          <w:p>
            <w:pPr>
              <w:ind w:left="360"/>
              <w:spacing w:after="0"/>
              <w:rPr>
                <w:sz w:val="20"/>
                <w:szCs w:val="20"/>
                <w:color w:val="auto"/>
              </w:rPr>
            </w:pPr>
            <w:r>
              <w:rPr>
                <w:rFonts w:ascii="Times New Roman" w:cs="Times New Roman" w:eastAsia="Times New Roman" w:hAnsi="Times New Roman"/>
                <w:sz w:val="18"/>
                <w:szCs w:val="18"/>
                <w:color w:val="auto"/>
              </w:rPr>
              <w:t>Sjögren's syndrome: Phase II</w:t>
            </w:r>
          </w:p>
        </w:tc>
      </w:tr>
      <w:tr>
        <w:trPr>
          <w:trHeight w:val="108"/>
        </w:trPr>
        <w:tc>
          <w:tcPr>
            <w:tcW w:w="1920" w:type="dxa"/>
            <w:vAlign w:val="bottom"/>
            <w:tcBorders>
              <w:bottom w:val="single" w:sz="8" w:color="auto"/>
            </w:tcBorders>
            <w:shd w:val="clear" w:color="auto" w:fill="F2F2F2"/>
          </w:tcPr>
          <w:p>
            <w:pPr>
              <w:spacing w:after="0"/>
              <w:rPr>
                <w:sz w:val="9"/>
                <w:szCs w:val="9"/>
                <w:color w:val="auto"/>
              </w:rPr>
            </w:pPr>
          </w:p>
        </w:tc>
        <w:tc>
          <w:tcPr>
            <w:tcW w:w="7140" w:type="dxa"/>
            <w:vAlign w:val="bottom"/>
            <w:tcBorders>
              <w:bottom w:val="single" w:sz="8" w:color="auto"/>
            </w:tcBorders>
            <w:shd w:val="clear" w:color="auto" w:fill="F2F2F2"/>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
        <w:spacing w:after="0" w:line="282" w:lineRule="auto"/>
        <w:tabs>
          <w:tab w:leader="none" w:pos="122"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Partnered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47"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Current rheumatoid arthritis treatments include the use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steroidal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inflammatory drugs, disease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modifying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rheumatic drugs, such as methotrexate, and the newer biological response modifiers that target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Atopic dermatitis (AtD) is a condition that makes the skin red and itchy and which is common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Phase III program to evaluate the safety and efficacy of baricitinib in patients with moderate to severe AtD is ongoing. In February 2019, we and Lilly announced that baricitinib met the primary endpoint in BREEZE-AD1 and BREEZE-AD2, two Phase III studies evaluating the efficacy and safety of baricitinib monotherapy for the treatment of adult patients with moderate to severe atopic dermatitis. These are two of five studies that will be part of the placebo-controlled data program intended to support global registrations.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pathway is highly relevant to SLE, as clinical and preclinical studies have established that this pathway is involved in the pathogenesis of SLE. Lilly is currently running a Phase III trial of baricitinib in patients with SLE.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hair loss in patches. Lilly is currently running a Phase II/III trial to evaluate the safety and efficacy of baricitinib in patients with severe alopecia areata.</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Psoriatic Arthritis</w:t>
      </w:r>
      <w:r>
        <w:rPr>
          <w:rFonts w:ascii="Times New Roman" w:cs="Times New Roman" w:eastAsia="Times New Roman" w:hAnsi="Times New Roman"/>
          <w:sz w:val="18"/>
          <w:szCs w:val="18"/>
          <w:color w:val="auto"/>
        </w:rPr>
        <w:t>. Psoriatic arthritis (PsA) is an inflammatory arthritis that is seen in association with skin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psoriasis. It causes joint pain and swelling that can lead to damage of the joint if the inflammation is not controlled. Baricitinib has been shown to inhibit the JAK-STAT pathway in related conditions such as psoriasis in Phase II trials, and based on its activity profile, baricitinib also has the potential to demonstrate positive clinical outcomes in PsA. In April 2019, Lilly announced that it is no longer planning a Phase III program to evaluate the safety and efficacy of baricitinib in patients with PsA.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compounds in all indications. Capmatinib is being evaluated in patients with hepatocellular carcinoma,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small cell lung cancer and other solid tumors, and may have potential utility as a combination agent.</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2018, we and Novartis announced positive preliminary results of the GEOMETRY mono-1 trial of capmatinib in patients with advanced non-small cell lung cancer (NSCLC) harboring MET exon 14 skipping mutations. NSCLC is the most common type of lung cancer, impacting more than 2 million people per year. Approximately 3-4 percent of all patients with NSCLC have an identified MET mutation. Though rare, this mutation is an indicator of especially poor prognosis and there is currently no approved therapy designed to target this mutation.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780" w:type="dxa"/>
            <w:vAlign w:val="bottom"/>
            <w:tcBorders>
              <w:top w:val="single" w:sz="8" w:color="auto"/>
              <w:bottom w:val="single" w:sz="8" w:color="F2F2F2"/>
            </w:tcBorders>
            <w:shd w:val="clear" w:color="auto" w:fill="F2F2F2"/>
          </w:tcPr>
          <w:p>
            <w:pPr>
              <w:spacing w:after="0"/>
              <w:rPr>
                <w:sz w:val="24"/>
                <w:szCs w:val="24"/>
                <w:color w:val="auto"/>
              </w:rPr>
            </w:pPr>
          </w:p>
        </w:tc>
        <w:tc>
          <w:tcPr>
            <w:tcW w:w="728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142"/>
        </w:trPr>
        <w:tc>
          <w:tcPr>
            <w:tcW w:w="178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Baricitinib</w:t>
            </w:r>
          </w:p>
        </w:tc>
        <w:tc>
          <w:tcPr>
            <w:tcW w:w="728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6"/>
                <w:szCs w:val="16"/>
                <w:color w:val="auto"/>
              </w:rPr>
              <w:t>Atopic dermatitis: Phase III (BREEZE-AD)</w:t>
            </w:r>
          </w:p>
        </w:tc>
      </w:tr>
      <w:tr>
        <w:trPr>
          <w:trHeight w:val="238"/>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(JAK1/JAK2)</w:t>
            </w:r>
            <w:r>
              <w:rPr>
                <w:rFonts w:ascii="Times New Roman" w:cs="Times New Roman" w:eastAsia="Times New Roman" w:hAnsi="Times New Roman"/>
                <w:sz w:val="8"/>
                <w:szCs w:val="8"/>
                <w:b w:val="1"/>
                <w:bCs w:val="1"/>
                <w:color w:val="auto"/>
              </w:rPr>
              <w:t>1</w:t>
            </w: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Systemic lupus erythematosus: Phase III</w:t>
            </w:r>
          </w:p>
        </w:tc>
      </w:tr>
      <w:tr>
        <w:trPr>
          <w:trHeight w:val="248"/>
        </w:trPr>
        <w:tc>
          <w:tcPr>
            <w:tcW w:w="1780" w:type="dxa"/>
            <w:vAlign w:val="bottom"/>
            <w:shd w:val="clear" w:color="auto" w:fill="CCEEFF"/>
          </w:tcPr>
          <w:p>
            <w:pPr>
              <w:spacing w:after="0"/>
              <w:rPr>
                <w:sz w:val="21"/>
                <w:szCs w:val="21"/>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Severe alopecia areata: Phase II/III</w:t>
            </w:r>
          </w:p>
        </w:tc>
      </w:tr>
      <w:tr>
        <w:trPr>
          <w:trHeight w:val="238"/>
        </w:trPr>
        <w:tc>
          <w:tcPr>
            <w:tcW w:w="1780" w:type="dxa"/>
            <w:vAlign w:val="bottom"/>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Capmatinib (MET)</w:t>
            </w:r>
            <w:r>
              <w:rPr>
                <w:rFonts w:ascii="Times New Roman" w:cs="Times New Roman" w:eastAsia="Times New Roman" w:hAnsi="Times New Roman"/>
                <w:sz w:val="8"/>
                <w:szCs w:val="8"/>
                <w:b w:val="1"/>
                <w:bCs w:val="1"/>
                <w:color w:val="auto"/>
              </w:rPr>
              <w:t>2</w:t>
            </w:r>
          </w:p>
        </w:tc>
        <w:tc>
          <w:tcPr>
            <w:tcW w:w="7280" w:type="dxa"/>
            <w:vAlign w:val="bottom"/>
            <w:shd w:val="clear" w:color="auto" w:fill="F2F2F2"/>
          </w:tcPr>
          <w:p>
            <w:pPr>
              <w:ind w:left="120"/>
              <w:spacing w:after="0"/>
              <w:rPr>
                <w:sz w:val="20"/>
                <w:szCs w:val="20"/>
                <w:color w:val="auto"/>
              </w:rPr>
            </w:pPr>
            <w:r>
              <w:rPr>
                <w:rFonts w:ascii="Times New Roman" w:cs="Times New Roman" w:eastAsia="Times New Roman" w:hAnsi="Times New Roman"/>
                <w:sz w:val="18"/>
                <w:szCs w:val="18"/>
                <w:color w:val="auto"/>
              </w:rPr>
              <w:t>NSCLC (with MET exon 14 skipping mutations): NDA expected this year (by Novartis)</w:t>
            </w:r>
          </w:p>
        </w:tc>
      </w:tr>
      <w:tr>
        <w:trPr>
          <w:trHeight w:val="275"/>
        </w:trPr>
        <w:tc>
          <w:tcPr>
            <w:tcW w:w="1780" w:type="dxa"/>
            <w:vAlign w:val="bottom"/>
            <w:tcBorders>
              <w:bottom w:val="single" w:sz="8" w:color="auto"/>
            </w:tcBorders>
            <w:shd w:val="clear" w:color="auto" w:fill="F2F2F2"/>
          </w:tcPr>
          <w:p>
            <w:pPr>
              <w:spacing w:after="0"/>
              <w:rPr>
                <w:sz w:val="23"/>
                <w:szCs w:val="23"/>
                <w:color w:val="auto"/>
              </w:rPr>
            </w:pPr>
          </w:p>
        </w:tc>
        <w:tc>
          <w:tcPr>
            <w:tcW w:w="7280" w:type="dxa"/>
            <w:vAlign w:val="bottom"/>
            <w:tcBorders>
              <w:bottom w:val="single" w:sz="8" w:color="auto"/>
            </w:tcBorders>
            <w:shd w:val="clear" w:color="auto" w:fill="F2F2F2"/>
          </w:tcPr>
          <w:p>
            <w:pPr>
              <w:spacing w:after="0"/>
              <w:rPr>
                <w:sz w:val="23"/>
                <w:szCs w:val="23"/>
                <w:color w:val="auto"/>
              </w:rPr>
            </w:pPr>
          </w:p>
        </w:tc>
      </w:tr>
    </w:tbl>
    <w:p>
      <w:pPr>
        <w:spacing w:after="0" w:line="90" w:lineRule="exact"/>
        <w:rPr>
          <w:sz w:val="20"/>
          <w:szCs w:val="20"/>
          <w:color w:val="auto"/>
        </w:rPr>
      </w:pPr>
    </w:p>
    <w:p>
      <w:pPr>
        <w:ind w:left="120" w:hanging="117"/>
        <w:spacing w:after="0"/>
        <w:tabs>
          <w:tab w:leader="none" w:pos="12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Baricitinib licensed to Lilly</w:t>
      </w:r>
    </w:p>
    <w:p>
      <w:pPr>
        <w:spacing w:after="0" w:line="27" w:lineRule="exact"/>
        <w:rPr>
          <w:rFonts w:ascii="Times New Roman" w:cs="Times New Roman" w:eastAsia="Times New Roman" w:hAnsi="Times New Roman"/>
          <w:sz w:val="9"/>
          <w:szCs w:val="9"/>
          <w:color w:val="auto"/>
        </w:rPr>
      </w:pPr>
    </w:p>
    <w:p>
      <w:pPr>
        <w:ind w:left="120" w:hanging="117"/>
        <w:spacing w:after="0"/>
        <w:tabs>
          <w:tab w:leader="none" w:pos="12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Capmatinib licensed to Novartis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21" w:lineRule="exact"/>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compounds in all indications. We retained options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 and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promote capmatinib in the United States.</w:t>
      </w:r>
    </w:p>
    <w:p>
      <w:pPr>
        <w:spacing w:after="0" w:line="183"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royalties ranging from the upper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teens to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5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The Novartis agreement will continue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until Novartis has no royalty payment obligations with respect to such program or, if earlier, the termination of the agreement or any program in accordance with the terms of the agreement. Royalties are payable by Novartis on a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and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by Novartis for convenience. The agreement may also be terminated by either party under certain other circumstances, including material breach.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became responsible for funding 30% of the associated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the systemic lupus erythematosus Phase III program for baricitinib.</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2019, we elected to end additional co-funding of the development of baricitinib effective as of January 1, 2019. Pursuant to the terms of the Lilly agreement, we will continue to receive base tiered royalties on global net sales of OLUMIANT in all indications, as well as pro-rated incremental royalties, as described above.</w:t>
      </w:r>
    </w:p>
    <w:p>
      <w:pPr>
        <w:spacing w:after="0" w:line="176"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and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(ARIAD)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 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9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Biologics, Inc.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are eligible to receive $20.0 million in connection with the first related IND filing in China, up to $129.0 million in potential development and regulatory milestones, and up to $202.5 million in potential commercial milestones.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adopted the new accounting standard for the recognition of revenue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January 1, 2018. Under this standard, we recognize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We accrue rebates for mandated discounts under the Medicaid Drug Rebate Program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In addition to actual rebates received, we maintain an accrual for the estimated rebates on the inventory levels on hand in our distribution channel. If actual future rebates vary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purchase directly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In addition, we maintain an accrual for the estimated coverage gap on the inventory levels on hand in our distribution channel. If actual future funding varies from estimates, we may need to adjust prior period accruals, which would affect revenue in the period of adjustment.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of program redemption using data provided by third-party administrators and we accrue for estimated co-payment assistance on the inventory levels on hand in our distribution channel.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Royalty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Milestone and Contract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 service’s estimated fair value and recognized based upon the transfer of the promised good or service to our collaborator.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a constraint on the allocated consideration is assessed each reporting period. Revenues are recognized when achievement is probable, which may not be until achieved.</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account for income taxes using an asset and liability approach to financial accounting for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to the extent that a reversal of any portion of our valuation allowance against our deferred tax assets is deemed appropriate, a tax benefit will be recognized against our income tax provision in the period of such reversal.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ASC 842, Leases, that requires lessees to recognize assets and liabilities on the balance sheet for most leases including operating leases. Additionally, the FASB issued clarifying guidance to the topic in ASUs No. 2018-10, No. 2018-11, No. 2018-20 and No. 2019-01 which clarified certain aspects of the new leases standard and provided an optional transition method. The guidance requires that the lessees classify leases as either a finance or operating lease and lessors classify all leases as sales-type, direct financing or operating leases. The statement of operations presentation and expense recognition for lessees for finance leases is similar to that of capital leases under ASC 840, with separate interest and amortization expense with higher interest expense in the earlier periods of a lease. For operating leases, the statement of operations presentation and expense recognition is similar to that of operating leases under ASC 840, with a single lease cost recognized on a straight-line basis. We implemented a third-party information technology application to facilitate activities for the new accounting and disclosure requirements and implemented new internal control procedures to support the new accounting and reporting processes associated with adopting the guidance. We elected the package of practical expedients and adopted utilizing the optional transition method as defined within ASU No. 2018-11. Accordingly, prior periods will not be restated to reflect the adopted standard. For lease agreements entered into or reassessed after the adoption of ASC 842, we combine lease and nonlease components. We did not elect the hindsight expedient.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adoption on January 1, 2019, we recorded $23.6 million of lease right-of-use assets, $23.7 million of lease liabilities and an adjustment to retained earnings of $0.1 million. In addition, our capital lease assets and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now classified as finance lease right-of-use assets and liabilities. The capital asset and financing liability of $18.7 million recorded in 2018 related to the Morges office building and construction, described more fully in Note 7, was derecognized upon adoption. In accordance with the transition provisions in ASC 842, we reassessed the Morges lease as of the adoption date and we concluded that we did not have control of the construction project at that time. We will reassess the Morges lease for lease accounting and classification at the point in time in which we take possession of the leased asset, which is anticipated to occur in the second half of 2019. The adoption of the standard did not materially impact our consolidated net income and had no impact on our consolidated cash flows.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guidance applies to all entities and impacts how entities account for credit losses for most financial assets and other instruments. For available-for-sale debt securities, entities will be required to recognize an allowance for credit losses rather than a reduction to the carrying value of the asset. For trade receivables, loans and held-to-maturity debt securities, entities will be required to estimate lifetime expected credit losses. This guidance is effective for fiscal years beginning after December 15, 2019 and interim periods therein. Early adoption is permitted for annual periods beginning after December 15, 2018 and interim periods therein. We are currently analyzing the impact of ASU No. 2016-13 on the condensed consolidated financial statements.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This guidance expanded the scope of ASC 718 to include share-based payments granted to nonemployees in exchange for goods or services and supersedes the guidance in ASC 505-50. Under this new standard, nonemployee awards are measured on the grant date by estimating the fair value of the equity instruments to be issued rather than the fair value of the goods or services received. Entities may use the expected term when estimating the fair value of a nonemployee option or elect to use the contractual term as the expected term, on an award-by-award basis. The cumulative effect of the transition adjustment is to be recorded as an adjustment to retained earnings as of the beginning of the annual period of adoption. We adopted this standard for the period beginning January 1, 2019 and concluded there to be no change in our previous accounting for nonemployee awards and no impact on our condensed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is permitted for early adoption. The standard may be applied on either a retrospective or prospective basis. We are currently analyzing the impact of ASU No. 2018-15 on the condensed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SEC issued a final rule Release No. 33-10532, “Disclosure Update and Simplification,” to amend certain disclosure requirements now seen as redundant, duplicative, overlapping, outdated or superseded in wake of recent accounting pronouncements. The amended rules became effective November 5, 2018. We analyzed the release in preparation of this Form 10-Q, which resulted in the additional disclosure of changes to stockholders’ equity during interim periods, as presented within this Form 10-Q within the condensed consolidated statements of stockholders’ equity. We note that many of the amended requirements under this Release are not applicable to the Company, as we do not make dividend payments to stockholders, currently report our activities under a single business segment, and already provided all other significant disclosure requirements.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 effective for fiscal years beginning after December 15, 2019, and is permitted for early adoption. The standard is to be applied on a retrospective basis to the date of the initial application of Topic 606. We utilize collaborative arrangements as described in our license agreements footnote and are currently analyzing the impact of ASU No. 2018-18 on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net income of $102.3 million and basic net income per share of $0.48 and diluted net income per share of $0.47 for the three months ended March 31, 2019, as compared to net loss of $41.1 million and basic and diluted net loss per share of $0.19 in the corresponding period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36"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2380" w:type="dxa"/>
            <w:vAlign w:val="bottom"/>
            <w:gridSpan w:val="2"/>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14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tcPr>
          <w:p>
            <w:pPr>
              <w:spacing w:after="0"/>
              <w:rPr>
                <w:sz w:val="18"/>
                <w:szCs w:val="18"/>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14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r>
      <w:tr>
        <w:trPr>
          <w:trHeight w:val="21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tcPr>
          <w:p>
            <w:pPr>
              <w:spacing w:after="0"/>
              <w:rPr>
                <w:sz w:val="18"/>
                <w:szCs w:val="18"/>
                <w:color w:val="auto"/>
              </w:rPr>
            </w:pPr>
          </w:p>
        </w:tc>
      </w:tr>
      <w:tr>
        <w:trPr>
          <w:trHeight w:val="217"/>
        </w:trPr>
        <w:tc>
          <w:tcPr>
            <w:tcW w:w="4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increase in JAKAFI product revenues for the three months ended March 31, 2019 as compared to the corresponding period in 2018 was comprised of a volume increase of $41.5 million and a price increase of $20.4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Co-Pay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Assistance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milestone and contract revenues for the three months ended March 31, 2019, were derived from a $40.0 million payment under the Innovent research collaboration and licensing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36"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4"/>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2120" w:type="dxa"/>
            <w:vAlign w:val="bottom"/>
            <w:gridSpan w:val="2"/>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1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r>
      <w:tr>
        <w:trPr>
          <w:trHeight w:val="217"/>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1120" w:type="dxa"/>
            <w:vAlign w:val="bottom"/>
          </w:tcPr>
          <w:p>
            <w:pPr>
              <w:spacing w:after="0"/>
              <w:rPr>
                <w:sz w:val="18"/>
                <w:szCs w:val="18"/>
                <w:color w:val="auto"/>
              </w:rPr>
            </w:pPr>
          </w:p>
        </w:tc>
        <w:tc>
          <w:tcPr>
            <w:tcW w:w="100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revenues includes all JAKAFI and ICLUSIG related product costs, low single-digit royalties to Novartis on all sales of JAKAFI in the United States and amortization of our licensed intellectual property rights for ICLUSIG using the straight-line method over the estimated useful life of 12.5 years. The increase in cost of product revenues for the three months ended March 31, 2019 as compared to the same period in 2018 is due primarily to increased royalties to Novartis on all JAKAFI sales in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4"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2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bottom w:val="single" w:sz="8" w:color="CCEEFF"/>
            </w:tcBorders>
          </w:tcPr>
          <w:p>
            <w:pPr>
              <w:spacing w:after="0"/>
              <w:rPr>
                <w:sz w:val="18"/>
                <w:szCs w:val="18"/>
                <w:color w:val="auto"/>
              </w:rPr>
            </w:pPr>
          </w:p>
        </w:tc>
      </w:tr>
      <w:tr>
        <w:trPr>
          <w:trHeight w:val="217"/>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r>
              <w:rPr>
                <w:rFonts w:ascii="Times New Roman" w:cs="Times New Roman" w:eastAsia="Times New Roman" w:hAnsi="Times New Roman"/>
                <w:sz w:val="18"/>
                <w:szCs w:val="18"/>
                <w:u w:val="single" w:color="auto"/>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r>
              <w:rPr>
                <w:rFonts w:ascii="Times New Roman" w:cs="Times New Roman" w:eastAsia="Times New Roman" w:hAnsi="Times New Roman"/>
                <w:sz w:val="18"/>
                <w:szCs w:val="18"/>
                <w:u w:val="single" w:color="auto"/>
                <w:color w:val="auto"/>
              </w:rPr>
              <w:t>1</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Salary and benefits related expense increased from the three months ended March 31, 2018 to the three months ended March 31, 2019 due primarily to increased development headcount to sustain our development pipeline. Stock compensation expense may fluctuate from period to period based on the number of awards granted, stock price volatility and expected award lives,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well as expected award forfeiture rates which are used to value equity-based compensation. The decrease in clinical research and outside services expense from the three months ended March 31, 2018 to the three months ended March 31, 2019 was primarily due to upfront and milestone expenses related to our collaborative agreements recorded during 2018 and the election to end additional co-funding of the development of baricitinib with Lilly effective as of January 1, 2019, partially offset by an overall increase in development costs to advance our clinical pipeline during 2019. Research and development expenses include upfront and milestone expenses related to our collaborative agreements of $0.3 million and $12.4 million, respectively, for the three months ended March 31, 2019 and 2018. Research and development expenses recorded under the Lilly agreement representing 30% of the global development costs for baricitinib for the treatment of rheumatoid arthritis, psoriatic arthritis, atopic dermatitis, alopecia areata, systematic lupus erythematosus and axial spondyloarthritis were $0.0 million and $12.5 million, respectively, for the three months ended March 31, 2019 and 2018.</w:t>
      </w:r>
    </w:p>
    <w:p>
      <w:pPr>
        <w:spacing w:after="0" w:line="18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2019 and 2018 were net of $4.0 million and $2.3 million, respectively, of costs reimbursed by our collaborative partners. 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34"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9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1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shd w:val="clear" w:color="auto" w:fill="CCEEFF"/>
          </w:tcPr>
          <w:p>
            <w:pPr>
              <w:spacing w:after="0"/>
              <w:rPr>
                <w:sz w:val="18"/>
                <w:szCs w:val="18"/>
                <w:color w:val="auto"/>
              </w:rPr>
            </w:pPr>
          </w:p>
        </w:tc>
      </w:tr>
      <w:tr>
        <w:trPr>
          <w:trHeight w:val="21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7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8"/>
                <w:szCs w:val="18"/>
                <w:u w:val="single" w:color="auto"/>
                <w:color w:val="auto"/>
              </w:rPr>
              <w:t>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u w:val="single" w:color="auto"/>
                <w:color w:val="auto"/>
              </w:rPr>
              <w:t>5</w:t>
            </w:r>
          </w:p>
        </w:tc>
        <w:tc>
          <w:tcPr>
            <w:tcW w:w="180" w:type="dxa"/>
            <w:vAlign w:val="bottom"/>
          </w:tcPr>
          <w:p>
            <w:pPr>
              <w:spacing w:after="0"/>
              <w:rPr>
                <w:sz w:val="18"/>
                <w:szCs w:val="18"/>
                <w:color w:val="auto"/>
              </w:rPr>
            </w:pPr>
          </w:p>
        </w:tc>
      </w:tr>
    </w:tbl>
    <w:p>
      <w:pPr>
        <w:spacing w:after="0" w:line="198"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Salary and benefits related expense increased from the three months ended March 31, 2018 to the three months ended March 31, 2019 due to increased headcount. This increased headcount was due primarily to the ongoing commercialization efforts related to JAKAFI for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myelofibrosis and uncontrolled polycythemia vera.</w:t>
      </w:r>
    </w:p>
    <w:p>
      <w:pPr>
        <w:spacing w:after="0" w:line="1" w:lineRule="exact"/>
        <w:rPr>
          <w:sz w:val="20"/>
          <w:szCs w:val="20"/>
          <w:color w:val="auto"/>
        </w:rPr>
      </w:pPr>
    </w:p>
    <w:p>
      <w:pPr>
        <w:jc w:val="both"/>
        <w:ind w:firstLine="206"/>
        <w:spacing w:after="0" w:line="215" w:lineRule="exact"/>
        <w:rPr>
          <w:sz w:val="20"/>
          <w:szCs w:val="20"/>
          <w:color w:val="auto"/>
        </w:rPr>
      </w:pPr>
      <w:r>
        <w:rPr>
          <w:rFonts w:ascii="Times New Roman" w:cs="Times New Roman" w:eastAsia="Times New Roman" w:hAnsi="Times New Roman"/>
          <w:sz w:val="18"/>
          <w:szCs w:val="18"/>
          <w:color w:val="auto"/>
        </w:rPr>
        <w:t>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fair value of acquisition-related contingent consideration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and certain potential milestone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months ended March 31, 2019 and 2018 was $6.7 million, which is recorded in change in fair value of acquisition-related contingent consideration on the condensed consolidated statements of operations. The change in fair value for the three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March 31, 2019 and 2018 was due primarily to the passage of time as there were no other significant changes in the key assumptions during the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months ended March 31, 2019 and 2018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 million and $4.5 million, respectively. The increase in other income (expense), net primarily relates to interest income.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three months ended March 31, 2019 and 2018 was $0.3 million and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Included in interest expense for the three months ended March 31, 2019 was $0.2 million of non-cash charges to amortize the discount on the 2020 Notes. Included in interest expense for the three months ended March 31, 2018 was $0.3 million of non-cash charges to amortize the discounts on the 2018 and 2020 convertible senior notes.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Unrealized gain on long term investments. </w:t>
      </w:r>
      <w:r>
        <w:rPr>
          <w:rFonts w:ascii="Times New Roman" w:cs="Times New Roman" w:eastAsia="Times New Roman" w:hAnsi="Times New Roman"/>
          <w:sz w:val="18"/>
          <w:szCs w:val="18"/>
          <w:color w:val="auto"/>
        </w:rPr>
        <w:t>Unrealized gains and losses on long term investments will fluctuate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to period, based on the change in fair value of the securities we hold in our publicly held collaboration partners. With respect to our long term investment in Agenus, the unrealized gain for the three months ended March 31, 2019 and 2018 was $10.5 million and $25.8 million, respectively. With respect to our long term investment in Calithera, the unrealized gain for the three months ended March 31, 2019 was $4.7 million and the unrealized loss for the three months ended March 31, 2018 was $3.5 million. With respect to our long term investment in Merus, the unrealized gain for the three months ended March 31, 2019 was $2.5 million and the unrealized loss for the three months ended March 31, 2018 was $2.8 million. With respect to our long term investment in Syros, the unrealized gain for the three months ended March 31, 2019 and 2018 was $3.3 million and $3.2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$1.8 billion as of March 31, 2019. We have funded our research and development operations through sales of equity securities, the issuance of convertible notes, cash received from customers, and collaborative arrangements. At March 31, 2019, we had available cash, cash equivalents and marketable securities of $1.6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$155.7 million and $20.8 million, respectively, for the three months ended March 31, 2019 and 2018. The $134.9 million increase in cash provided by operating activities was due primarily to changes in working capital.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purchases of long term investments. Net cash used in investing activities was $24.6 million for the three months ended March 31, 2019, which represented purchases of marketable securities of $34.6 million and capital expenditures of $18.3 million, offset in part by the sale and maturity of marketable securities of $28.3 million. Net cash used in investing activities was $28.5 million for the three months ended March 31, 2018, which represented purchases of marketable securities of $38.0 million, capital expenditures of $12.6 million and purchases of long term equity investments of $8.9 million, offset in part by the sale and maturity of marketable securities of $31.0 million. In the future, net cash used by investing activities may fluctuate significantly from period to period due to the timing of strategic equity investments, acquisitions, capital expenditures and maturities/sales and purchases of marketable securities.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$4.5 million and $2.6 million, respectively, for the three months ended March 31, 2019 and 2018, primarily representing proceeds from the issuance of common stock under our stock plans, offset in part by cash paid to ARIAD/Takeda for contingent consideration during the first quarter of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significant contractual obligations as of March 31, 2019 and the effect those obligations are expected to have on our liquidity and cash flow in future periods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3"/>
                <w:szCs w:val="13"/>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2 - 3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4 - 5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Principal on convertible senior debt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senior debt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Once construction is complete, our rental payments will commence over a 15 year term and are included in other non-cancelable obligations in the table above.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and Innovent; and expenditures in connection with strategic relationships and license agreements, including our agreements with Agenus, ARIAD/Takeda, Calithera, Lilly, MacroGenics,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March 31, 2019, marketable securities were $281.3 million. Due to the nature of these investments, if market interest rates were to increase immediately and uniformly by 10% from levels as of March 31, 2019, the decline in fair value would not be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defined in Rule 13a-15(e) under the Securities Exchange Act of 1934 (the “Exchange Act”), that are designed to ensure that information required to be disclosed by us in reports that we file or submit under the Exchange Act is recorded,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Beginning January 1, 2019, we implemented ASU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“Leases (Topic 842).” Although the adoption of the new accounting standard did not materially impact our consolidated net income and had no impact on our consolidated cash flows for the three months ended March 31, 2019, we did implement new internal control procedures to support the new accounting and reporting processes associated with adopting the guidance. These procedures included performing a comprehensive lease scoping analysis to identify, disaggregate and evaluate each of our lease categories and implementing a third-party information technology application to calculate right-of-use lease assets and lease liabilities. There were no other changes in our internal control over financial reporting (as defined in Rules 13a-15(f) and 15d-15(f) under the Exchange Act) for the three months ended March 31, 2019, that materially affected or are reasonably likely to materially affect our internal control over financial reporting.</w:t>
      </w:r>
    </w:p>
    <w:p>
      <w:pPr>
        <w:spacing w:after="0" w:line="18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81"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JAKAFI is our first and, currently, only product marketed by us that is approved for sale in the United States. It was approved by the U.S. Food and Drug Administration, or FDA, in November 2011 for the treatment of patients with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myelofibrosis and in December 2014 for the treatment of patients with polycythemia vera who 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JAKAFI and our ability to generate and maintain revenues from the sale of JAKAFI will depend on a number of factors, including:</w:t>
      </w:r>
    </w:p>
    <w:p>
      <w:pPr>
        <w:spacing w:after="0" w:line="133" w:lineRule="exact"/>
        <w:rPr>
          <w:sz w:val="20"/>
          <w:szCs w:val="20"/>
          <w:color w:val="auto"/>
        </w:rPr>
      </w:pPr>
    </w:p>
    <w:p>
      <w:pPr>
        <w:ind w:left="980" w:hanging="329"/>
        <w:spacing w:after="0" w:line="239" w:lineRule="exact"/>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myelofibrosis or uncontrolled polycythemia vera who are diagnosed with the disease and the number of such patients that may be treated with JAKAFI;</w:t>
      </w:r>
    </w:p>
    <w:p>
      <w:pPr>
        <w:spacing w:after="0" w:line="19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w:t>
      </w:r>
    </w:p>
    <w:p>
      <w:pPr>
        <w:spacing w:after="0" w:line="133"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25" w:lineRule="exact"/>
        <w:rPr>
          <w:rFonts w:ascii="Times New Roman" w:cs="Times New Roman" w:eastAsia="Times New Roman" w:hAnsi="Times New Roman"/>
          <w:sz w:val="18"/>
          <w:szCs w:val="18"/>
          <w:color w:val="auto"/>
        </w:rPr>
      </w:pPr>
    </w:p>
    <w:p>
      <w:pPr>
        <w:ind w:left="980" w:hanging="329"/>
        <w:spacing w:after="0" w:line="239"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manufacture JAKAFI in sufficient quantities that meet all applicable quality standards;</w:t>
      </w:r>
    </w:p>
    <w:p>
      <w:pPr>
        <w:spacing w:after="0" w:line="170"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to provide marketing and distribution support for</w:t>
      </w:r>
    </w:p>
    <w:p>
      <w:pPr>
        <w:spacing w:after="0" w:line="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JAKAFI;</w:t>
      </w:r>
    </w:p>
    <w:p>
      <w:pPr>
        <w:spacing w:after="0" w:line="20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with similar regulatory issues driven by applicable regulatory authorities affecting jurisdictions outside the United States.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75"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59"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Prior to our commercialization of JAKAFI, we had no experience selling and marketing drug products and with pricing and obtaining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logistics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59"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73"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The commercialization of our products is subject to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76" w:lineRule="exact"/>
        <w:rPr>
          <w:sz w:val="20"/>
          <w:szCs w:val="20"/>
          <w:color w:val="auto"/>
        </w:rPr>
      </w:pPr>
    </w:p>
    <w:p>
      <w:pPr>
        <w:ind w:left="980" w:hanging="329"/>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76"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of our products. We are prohibited by law from promoting or in any way supporting or encouraging the promotion of our products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but physicians are permitted to use products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myelofibrosis or uncontrolled polycythemia vera and as JAKAFI is studied in or used by patients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indications, regulatory authorities may delay or revoke their approvals, we may be required to conduct additional clinical trials, make changes in labeling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184"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existing and potentially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collaboration partner Novartis and to ICLUSIG for jurisdictions outside the United States.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159"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provisions of the federal Social Security Act, and other state and federal laws and regulations. Federal and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or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205"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We market JAKAFI for intermediate or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myelofibrosis and uncontrolled polycythemia vera and provide promotional materials to physicians regarding the use of JAKAFI for these indications. Although we believe that our promotional materials for physicians do not constitute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of JAKAFI, the FDA or other agencies may disagree. If the FDA or another agency determines that our promotional materials or other activities constitute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5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 and false claims laws, which apply to items and services reimbursed under Medicaid and other state programs, or, in several states, apply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 also “—Other Risks Relating to our Business—If we fail to comply with the extensive legal and regulatory requirements affecting the health care industry, we could face increased costs, penalties and a loss of business”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Present and potential competitors for JAKAFI could include major pharmaceutical and biotechnology companies, as well as specialty pharmaceutical firms. For example, in January 2019, Celgene Corporation announced that it had submitted an NDA for fedratinib, a drug candidate for the treatment of myelofibrosis, and expected FDA approval by year-end 2019.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62" w:lineRule="exact"/>
        <w:rPr>
          <w:sz w:val="20"/>
          <w:szCs w:val="20"/>
          <w:color w:val="auto"/>
        </w:rPr>
      </w:pPr>
    </w:p>
    <w:p>
      <w:pPr>
        <w:ind w:left="980" w:hanging="329"/>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drug candidates from others;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and marketing resources effectively or enter into arrangements with third parties to provide these functions in compliance with all applicable laws;</w:t>
      </w:r>
    </w:p>
    <w:p>
      <w:pPr>
        <w:spacing w:after="0" w:line="161" w:lineRule="exact"/>
        <w:rPr>
          <w:rFonts w:ascii="Times New Roman" w:cs="Times New Roman" w:eastAsia="Times New Roman" w:hAnsi="Times New Roman"/>
          <w:sz w:val="18"/>
          <w:szCs w:val="18"/>
          <w:color w:val="auto"/>
        </w:rPr>
      </w:pPr>
    </w:p>
    <w:p>
      <w:pPr>
        <w:ind w:left="980" w:hanging="329"/>
        <w:spacing w:after="0" w:line="235" w:lineRule="exact"/>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17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We have limited experience with many of the activities listed above and may not be successful in discovering, developing, or commercializing additional drug products. Discovery and development of drug candidates are expensive, uncertain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do not know if our efforts will lead to discovery of any drug candidates that can be successfully developed and marketed. Of the compounds or biologics that we identify as potential drug products or that we may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from other companies, including potential products for which we are conducting clinical trials, only a few, if any, are likely to lead to successful drug development programs and commercialized drug products.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a Phase III clinical trial for the treatment of patients with acute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 If a product is developed but not approved or marketed, we may have spent significant amounts of time and money on it, which could adversely affect our operating results and financial condition as well as our business plans.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of health care costs, which could be affected by current and potential healthcare reform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-97790</wp:posOffset>
            </wp:positionV>
            <wp:extent cx="6413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extent to which adequate reimbursement levels for the cost of our products and related treatment are obtained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insurers, government insurance programs, including Medicare and Medicaid, health maintenance organizations (HMOs) and other health care related organizations.</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the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 Further federal and state proposals to regulate prices of pharmaceutical products and other health care reforms are possible, which could limit the prices that can be charged for any of our products and may further limit the commercial viability of our products and drug candidates. In certain foreign markets, pricing or profitability of prescription pharmaceuticals is subject to government control. If reimbursement for our products is unavailable or limited in scope or amount, or if pricing is set at unsatisfactory levels, our business could be materially harmed. There may be future changes that result in reductions in current coverage and reimbursement levels for our current or any future approved products, and we cannot predict the scope of any future changes or the impact that those changes would have on our operations.</w:t>
      </w:r>
    </w:p>
    <w:p>
      <w:pPr>
        <w:spacing w:after="0" w:line="166"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70"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The continuing efforts of legislatures, health agencies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and licensed to Lilly worldwide rights to baricitinib. In addition, we have licensed to Innovent certain Asian rights to three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Innovent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Innovent Biologics,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30" w:lineRule="exact"/>
        <w:rPr>
          <w:sz w:val="20"/>
          <w:szCs w:val="20"/>
          <w:color w:val="auto"/>
        </w:rPr>
      </w:pPr>
    </w:p>
    <w:p>
      <w:pPr>
        <w:jc w:val="both"/>
        <w:ind w:firstLine="648"/>
        <w:spacing w:after="0" w:line="221" w:lineRule="exact"/>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59" w:lineRule="exact"/>
        <w:rPr>
          <w:sz w:val="20"/>
          <w:szCs w:val="20"/>
          <w:color w:val="auto"/>
        </w:rPr>
      </w:pPr>
    </w:p>
    <w:p>
      <w:pPr>
        <w:jc w:val="both"/>
        <w:ind w:firstLine="648"/>
        <w:spacing w:after="0" w:line="221" w:lineRule="exact"/>
        <w:rPr>
          <w:sz w:val="20"/>
          <w:szCs w:val="20"/>
          <w:color w:val="auto"/>
        </w:rPr>
      </w:pPr>
      <w:r>
        <w:rPr>
          <w:rFonts w:ascii="Times New Roman" w:cs="Times New Roman" w:eastAsia="Times New Roman" w:hAnsi="Times New Roman"/>
          <w:sz w:val="18"/>
          <w:szCs w:val="18"/>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the effectiveness of our competitors in marketing their products.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acceptance of our drug products, if approved for commercial sale, will depend on a number of factors, including:</w:t>
      </w:r>
    </w:p>
    <w:p>
      <w:pPr>
        <w:spacing w:after="0" w:line="162" w:lineRule="exact"/>
        <w:rPr>
          <w:sz w:val="20"/>
          <w:szCs w:val="20"/>
          <w:color w:val="auto"/>
        </w:rPr>
      </w:pPr>
    </w:p>
    <w:p>
      <w:pPr>
        <w:ind w:left="980" w:hanging="329"/>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patients and the healthcare community to use our drug products;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drug products in sufficient quantities that meet all applicable quality standards and to offer our drug products for sale at competitive prices;</w:t>
      </w:r>
    </w:p>
    <w:p>
      <w:pPr>
        <w:spacing w:after="0" w:line="133" w:lineRule="exact"/>
        <w:rPr>
          <w:rFonts w:ascii="Times New Roman" w:cs="Times New Roman" w:eastAsia="Times New Roman" w:hAnsi="Times New Roman"/>
          <w:sz w:val="18"/>
          <w:szCs w:val="18"/>
          <w:color w:val="auto"/>
        </w:rPr>
      </w:pPr>
    </w:p>
    <w:p>
      <w:pPr>
        <w:ind w:left="980" w:hanging="329"/>
        <w:spacing w:after="0" w:line="239" w:lineRule="exact"/>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patients and the healthcare community, including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regarding the safety, efficacy and benefits of our drug products compared to those of competing products or therapies;</w:t>
      </w:r>
    </w:p>
    <w:p>
      <w:pPr>
        <w:spacing w:after="0" w:line="19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products relative to existing treatments;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drug products.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capacity is available when we need it even if we do not use all of the manufacturing capacity, and our business and operating results could be harmed.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30"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or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2018, we recorded unrealized losses related to our investments in Agenus Inc., Calithera Biosciences, Inc., Merus N.V. and Syros Pharmaceuticals, Inc., and we may in the future experience additional losses related to our investments. In addition, if we choose to issue shares of our stock as consideration for any acquisition, dilution to our stockholders could result.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expansion of our operations outside of the United States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acquisition of ARIAD’s European operations significantly expanded our operations in Europe, and we plan to continue to expand our operations and conduct certain development activities outside of the United States, including our recent expansion in Japan. We have limited experience with conducting activities outside of the United States. International operations and business expansion plans are subject to numerous additional risks, including:</w:t>
      </w:r>
    </w:p>
    <w:p>
      <w:pPr>
        <w:spacing w:after="0" w:line="180" w:lineRule="exact"/>
        <w:rPr>
          <w:sz w:val="20"/>
          <w:szCs w:val="20"/>
          <w:color w:val="auto"/>
        </w:rPr>
      </w:pPr>
    </w:p>
    <w:p>
      <w:pPr>
        <w:jc w:val="both"/>
        <w:ind w:left="980"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pacing w:after="0" w:line="176"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and difficulties in connection with assimilating and integrating any operations and personnel we might acquire into our company;</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33" w:lineRule="exact"/>
        <w:rPr>
          <w:rFonts w:ascii="Times New Roman" w:cs="Times New Roman" w:eastAsia="Times New Roman" w:hAnsi="Times New Roman"/>
          <w:sz w:val="18"/>
          <w:szCs w:val="18"/>
          <w:color w:val="auto"/>
        </w:rPr>
      </w:pPr>
    </w:p>
    <w:p>
      <w:pPr>
        <w:ind w:left="980" w:hanging="329"/>
        <w:spacing w:after="0" w:line="250" w:lineRule="exact"/>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reimbursement regimes or patient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systems;</w:t>
      </w:r>
    </w:p>
    <w:p>
      <w:pPr>
        <w:spacing w:after="0" w:line="178"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 and</w:t>
      </w:r>
    </w:p>
    <w:p>
      <w:pPr>
        <w:spacing w:after="0" w:line="176" w:lineRule="exact"/>
        <w:rPr>
          <w:rFonts w:ascii="Times New Roman" w:cs="Times New Roman" w:eastAsia="Times New Roman" w:hAnsi="Times New Roman"/>
          <w:sz w:val="18"/>
          <w:szCs w:val="18"/>
          <w:color w:val="auto"/>
        </w:rPr>
      </w:pPr>
    </w:p>
    <w:p>
      <w:pPr>
        <w:jc w:val="both"/>
        <w:ind w:left="980" w:hanging="329"/>
        <w:spacing w:after="0" w:line="220" w:lineRule="exact"/>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provisions, or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or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and regulations, such as the U.K. Anti-Bribery Act and the U.K. Criminal Finances Act.</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$1.8 billion as of March 31, 2019.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and ICLUSIG, we may incur losses if our drug products do not generate significant revenues.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1"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forward.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25" w:lineRule="exact"/>
        <w:rPr>
          <w:sz w:val="20"/>
          <w:szCs w:val="20"/>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33"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development options with collaborators that may require us to fund future development;</w:t>
      </w:r>
    </w:p>
    <w:p>
      <w:pPr>
        <w:spacing w:after="0" w:line="253"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contingent licensing or milestone fees or royalties on product sales from our current or future collaborative and license arrangements, if established;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and long term investments are subject to risks that could adversely affect our overall financial position.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instruments, corporate bonds and money market funds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loss in value of our long term investments could adversely affect our financial position on the consolidated balance sheets and consolidated statements of operations.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derived substantially all of our revenues for the three months ended March 31, 2019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 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2" w:lineRule="exact"/>
        <w:rPr>
          <w:sz w:val="20"/>
          <w:szCs w:val="20"/>
          <w:color w:val="auto"/>
        </w:rPr>
      </w:pPr>
    </w:p>
    <w:p>
      <w:pPr>
        <w:ind w:left="980" w:hanging="329"/>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196" w:lineRule="exact"/>
        <w:rPr>
          <w:rFonts w:ascii="Times New Roman" w:cs="Times New Roman" w:eastAsia="Times New Roman" w:hAnsi="Times New Roman"/>
          <w:sz w:val="18"/>
          <w:szCs w:val="18"/>
          <w:color w:val="auto"/>
        </w:rPr>
      </w:pPr>
    </w:p>
    <w:p>
      <w:pPr>
        <w:ind w:left="980" w:hanging="329"/>
        <w:spacing w:after="0" w:line="207" w:lineRule="exact"/>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or</w:t>
      </w:r>
    </w:p>
    <w:p>
      <w:pPr>
        <w:spacing w:after="0" w:line="253"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infringing technology or license technology on a timely basis or on reasonable terms, our business could be harmed.</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9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to us or subject to a collaboration with a third-party, the protection of the intellectual property rights may not be in our hands. If we do not control the intellectual property rights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to us with respect to a drug candidate and the entity that controls the intellectual property rights does not adequately protect those rights, our rights may be impaired, which may impact our ability to develop, market and commercialize the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drug candidate.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5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patent term from the filing date may result in substantially shorter patent protection.</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5"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 gene patent portfolio. Additionally, the Supreme Court resolved a split among the circuit courts of appeals regarding antitrust challenges to settlements of patent infringement lawsuits 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between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name drug companies and generic drug companies. The Court rejected the “scope of the patent” test and ruled that settlements involving “reverse payments” from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diseases, skin disorders, and other diseases.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adopted a comprehensive general data privacy regulation, known as the GDPR, which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Union to the United States, provides an enforcement authority and imposes large penalties for noncompliance, including the potential for fines of up to €20 million or 4% of the annual global revenues of the infringer, whichever is greater.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790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Amendment, dated as of February 28, 2019, to Employment Agreement between the Company and Hervé</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Hoppenot, dated as of January 11, 2014.</w:t>
              </w:r>
            </w:hyperlink>
          </w:p>
        </w:tc>
        <w:tc>
          <w:tcPr>
            <w:tcW w:w="5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Offer of Employment Letter, dated as of December 14, 2018, from the Company to Christiana Stamoulis.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4"/>
                <w:szCs w:val="24"/>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Employment Agreement between the Company and Christiana Stamoulis (effective as of February</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80" w:type="dxa"/>
            <w:vAlign w:val="bottom"/>
            <w:tcBorders>
              <w:top w:val="single" w:sz="8" w:color="0000EE"/>
              <w:bottom w:val="single" w:sz="8" w:color="0000EE"/>
            </w:tcBorders>
            <w:gridSpan w:val="8"/>
          </w:tcPr>
          <w:p>
            <w:pPr>
              <w:spacing w:after="0" w:line="170"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11, 2019) (incorporated by reference to Exhibit 10.14 to the Company’s Annual Report on Form 10-K for the</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900" w:type="dxa"/>
            <w:vAlign w:val="bottom"/>
            <w:gridSpan w:val="9"/>
          </w:tcPr>
          <w:p>
            <w:pPr>
              <w:spacing w:after="0" w:line="170"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year ended December 31, 2012).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Rule 13a-14(a) Certification of Chief Executive Officer</w:t>
              </w:r>
            </w:hyperlink>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Rule 13a-14(a) Certification of Chief Financial Officer</w:t>
              </w:r>
            </w:hyperlink>
          </w:p>
        </w:tc>
        <w:tc>
          <w:tcPr>
            <w:tcW w:w="40" w:type="dxa"/>
            <w:vAlign w:val="bottom"/>
            <w:tcBorders>
              <w:top w:val="single" w:sz="8" w:color="0000EE"/>
            </w:tcBorders>
          </w:tcPr>
          <w:p>
            <w:pPr>
              <w:spacing w:after="0"/>
              <w:rPr>
                <w:sz w:val="24"/>
                <w:szCs w:val="24"/>
                <w:color w:val="auto"/>
              </w:rPr>
            </w:pPr>
          </w:p>
        </w:tc>
        <w:tc>
          <w:tcPr>
            <w:tcW w:w="39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20" w:type="dxa"/>
            <w:vAlign w:val="bottom"/>
            <w:gridSpan w:val="10"/>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20" w:type="dxa"/>
            <w:vAlign w:val="bottom"/>
            <w:gridSpan w:val="10"/>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In accordance with Item 601(b)(32)(ii) of Regulation S-K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SEC Release No. 34-47986, the certifications furnished in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Exhibits 32.1 and 32.2 hereto are deemed to accompany this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Form 10-Q and will not be deemed “filed” for purposes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Section 18 of the Exchange Act. Such certifications will not be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deemed to be incorporated by reference into any filing under</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Securities Act or the Exchange Act.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7"/>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2019</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HERVÉ HOPPENOT</w:t>
            </w:r>
          </w:p>
        </w:tc>
      </w:tr>
      <w:tr>
        <w:trPr>
          <w:trHeight w:val="191"/>
        </w:trPr>
        <w:tc>
          <w:tcPr>
            <w:tcW w:w="3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Hervé Hoppenot</w:t>
            </w:r>
          </w:p>
        </w:tc>
      </w:tr>
      <w:tr>
        <w:trPr>
          <w:trHeight w:val="216"/>
        </w:trPr>
        <w:tc>
          <w:tcPr>
            <w:tcW w:w="3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2019</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CHRISTIANA STAMOULIS</w:t>
            </w:r>
          </w:p>
        </w:tc>
      </w:tr>
      <w:tr>
        <w:trPr>
          <w:trHeight w:val="191"/>
        </w:trPr>
        <w:tc>
          <w:tcPr>
            <w:tcW w:w="3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Christiana Stamoulis</w:t>
            </w:r>
          </w:p>
        </w:tc>
      </w:tr>
      <w:tr>
        <w:trPr>
          <w:trHeight w:val="216"/>
        </w:trPr>
        <w:tc>
          <w:tcPr>
            <w:tcW w:w="30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6" w:name="page87"/>
    <w:bookmarkEnd w:id="86"/>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TO EMPLOYMENT AGREEMENT</w:t>
      </w:r>
    </w:p>
    <w:p>
      <w:pPr>
        <w:spacing w:after="0" w:line="324" w:lineRule="exact"/>
        <w:rPr>
          <w:sz w:val="20"/>
          <w:szCs w:val="20"/>
          <w:color w:val="auto"/>
        </w:rPr>
      </w:pPr>
    </w:p>
    <w:p>
      <w:pPr>
        <w:ind w:left="160" w:right="399" w:firstLine="648"/>
        <w:spacing w:after="0" w:line="226" w:lineRule="auto"/>
        <w:rPr>
          <w:sz w:val="20"/>
          <w:szCs w:val="20"/>
          <w:color w:val="auto"/>
        </w:rPr>
      </w:pPr>
      <w:r>
        <w:rPr>
          <w:rFonts w:ascii="Times New Roman" w:cs="Times New Roman" w:eastAsia="Times New Roman" w:hAnsi="Times New Roman"/>
          <w:sz w:val="18"/>
          <w:szCs w:val="18"/>
          <w:color w:val="auto"/>
        </w:rPr>
        <w:t>THIS AMENDMENT TO EMPLOYMENT AGREEMENT (the “Amendment”) by and between INCYTE CORPORATION, a Delaware corporation (the “Company”), and HERVÉ HOPPENOT (the “Executive”), dated as of the 28th day of February, 2019.</w:t>
      </w:r>
    </w:p>
    <w:p>
      <w:pPr>
        <w:spacing w:after="0" w:line="118" w:lineRule="exact"/>
        <w:rPr>
          <w:sz w:val="20"/>
          <w:szCs w:val="20"/>
          <w:color w:val="auto"/>
        </w:rPr>
      </w:pPr>
    </w:p>
    <w:p>
      <w:pPr>
        <w:ind w:left="160" w:right="339" w:firstLine="648"/>
        <w:spacing w:after="0" w:line="237" w:lineRule="auto"/>
        <w:rPr>
          <w:sz w:val="20"/>
          <w:szCs w:val="20"/>
          <w:color w:val="auto"/>
        </w:rPr>
      </w:pPr>
      <w:r>
        <w:rPr>
          <w:rFonts w:ascii="Times New Roman" w:cs="Times New Roman" w:eastAsia="Times New Roman" w:hAnsi="Times New Roman"/>
          <w:sz w:val="18"/>
          <w:szCs w:val="18"/>
          <w:color w:val="auto"/>
        </w:rPr>
        <w:t>WHEREAS, the Company and the Executive previously entered into the Employment Agreement dated as of January 11, 2014 (the “Employment Agreement”); and</w:t>
      </w:r>
    </w:p>
    <w:p>
      <w:pPr>
        <w:spacing w:after="0" w:line="118" w:lineRule="exact"/>
        <w:rPr>
          <w:sz w:val="20"/>
          <w:szCs w:val="20"/>
          <w:color w:val="auto"/>
        </w:rPr>
      </w:pPr>
    </w:p>
    <w:p>
      <w:pPr>
        <w:ind w:left="160" w:right="179" w:firstLine="648"/>
        <w:spacing w:after="0" w:line="217" w:lineRule="auto"/>
        <w:rPr>
          <w:sz w:val="20"/>
          <w:szCs w:val="20"/>
          <w:color w:val="auto"/>
        </w:rPr>
      </w:pPr>
      <w:r>
        <w:rPr>
          <w:rFonts w:ascii="Times New Roman" w:cs="Times New Roman" w:eastAsia="Times New Roman" w:hAnsi="Times New Roman"/>
          <w:sz w:val="18"/>
          <w:szCs w:val="18"/>
          <w:color w:val="auto"/>
        </w:rPr>
        <w:t>WHEREAS, the Employment Agreement provides that the Company would pay the premiums for life and disability insurance policies designed to compensate the Executive for certain components of equity awards from his previous employer that he forfeited when joining the Company, with the six-year period for such insurance the same as the vesting period for the one-time grant of restricted stock units (the “RSU Grant”) that the Executive received when he joined the Company; and</w:t>
      </w:r>
    </w:p>
    <w:p>
      <w:pPr>
        <w:spacing w:after="0" w:line="118" w:lineRule="exact"/>
        <w:rPr>
          <w:sz w:val="20"/>
          <w:szCs w:val="20"/>
          <w:color w:val="auto"/>
        </w:rPr>
      </w:pPr>
    </w:p>
    <w:p>
      <w:pPr>
        <w:ind w:left="160" w:right="239" w:firstLine="648"/>
        <w:spacing w:after="0" w:line="220" w:lineRule="auto"/>
        <w:rPr>
          <w:sz w:val="20"/>
          <w:szCs w:val="20"/>
          <w:color w:val="auto"/>
        </w:rPr>
      </w:pPr>
      <w:r>
        <w:rPr>
          <w:rFonts w:ascii="Times New Roman" w:cs="Times New Roman" w:eastAsia="Times New Roman" w:hAnsi="Times New Roman"/>
          <w:sz w:val="18"/>
          <w:szCs w:val="18"/>
          <w:color w:val="auto"/>
        </w:rPr>
        <w:t>WHEREAS, the Executive has suggested, and the Compensation Committee of the Board of Directors of the Company, at its January 28, 2019 meeting, has agreed, that given that the disability insurance policy requires renewal in March 2019 and the last portion of the RSU Grant is scheduled to vest on December 31, 2019, the disability insurance policy can lapse and the Company can cancel the life insurance policy;</w:t>
      </w:r>
    </w:p>
    <w:p>
      <w:pPr>
        <w:spacing w:after="0" w:line="1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NOW, THEREFORE, IT IS HEREBY AGREED AS FOLLOWS:</w:t>
      </w:r>
    </w:p>
    <w:p>
      <w:pPr>
        <w:spacing w:after="0" w:line="144" w:lineRule="exact"/>
        <w:rPr>
          <w:sz w:val="20"/>
          <w:szCs w:val="20"/>
          <w:color w:val="auto"/>
        </w:rPr>
      </w:pPr>
    </w:p>
    <w:p>
      <w:pPr>
        <w:ind w:left="160" w:right="239" w:firstLine="648"/>
        <w:spacing w:after="0" w:line="237" w:lineRule="auto"/>
        <w:rPr>
          <w:sz w:val="20"/>
          <w:szCs w:val="20"/>
          <w:color w:val="auto"/>
        </w:rPr>
      </w:pPr>
      <w:r>
        <w:rPr>
          <w:rFonts w:ascii="Times New Roman" w:cs="Times New Roman" w:eastAsia="Times New Roman" w:hAnsi="Times New Roman"/>
          <w:sz w:val="18"/>
          <w:szCs w:val="18"/>
          <w:color w:val="auto"/>
        </w:rPr>
        <w:t>Effective as of February 28, 2019, Section 3(e) of the Employment Agreement is hereby amended to delete the last four sentences thereof, so that Section 3(e) as amended reads in its entirety as follows:</w:t>
      </w:r>
    </w:p>
    <w:p>
      <w:pPr>
        <w:spacing w:after="0" w:line="118" w:lineRule="exact"/>
        <w:rPr>
          <w:sz w:val="20"/>
          <w:szCs w:val="20"/>
          <w:color w:val="auto"/>
        </w:rPr>
      </w:pPr>
    </w:p>
    <w:p>
      <w:pPr>
        <w:ind w:left="800" w:right="219" w:firstLine="647"/>
        <w:spacing w:after="0" w:line="212" w:lineRule="auto"/>
        <w:tabs>
          <w:tab w:leader="none" w:pos="2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Executive’s employment is terminated during the Employment Period or the Change in Control Employment Period due to the death or Disability of the Executive, this Agreement shall terminate without further obligations to the Executive other than for (i) Accrued Obligations and the timely payment or provision of Other Benefits; and (ii) the Signing Bonus, to the extent not theretofore paid. In such case, all amounts due and owing to the Executive or the Executive’s estate, as the case may be, pursuant to this Section 3(e) shall be paid to the Executive or the Executive’s estate in a lump sum in cash within 30 days of the receipt by the Company of written notice of the Executive’s death from the executor of the Executive’s estate or the Disability Effective Date.</w:t>
      </w:r>
    </w:p>
    <w:p>
      <w:pPr>
        <w:spacing w:after="0" w:line="117" w:lineRule="exact"/>
        <w:rPr>
          <w:sz w:val="20"/>
          <w:szCs w:val="20"/>
          <w:color w:val="auto"/>
        </w:rPr>
      </w:pPr>
    </w:p>
    <w:p>
      <w:pPr>
        <w:ind w:left="160" w:right="679" w:firstLine="648"/>
        <w:spacing w:after="0" w:line="237" w:lineRule="auto"/>
        <w:rPr>
          <w:sz w:val="20"/>
          <w:szCs w:val="20"/>
          <w:color w:val="auto"/>
        </w:rPr>
      </w:pPr>
      <w:r>
        <w:rPr>
          <w:rFonts w:ascii="Times New Roman" w:cs="Times New Roman" w:eastAsia="Times New Roman" w:hAnsi="Times New Roman"/>
          <w:sz w:val="18"/>
          <w:szCs w:val="18"/>
          <w:color w:val="auto"/>
        </w:rPr>
        <w:t>This Amendment may be executed in counterparts, each of which is deemed an original, but all of which constitute one and the same agreement.</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137795</wp:posOffset>
            </wp:positionV>
            <wp:extent cx="55486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7" w:name="page88"/>
    <w:bookmarkEnd w:id="87"/>
    <w:p>
      <w:pPr>
        <w:ind w:left="160" w:right="219" w:firstLine="648"/>
        <w:spacing w:after="0" w:line="237" w:lineRule="auto"/>
        <w:rPr>
          <w:sz w:val="20"/>
          <w:szCs w:val="20"/>
          <w:color w:val="auto"/>
        </w:rPr>
      </w:pPr>
      <w:r>
        <w:rPr>
          <w:rFonts w:ascii="Times New Roman" w:cs="Times New Roman" w:eastAsia="Times New Roman" w:hAnsi="Times New Roman"/>
          <w:sz w:val="18"/>
          <w:szCs w:val="18"/>
          <w:color w:val="auto"/>
        </w:rPr>
        <w:t>IN WITNESS WHEREOF, the Executive and the Company, through its duly authorized Officer, have executed this Agreement as of the day and year first above written.</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EXECUTIVE</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/s/ Hervé Hoppenot</w:t>
      </w:r>
    </w:p>
    <w:p>
      <w:pPr>
        <w:ind w:left="800"/>
        <w:spacing w:after="0"/>
        <w:rPr>
          <w:sz w:val="20"/>
          <w:szCs w:val="20"/>
          <w:color w:val="auto"/>
        </w:rPr>
      </w:pPr>
      <w:r>
        <w:rPr>
          <w:rFonts w:ascii="Times New Roman" w:cs="Times New Roman" w:eastAsia="Times New Roman" w:hAnsi="Times New Roman"/>
          <w:sz w:val="18"/>
          <w:szCs w:val="18"/>
          <w:color w:val="auto"/>
        </w:rPr>
        <w:t>Hervé Hoppenot</w:t>
      </w:r>
    </w:p>
    <w:p>
      <w:pPr>
        <w:spacing w:after="0" w:line="3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INCYTE CORPORATION</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/s/ Paula Swain</w:t>
      </w:r>
    </w:p>
    <w:p>
      <w:pPr>
        <w:ind w:left="800"/>
        <w:spacing w:after="0" w:line="203" w:lineRule="auto"/>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Paula Swain</w:t>
      </w:r>
    </w:p>
    <w:p>
      <w:pPr>
        <w:ind w:left="80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EVP –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245110</wp:posOffset>
            </wp:positionV>
            <wp:extent cx="554863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8" w:name="page89"/>
    <w:bookmarkEnd w:id="88"/>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Incyte Corporation</w:t>
      </w:r>
    </w:p>
    <w:p>
      <w:pPr>
        <w:ind w:left="160"/>
        <w:spacing w:after="0" w:line="203" w:lineRule="auto"/>
        <w:rPr>
          <w:sz w:val="20"/>
          <w:szCs w:val="20"/>
          <w:color w:val="auto"/>
        </w:rPr>
      </w:pPr>
      <w:r>
        <w:rPr>
          <w:rFonts w:ascii="Times New Roman" w:cs="Times New Roman" w:eastAsia="Times New Roman" w:hAnsi="Times New Roman"/>
          <w:sz w:val="18"/>
          <w:szCs w:val="18"/>
          <w:color w:val="auto"/>
        </w:rPr>
        <w:t>1801 Augustine Cut-Off</w:t>
      </w:r>
    </w:p>
    <w:p>
      <w:pPr>
        <w:ind w:left="160"/>
        <w:spacing w:after="0" w:line="204" w:lineRule="auto"/>
        <w:rPr>
          <w:sz w:val="20"/>
          <w:szCs w:val="20"/>
          <w:color w:val="auto"/>
        </w:rPr>
      </w:pPr>
      <w:r>
        <w:rPr>
          <w:rFonts w:ascii="Times New Roman" w:cs="Times New Roman" w:eastAsia="Times New Roman" w:hAnsi="Times New Roman"/>
          <w:sz w:val="18"/>
          <w:szCs w:val="18"/>
          <w:color w:val="auto"/>
        </w:rPr>
        <w:t>Wilmington, DE 19803</w:t>
      </w:r>
    </w:p>
    <w:p>
      <w:pPr>
        <w:ind w:left="160"/>
        <w:spacing w:after="0" w:line="203" w:lineRule="auto"/>
        <w:rPr>
          <w:sz w:val="20"/>
          <w:szCs w:val="20"/>
          <w:color w:val="auto"/>
        </w:rPr>
      </w:pPr>
      <w:r>
        <w:rPr>
          <w:rFonts w:ascii="Times New Roman" w:cs="Times New Roman" w:eastAsia="Times New Roman" w:hAnsi="Times New Roman"/>
          <w:sz w:val="18"/>
          <w:szCs w:val="18"/>
          <w:color w:val="auto"/>
        </w:rPr>
        <w:t>Tel 302.498.6700</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Web www.incyte.com</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REVISED</w:t>
      </w:r>
    </w:p>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December 14, 2018</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Christiana Stamoulis</w:t>
      </w:r>
    </w:p>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Redacted</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Dear Christiana:</w:t>
      </w:r>
    </w:p>
    <w:p>
      <w:pPr>
        <w:spacing w:after="0" w:line="144" w:lineRule="exact"/>
        <w:rPr>
          <w:sz w:val="20"/>
          <w:szCs w:val="20"/>
          <w:color w:val="auto"/>
        </w:rPr>
      </w:pPr>
    </w:p>
    <w:p>
      <w:pPr>
        <w:jc w:val="both"/>
        <w:ind w:left="160" w:right="139"/>
        <w:spacing w:after="0" w:line="213" w:lineRule="auto"/>
        <w:rPr>
          <w:sz w:val="20"/>
          <w:szCs w:val="20"/>
          <w:color w:val="auto"/>
        </w:rPr>
      </w:pPr>
      <w:r>
        <w:rPr>
          <w:rFonts w:ascii="Times New Roman" w:cs="Times New Roman" w:eastAsia="Times New Roman" w:hAnsi="Times New Roman"/>
          <w:sz w:val="18"/>
          <w:szCs w:val="18"/>
          <w:color w:val="auto"/>
        </w:rPr>
        <w:t>It is with great pleasure that we offer you the position of Executive Vice President &amp; Chief Financial Officer at Incyte Corporation. In this position you will report directly to Hervé Hoppenot, Chairman, President &amp; Chief Executive Officer. The terms of this offer are set forth in this letter. Should you accept our offer, your salary will be $21,538.46 per bi-weekly pay period (equivalent to $560,000.00 on an annualized basis). This is a salaried, exempt position, as your salary covers compensation for all hours worked. As an incentive for joining Incyte, we offer a signing bonus of $280,000.00. You agree that if you voluntarily terminate your employment or are terminated for cause within one year from your start date, you will repay the bonus amount to Incyte. Performance evaluations will be conducted annually.</w:t>
      </w:r>
    </w:p>
    <w:p>
      <w:pPr>
        <w:spacing w:after="0" w:line="119" w:lineRule="exact"/>
        <w:rPr>
          <w:sz w:val="20"/>
          <w:szCs w:val="20"/>
          <w:color w:val="auto"/>
        </w:rPr>
      </w:pPr>
    </w:p>
    <w:p>
      <w:pPr>
        <w:jc w:val="both"/>
        <w:ind w:left="160" w:right="139"/>
        <w:spacing w:after="0" w:line="212" w:lineRule="auto"/>
        <w:rPr>
          <w:sz w:val="20"/>
          <w:szCs w:val="20"/>
          <w:color w:val="auto"/>
        </w:rPr>
      </w:pPr>
      <w:r>
        <w:rPr>
          <w:rFonts w:ascii="Times New Roman" w:cs="Times New Roman" w:eastAsia="Times New Roman" w:hAnsi="Times New Roman"/>
          <w:sz w:val="18"/>
          <w:szCs w:val="18"/>
          <w:color w:val="auto"/>
        </w:rPr>
        <w:t>You are eligible to participate in the Incentive Compensation Plan (ICP), an annual cash incentive plan. Employees are assigned a “Funding Target”, based on their job category, as a percent of base pay. As an Executive Vice President, your funding target is 50%. Your individual award will be based on Company Performance vs. Company Goals, and your Individual Performance vs. your Individual Goals. Actual awards are variable and could be more or less than your individual funding target and may be prorated based on your start date. This cash incentive plan is subject to ongoing approval by the company’s Board of Directors, and may be modified or terminated by the Board of Directors at any time at their sole discretion. In order to have been eligible for a 2018 bonus, you must have begun employment prior to November 1, 2018.</w:t>
      </w:r>
    </w:p>
    <w:p>
      <w:pPr>
        <w:spacing w:after="0" w:line="117" w:lineRule="exact"/>
        <w:rPr>
          <w:sz w:val="20"/>
          <w:szCs w:val="20"/>
          <w:color w:val="auto"/>
        </w:rPr>
      </w:pPr>
    </w:p>
    <w:p>
      <w:pPr>
        <w:ind w:left="160" w:right="199"/>
        <w:spacing w:after="0" w:line="237" w:lineRule="auto"/>
        <w:rPr>
          <w:sz w:val="20"/>
          <w:szCs w:val="20"/>
          <w:color w:val="auto"/>
        </w:rPr>
      </w:pPr>
      <w:r>
        <w:rPr>
          <w:rFonts w:ascii="Times New Roman" w:cs="Times New Roman" w:eastAsia="Times New Roman" w:hAnsi="Times New Roman"/>
          <w:sz w:val="18"/>
          <w:szCs w:val="18"/>
          <w:color w:val="auto"/>
        </w:rPr>
        <w:t>In lieu of a relocation package, we will pay your weekly round trip travel to Boston for 3 years from your start date. We will also work with you to accommodate the flexible work arrangement that we discussed.</w:t>
      </w:r>
    </w:p>
    <w:p>
      <w:pPr>
        <w:spacing w:after="0" w:line="118" w:lineRule="exact"/>
        <w:rPr>
          <w:sz w:val="20"/>
          <w:szCs w:val="20"/>
          <w:color w:val="auto"/>
        </w:rPr>
      </w:pPr>
    </w:p>
    <w:p>
      <w:pPr>
        <w:jc w:val="both"/>
        <w:ind w:left="160" w:right="139"/>
        <w:spacing w:after="0" w:line="213" w:lineRule="auto"/>
        <w:rPr>
          <w:sz w:val="20"/>
          <w:szCs w:val="20"/>
          <w:color w:val="auto"/>
        </w:rPr>
      </w:pPr>
      <w:r>
        <w:rPr>
          <w:rFonts w:ascii="Times New Roman" w:cs="Times New Roman" w:eastAsia="Times New Roman" w:hAnsi="Times New Roman"/>
          <w:sz w:val="18"/>
          <w:szCs w:val="18"/>
          <w:color w:val="auto"/>
        </w:rPr>
        <w:t>As a valued employee of Incyte, subject to approval by the Board of Directors, you will receive equity awards under the Incyte 2010 Stock Option Plan with an aggregate award value of $3,300,000, seventy-five (75%) of your grant in the form of options to purchase the Company’s common stock and the remaining twenty-five percent (25%) in the form of Restricted Stock Units (RSUs). The number of Stock Options shall be calculated and granted to you on your start date. The RSUs will also be awarded to you on your start date. The specific terms and conditions of this grant including exercise price and vesting conditions will be set forth in an Equity Grant Agreement to be entered into between you and the Company.</w:t>
      </w:r>
    </w:p>
    <w:p>
      <w:pPr>
        <w:spacing w:after="0" w:line="119" w:lineRule="exact"/>
        <w:rPr>
          <w:sz w:val="20"/>
          <w:szCs w:val="20"/>
          <w:color w:val="auto"/>
        </w:rPr>
      </w:pPr>
    </w:p>
    <w:p>
      <w:pPr>
        <w:jc w:val="both"/>
        <w:ind w:left="160" w:right="139"/>
        <w:spacing w:after="0" w:line="212" w:lineRule="auto"/>
        <w:rPr>
          <w:sz w:val="20"/>
          <w:szCs w:val="20"/>
          <w:color w:val="auto"/>
        </w:rPr>
      </w:pPr>
      <w:r>
        <w:rPr>
          <w:rFonts w:ascii="Times New Roman" w:cs="Times New Roman" w:eastAsia="Times New Roman" w:hAnsi="Times New Roman"/>
          <w:sz w:val="18"/>
          <w:szCs w:val="18"/>
          <w:color w:val="auto"/>
        </w:rPr>
        <w:t>As was discussed in the interview process, Incyte offers employees and their eligible dependents a variety of group health insurance benefits. Effective on your first day of employment, you will be eligible for these benefits which currently include medical, dental, vision, disability and life insurances. An outline of our benefit package is enclosed. The premium costs of these benefits for employees are currently being paid by Incyte. Incyte offers a 401(k) Plan available for your participation effective on your first day of employment. Paid Time Off (PTO) accrues quarterly to a maximum of 20 days (160 hours) per 12-month period with 4 years of service or less, to a maximum of 25 days (200 hours) for years 5 through 9, and a maximum of 30 days (240 hours) for year 10 and beyond. These hours are accrued the first day of each quarter. As a new hire, you will accrue a full 5 days (40 hours) of PTO for the quarter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9" w:name="page90"/>
    <w:bookmarkEnd w:id="89"/>
    <w:p>
      <w:pPr>
        <w:jc w:val="both"/>
        <w:ind w:left="160" w:right="159"/>
        <w:spacing w:after="0" w:line="237" w:lineRule="auto"/>
        <w:rPr>
          <w:sz w:val="20"/>
          <w:szCs w:val="20"/>
          <w:color w:val="auto"/>
        </w:rPr>
      </w:pPr>
      <w:r>
        <w:rPr>
          <w:rFonts w:ascii="Times New Roman" w:cs="Times New Roman" w:eastAsia="Times New Roman" w:hAnsi="Times New Roman"/>
          <w:sz w:val="18"/>
          <w:szCs w:val="18"/>
          <w:color w:val="auto"/>
        </w:rPr>
        <w:t>you start. Information about these programs and other Company benefits along with guidelines concerning employment are contained in Incyte’s Employee Handbook.</w:t>
      </w:r>
    </w:p>
    <w:p>
      <w:pPr>
        <w:spacing w:after="0" w:line="118" w:lineRule="exact"/>
        <w:rPr>
          <w:sz w:val="20"/>
          <w:szCs w:val="20"/>
          <w:color w:val="auto"/>
        </w:rPr>
      </w:pPr>
    </w:p>
    <w:p>
      <w:pPr>
        <w:jc w:val="both"/>
        <w:ind w:left="160" w:right="139"/>
        <w:spacing w:after="0" w:line="213" w:lineRule="auto"/>
        <w:rPr>
          <w:sz w:val="20"/>
          <w:szCs w:val="20"/>
          <w:color w:val="auto"/>
        </w:rPr>
      </w:pPr>
      <w:r>
        <w:rPr>
          <w:rFonts w:ascii="Times New Roman" w:cs="Times New Roman" w:eastAsia="Times New Roman" w:hAnsi="Times New Roman"/>
          <w:sz w:val="18"/>
          <w:szCs w:val="18"/>
          <w:color w:val="auto"/>
        </w:rPr>
        <w:t>You will receive a Confidential Information and Invention Assignment Agreement (“Confidentiality Agreement”) as in the form attached as Appendix A in your onboarding packet which will be sent to you electronically prior to your start date. As a condition of your employment with Incyte, you are required to electronically sign the Confidentiality Agreement protecting Incyte's proprietary and competitive information prior to your start date. This offer of employment is subject to your acceptance of the terms of the Confidentiality Agreement. Please note that your employment with Incyte, if accepted, will be on an “at will” basis, meaning that either you or the Company can terminate the employment relationship for any reason at any time.</w:t>
      </w:r>
    </w:p>
    <w:p>
      <w:pPr>
        <w:spacing w:after="0" w:line="119" w:lineRule="exact"/>
        <w:rPr>
          <w:sz w:val="20"/>
          <w:szCs w:val="20"/>
          <w:color w:val="auto"/>
        </w:rPr>
      </w:pPr>
    </w:p>
    <w:p>
      <w:pPr>
        <w:jc w:val="both"/>
        <w:ind w:left="160" w:right="159"/>
        <w:spacing w:after="0" w:line="226" w:lineRule="auto"/>
        <w:rPr>
          <w:sz w:val="20"/>
          <w:szCs w:val="20"/>
          <w:color w:val="auto"/>
        </w:rPr>
      </w:pPr>
      <w:r>
        <w:rPr>
          <w:rFonts w:ascii="Times New Roman" w:cs="Times New Roman" w:eastAsia="Times New Roman" w:hAnsi="Times New Roman"/>
          <w:sz w:val="18"/>
          <w:szCs w:val="18"/>
          <w:color w:val="auto"/>
        </w:rPr>
        <w:t>This offer of employment is contingent upon your being able to provide Incyte with documentation that verifies your identity and employment eligibility on the date that you report to work. This offer of employment is also contingent on the Company receiving satisfactory background checks.</w:t>
      </w:r>
    </w:p>
    <w:p>
      <w:pPr>
        <w:spacing w:after="0" w:line="118" w:lineRule="exact"/>
        <w:rPr>
          <w:sz w:val="20"/>
          <w:szCs w:val="20"/>
          <w:color w:val="auto"/>
        </w:rPr>
      </w:pPr>
    </w:p>
    <w:p>
      <w:pPr>
        <w:jc w:val="both"/>
        <w:ind w:left="160" w:right="139"/>
        <w:spacing w:after="0" w:line="237" w:lineRule="auto"/>
        <w:rPr>
          <w:sz w:val="20"/>
          <w:szCs w:val="20"/>
          <w:color w:val="auto"/>
        </w:rPr>
      </w:pPr>
      <w:r>
        <w:rPr>
          <w:rFonts w:ascii="Times New Roman" w:cs="Times New Roman" w:eastAsia="Times New Roman" w:hAnsi="Times New Roman"/>
          <w:sz w:val="18"/>
          <w:szCs w:val="18"/>
          <w:color w:val="auto"/>
        </w:rPr>
        <w:t>Christiana, we would be delighted by your decision to join Incyte Corporation and we look forward to your acceptance of this offer of employment. We believe Incyte offers an exciting and challenging opportunity.</w:t>
      </w:r>
    </w:p>
    <w:p>
      <w:pPr>
        <w:spacing w:after="0" w:line="118" w:lineRule="exact"/>
        <w:rPr>
          <w:sz w:val="20"/>
          <w:szCs w:val="20"/>
          <w:color w:val="auto"/>
        </w:rPr>
      </w:pPr>
    </w:p>
    <w:p>
      <w:pPr>
        <w:jc w:val="both"/>
        <w:ind w:left="160" w:right="139"/>
        <w:spacing w:after="0" w:line="220" w:lineRule="auto"/>
        <w:rPr>
          <w:sz w:val="20"/>
          <w:szCs w:val="20"/>
          <w:color w:val="auto"/>
        </w:rPr>
      </w:pPr>
      <w:r>
        <w:rPr>
          <w:rFonts w:ascii="Times New Roman" w:cs="Times New Roman" w:eastAsia="Times New Roman" w:hAnsi="Times New Roman"/>
          <w:sz w:val="18"/>
          <w:szCs w:val="18"/>
          <w:color w:val="auto"/>
        </w:rPr>
        <w:t>In order to confirm your agreement with and acceptance of these terms, please fax your signed acceptance letter to the confidential Human Resources Department fax: 302-425-2704 or scan it to Bonnie Croce at bcroce@incyte.com. In the meantime, should you have any questions about our offer or about the Company more generally, please contact either of us.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Sincerely,</w:t>
      </w: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/s/ Hervé Hoppenot</w:t>
      </w:r>
    </w:p>
    <w:p>
      <w:pPr>
        <w:ind w:left="160"/>
        <w:spacing w:after="0" w:line="203" w:lineRule="auto"/>
        <w:rPr>
          <w:sz w:val="20"/>
          <w:szCs w:val="20"/>
          <w:color w:val="auto"/>
        </w:rPr>
      </w:pPr>
      <w:r>
        <w:rPr>
          <w:rFonts w:ascii="Times New Roman" w:cs="Times New Roman" w:eastAsia="Times New Roman" w:hAnsi="Times New Roman"/>
          <w:sz w:val="18"/>
          <w:szCs w:val="18"/>
          <w:color w:val="auto"/>
        </w:rPr>
        <w:t>Hervé Hoppenot</w:t>
      </w:r>
    </w:p>
    <w:p>
      <w:pPr>
        <w:ind w:left="160"/>
        <w:spacing w:after="0"/>
        <w:rPr>
          <w:sz w:val="20"/>
          <w:szCs w:val="20"/>
          <w:color w:val="auto"/>
        </w:rPr>
      </w:pPr>
      <w:r>
        <w:rPr>
          <w:rFonts w:ascii="Times New Roman" w:cs="Times New Roman" w:eastAsia="Times New Roman" w:hAnsi="Times New Roman"/>
          <w:sz w:val="18"/>
          <w:szCs w:val="18"/>
          <w:color w:val="auto"/>
        </w:rPr>
        <w:t>Chairman, President &amp; Chief Executive Officer</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/s/ Paula J. Swain</w:t>
      </w:r>
    </w:p>
    <w:p>
      <w:pPr>
        <w:ind w:left="160"/>
        <w:spacing w:after="0" w:line="203" w:lineRule="auto"/>
        <w:rPr>
          <w:sz w:val="20"/>
          <w:szCs w:val="20"/>
          <w:color w:val="auto"/>
        </w:rPr>
      </w:pPr>
      <w:r>
        <w:rPr>
          <w:rFonts w:ascii="Times New Roman" w:cs="Times New Roman" w:eastAsia="Times New Roman" w:hAnsi="Times New Roman"/>
          <w:sz w:val="18"/>
          <w:szCs w:val="18"/>
          <w:color w:val="auto"/>
        </w:rPr>
        <w:t>Paula J. Swain</w:t>
      </w:r>
    </w:p>
    <w:p>
      <w:pPr>
        <w:ind w:left="160"/>
        <w:spacing w:after="0"/>
        <w:rPr>
          <w:sz w:val="20"/>
          <w:szCs w:val="20"/>
          <w:color w:val="auto"/>
        </w:rPr>
      </w:pPr>
      <w:r>
        <w:rPr>
          <w:rFonts w:ascii="Times New Roman" w:cs="Times New Roman" w:eastAsia="Times New Roman" w:hAnsi="Times New Roman"/>
          <w:sz w:val="18"/>
          <w:szCs w:val="18"/>
          <w:color w:val="auto"/>
        </w:rPr>
        <w:t>Executive Vice President, Human Resources</w:t>
      </w:r>
    </w:p>
    <w:p>
      <w:pPr>
        <w:spacing w:after="0" w:line="1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p>
      <w:pPr>
        <w:ind w:left="160" w:right="139"/>
        <w:spacing w:after="0" w:line="226" w:lineRule="auto"/>
        <w:rPr>
          <w:sz w:val="20"/>
          <w:szCs w:val="20"/>
          <w:color w:val="auto"/>
        </w:rPr>
      </w:pPr>
      <w:r>
        <w:rPr>
          <w:rFonts w:ascii="Times New Roman" w:cs="Times New Roman" w:eastAsia="Times New Roman" w:hAnsi="Times New Roman"/>
          <w:sz w:val="18"/>
          <w:szCs w:val="18"/>
          <w:color w:val="auto"/>
        </w:rPr>
        <w:t>I have read and understand the terms of this offer and agree to the terms of employment. I will be available to report to work on Monday, February 11, 2019.</w:t>
      </w:r>
    </w:p>
    <w:p>
      <w:pPr>
        <w:spacing w:after="0" w:line="1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/s/ Christiana Stamoulis</w:t>
      </w:r>
    </w:p>
    <w:p>
      <w:pPr>
        <w:ind w:left="16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125095</wp:posOffset>
            </wp:positionV>
            <wp:extent cx="554863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Addendum A</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Revised 12/14/18</w:t>
      </w:r>
    </w:p>
    <w:p>
      <w:pPr>
        <w:spacing w:after="0" w:line="200" w:lineRule="exact"/>
        <w:rPr>
          <w:sz w:val="20"/>
          <w:szCs w:val="20"/>
          <w:color w:val="auto"/>
        </w:rPr>
      </w:pPr>
    </w:p>
    <w:p>
      <w:pPr>
        <w:spacing w:after="0" w:line="243" w:lineRule="exact"/>
        <w:rPr>
          <w:sz w:val="20"/>
          <w:szCs w:val="20"/>
          <w:color w:val="auto"/>
        </w:rPr>
      </w:pPr>
    </w:p>
    <w:p>
      <w:pPr>
        <w:ind w:left="800" w:hanging="325"/>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your employment shall be from your hire date through your termination</w:t>
      </w:r>
    </w:p>
    <w:p>
      <w:pPr>
        <w:ind w:left="800" w:right="179" w:hanging="325"/>
        <w:spacing w:after="0" w:line="203"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you will receive a stock grant on the one year anniversary of your hire in the amount of $1,300,000 and in July of 2020 a stock grant in the amount of $2,200,000.</w:t>
      </w:r>
    </w:p>
    <w:p>
      <w:pPr>
        <w:ind w:left="800" w:hanging="325"/>
        <w:spacing w:after="0" w:line="203"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eligible for a July 2019 Annual Stock Grant</w:t>
      </w:r>
    </w:p>
    <w:p>
      <w:pPr>
        <w:ind w:left="800" w:hanging="325"/>
        <w:spacing w:after="0" w:line="203"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Employment Agreement</w:t>
      </w:r>
    </w:p>
    <w:p>
      <w:pPr>
        <w:ind w:left="800" w:hanging="325"/>
        <w:spacing w:after="0" w:line="203"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duties and responsibilities are described in the attached job description</w:t>
      </w:r>
    </w:p>
    <w:p>
      <w:pPr>
        <w:ind w:left="800" w:right="719" w:hanging="325"/>
        <w:spacing w:after="0" w:line="203"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Incyte terminates your employment without “cause” or you resign for “good reason” as referenced below you will be paid the amount of one (1) year of base pay plus target bonus as</w:t>
      </w:r>
    </w:p>
    <w:p>
      <w:pPr>
        <w:ind w:left="800" w:right="159"/>
        <w:spacing w:after="0" w:line="2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Provided, however, if you terminate your employment for good reason based on a reduction in base salary, then the base salary to be used in calculating the severance payment shall be the base salary in effect immediately prior to such reduction in base salary. If COBRA is elected by you, Incyte shall pay the cost of insurance continuation premiums on your behalf (whether or not covered by COBRA) to continue standard medical, dental and life insurance coverage for you (or the cash equivalent of same in the event you are ineligible for continued coverage), on a monthly basis, until the earlier of: (A) the date 12 months after the date of your employment is terminated; or (B) your COBRA health continuation period.</w:t>
      </w:r>
    </w:p>
    <w:p>
      <w:pPr>
        <w:spacing w:after="0" w:line="116" w:lineRule="exact"/>
        <w:rPr>
          <w:rFonts w:ascii="Times New Roman" w:cs="Times New Roman" w:eastAsia="Times New Roman" w:hAnsi="Times New Roman"/>
          <w:sz w:val="18"/>
          <w:szCs w:val="18"/>
          <w:color w:val="auto"/>
        </w:rPr>
      </w:pPr>
    </w:p>
    <w:p>
      <w:pPr>
        <w:ind w:left="2100" w:right="739" w:hanging="653"/>
        <w:spacing w:after="0" w:line="215" w:lineRule="auto"/>
        <w:tabs>
          <w:tab w:leader="none" w:pos="21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diminution, without consent, in your responsibilities, authority or duties, including a material change in reporting relationship</w:t>
      </w:r>
    </w:p>
    <w:p>
      <w:pPr>
        <w:ind w:left="2100" w:right="259" w:hanging="653"/>
        <w:spacing w:after="0" w:line="203" w:lineRule="auto"/>
        <w:tabs>
          <w:tab w:leader="none" w:pos="21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more than 10% in your base pay except for across-the-board salary reductions based on the Company’s financial performance similarly affecting all or substantially all senior management employees of the Company</w:t>
      </w:r>
    </w:p>
    <w:p>
      <w:pPr>
        <w:spacing w:after="0" w:line="1" w:lineRule="exact"/>
        <w:rPr>
          <w:rFonts w:ascii="Times New Roman" w:cs="Times New Roman" w:eastAsia="Times New Roman" w:hAnsi="Times New Roman"/>
          <w:sz w:val="18"/>
          <w:szCs w:val="18"/>
          <w:color w:val="auto"/>
        </w:rPr>
      </w:pPr>
    </w:p>
    <w:p>
      <w:pPr>
        <w:ind w:left="2100" w:right="339" w:hanging="653"/>
        <w:spacing w:after="0" w:line="226" w:lineRule="auto"/>
        <w:tabs>
          <w:tab w:leader="none" w:pos="2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without your consent in the geographic location at which you provide services to the Company of more than 50 miles away from our current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248920</wp:posOffset>
            </wp:positionV>
            <wp:extent cx="554863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144" w:lineRule="exact"/>
        <w:rPr>
          <w:sz w:val="20"/>
          <w:szCs w:val="20"/>
          <w:color w:val="auto"/>
        </w:rPr>
      </w:pPr>
    </w:p>
    <w:p>
      <w:pPr>
        <w:ind w:left="520" w:hanging="517"/>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44" w:lineRule="exact"/>
        <w:rPr>
          <w:rFonts w:ascii="Times New Roman" w:cs="Times New Roman" w:eastAsia="Times New Roman" w:hAnsi="Times New Roman"/>
          <w:sz w:val="18"/>
          <w:szCs w:val="18"/>
          <w:color w:val="auto"/>
        </w:rPr>
      </w:pPr>
    </w:p>
    <w:p>
      <w:pPr>
        <w:jc w:val="both"/>
        <w:ind w:left="520" w:hanging="517"/>
        <w:spacing w:after="0" w:line="22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20" w:right="100" w:hanging="517"/>
        <w:spacing w:after="0" w:line="22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520" w:right="240" w:hanging="517"/>
        <w:spacing w:after="0" w:line="22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20" w:right="60" w:hanging="504"/>
        <w:spacing w:after="0" w:line="22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020" w:right="40" w:hanging="504"/>
        <w:spacing w:after="0" w:line="22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020" w:right="220" w:hanging="504"/>
        <w:spacing w:after="0" w:line="22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020" w:right="140" w:hanging="504"/>
        <w:spacing w:after="0" w:line="220"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520" w:right="20" w:hanging="517"/>
        <w:spacing w:after="0" w:line="22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020" w:hanging="504"/>
        <w:spacing w:after="0" w:line="22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20" w:right="120" w:hanging="504"/>
        <w:spacing w:after="0" w:line="237"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Hervé Hoppenot</w:t>
      </w: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144" w:lineRule="exact"/>
        <w:rPr>
          <w:sz w:val="20"/>
          <w:szCs w:val="20"/>
          <w:color w:val="auto"/>
        </w:rPr>
      </w:pPr>
    </w:p>
    <w:p>
      <w:pPr>
        <w:ind w:left="520" w:hanging="517"/>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44" w:lineRule="exact"/>
        <w:rPr>
          <w:rFonts w:ascii="Times New Roman" w:cs="Times New Roman" w:eastAsia="Times New Roman" w:hAnsi="Times New Roman"/>
          <w:sz w:val="18"/>
          <w:szCs w:val="18"/>
          <w:color w:val="auto"/>
        </w:rPr>
      </w:pPr>
    </w:p>
    <w:p>
      <w:pPr>
        <w:jc w:val="both"/>
        <w:ind w:left="520" w:hanging="517"/>
        <w:spacing w:after="0" w:line="22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20" w:right="100" w:hanging="517"/>
        <w:spacing w:after="0" w:line="22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520" w:right="240" w:hanging="517"/>
        <w:spacing w:after="0" w:line="22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20" w:right="60" w:hanging="504"/>
        <w:spacing w:after="0" w:line="22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020" w:right="40" w:hanging="504"/>
        <w:spacing w:after="0" w:line="22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1020" w:right="220" w:hanging="504"/>
        <w:spacing w:after="0" w:line="22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020" w:right="140" w:hanging="504"/>
        <w:spacing w:after="0" w:line="220"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520" w:right="20" w:hanging="517"/>
        <w:spacing w:after="0" w:line="22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020" w:hanging="504"/>
        <w:spacing w:after="0" w:line="22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20" w:right="120" w:hanging="504"/>
        <w:spacing w:after="0" w:line="237"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Christiana Stamoulis</w:t>
      </w: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4"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March 31, 2019,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19" w:lineRule="exact"/>
        <w:rPr>
          <w:sz w:val="20"/>
          <w:szCs w:val="20"/>
          <w:color w:val="auto"/>
        </w:rPr>
      </w:pPr>
    </w:p>
    <w:p>
      <w:pPr>
        <w:ind w:left="340" w:hanging="337"/>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320" w:right="360" w:hanging="317"/>
        <w:spacing w:after="0" w:line="237" w:lineRule="auto"/>
        <w:tabs>
          <w:tab w:leader="none" w:pos="3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Hervé Hoppenot</w:t>
      </w:r>
    </w:p>
    <w:p>
      <w:pPr>
        <w:ind w:left="45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4540"/>
        <w:spacing w:after="0"/>
        <w:rPr>
          <w:sz w:val="20"/>
          <w:szCs w:val="20"/>
          <w:color w:val="auto"/>
        </w:rPr>
      </w:pPr>
      <w:r>
        <w:rPr>
          <w:rFonts w:ascii="Times New Roman" w:cs="Times New Roman" w:eastAsia="Times New Roman" w:hAnsi="Times New Roman"/>
          <w:sz w:val="18"/>
          <w:szCs w:val="18"/>
          <w:color w:val="auto"/>
        </w:rPr>
        <w:t>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664845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4"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March 31, 2019,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19" w:lineRule="exact"/>
        <w:rPr>
          <w:sz w:val="20"/>
          <w:szCs w:val="20"/>
          <w:color w:val="auto"/>
        </w:rPr>
      </w:pPr>
    </w:p>
    <w:p>
      <w:pPr>
        <w:ind w:left="340" w:hanging="337"/>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320" w:right="360" w:hanging="317"/>
        <w:spacing w:after="0" w:line="237" w:lineRule="auto"/>
        <w:tabs>
          <w:tab w:leader="none" w:pos="3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Christiana Stamoulis</w:t>
      </w:r>
    </w:p>
    <w:p>
      <w:pPr>
        <w:ind w:left="45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4540"/>
        <w:spacing w:after="0"/>
        <w:rPr>
          <w:sz w:val="20"/>
          <w:szCs w:val="20"/>
          <w:color w:val="auto"/>
        </w:rPr>
      </w:pPr>
      <w:r>
        <w:rPr>
          <w:rFonts w:ascii="Times New Roman" w:cs="Times New Roman" w:eastAsia="Times New Roman" w:hAnsi="Times New Roman"/>
          <w:sz w:val="18"/>
          <w:szCs w:val="18"/>
          <w:color w:val="auto"/>
        </w:rPr>
        <w:t>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endash "/>
      <w:numFmt w:val="bullet"/>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10"/>
    </w:lvl>
  </w:abstractNum>
  <w:abstractNum w:abstractNumId="11">
    <w:nsid w:val="836C40E"/>
    <w:multiLevelType w:val="hybridMultilevel"/>
    <w:lvl w:ilvl="0">
      <w:lvlJc w:val="left"/>
      <w:lvlText w:val="%1."/>
      <w:numFmt w:val="decimal"/>
      <w:start w:val="11"/>
    </w:lvl>
  </w:abstractNum>
  <w:abstractNum w:abstractNumId="12">
    <w:nsid w:val="2901D82"/>
    <w:multiLevelType w:val="hybridMultilevel"/>
    <w:lvl w:ilvl="0">
      <w:lvlJc w:val="left"/>
      <w:lvlText w:val="%1."/>
      <w:numFmt w:val="decimal"/>
      <w:start w:val="12"/>
    </w:lvl>
  </w:abstractNum>
  <w:abstractNum w:abstractNumId="13">
    <w:nsid w:val="3A95F874"/>
    <w:multiLevelType w:val="hybridMultilevel"/>
    <w:lvl w:ilvl="0">
      <w:lvlJc w:val="left"/>
      <w:lvlText w:val="(%1)"/>
      <w:numFmt w:val="lowerRoman"/>
      <w:start w:val="2"/>
    </w:lvl>
  </w:abstractNum>
  <w:abstractNum w:abstractNumId="14">
    <w:nsid w:val="8138641"/>
    <w:multiLevelType w:val="hybridMultilevel"/>
    <w:lvl w:ilvl="0">
      <w:lvlJc w:val="left"/>
      <w:lvlText w:val="%1."/>
      <w:numFmt w:val="decimal"/>
      <w:start w:val="13"/>
    </w:lvl>
  </w:abstractNum>
  <w:abstractNum w:abstractNumId="15">
    <w:nsid w:val="1E7FF521"/>
    <w:multiLevelType w:val="hybridMultilevel"/>
    <w:lvl w:ilvl="0">
      <w:lvlJc w:val="left"/>
      <w:lvlText w:val="%1."/>
      <w:numFmt w:val="decimal"/>
      <w:start w:val="14"/>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endash "/>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lowerLetter"/>
      <w:start w:val="5"/>
    </w:lvl>
  </w:abstractNum>
  <w:abstractNum w:abstractNumId="40">
    <w:nsid w:val="2A487CB0"/>
    <w:multiLevelType w:val="hybridMultilevel"/>
    <w:lvl w:ilvl="0">
      <w:lvlJc w:val="left"/>
      <w:lvlText w:val="·"/>
      <w:numFmt w:val="bullet"/>
      <w:start w:val="1"/>
    </w:lvl>
    <w:lvl w:ilvl="1">
      <w:lvlJc w:val="left"/>
      <w:lvlText w:val="(%2)"/>
      <w:numFmt w:val="lowerRoman"/>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95" Type="http://schemas.openxmlformats.org/officeDocument/2006/relationships/hyperlink" Target="http://www.sec.gov/Archives/edgar/data/879169/000104746913001393/a2212845zex-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2019-12-28T13:29:41Z</dcterms:created>
  <dcterms:modified xsi:type="dcterms:W3CDTF">2019-12-28T13:29:41Z</dcterms:modified>
</cp:coreProperties>
</file>