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354.xml.htm"/>
      <w:bookmarkStart w:id="1" w:name="kswkform4_17909713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Clancy Paul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25,838</w:t>
            </w:r>
            <w:r>
              <w:rPr>
                <w:rFonts w:ascii="Times;serif" w:hAnsi="Times;serif"/>
                <w:color w:val="008000"/>
                <w:position w:val="7"/>
                <w:sz w:val="16"/>
                <w:sz w:val="20"/>
                <w:shd w:fill="FFFFFF" w:val="clear"/>
              </w:rPr>
              <w:t>(2)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shares issued to the Reporting Person under the Issuer's Amended and Restated 2010 Stock Incentive Plan in lieu of quarterly director retainer fees pursuant to an election by the Reporting Person intended to comply with Rule 10b5-1. Restricted shares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Including this grant, this includes an aggregate of 1,642 shares of common stock issuable pursuant to previously reported restricted stock units that have not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9601"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3441</Characters>
  <CharactersWithSpaces>4002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