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UNITED STATES</w:t>
      </w: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tabs>
          <w:tab w:leader="none" w:pos="41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8"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75" w:lineRule="exact"/>
        <w:rPr>
          <w:sz w:val="24"/>
          <w:szCs w:val="24"/>
          <w:color w:val="auto"/>
        </w:rPr>
      </w:pPr>
    </w:p>
    <w:p>
      <w:pPr>
        <w:ind w:left="2640" w:right="3539" w:hanging="2209"/>
        <w:spacing w:after="0" w:line="235" w:lineRule="auto"/>
        <w:tabs>
          <w:tab w:leader="none" w:pos="114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0"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For the fiscal year ended December 31, 1998</w:t>
      </w:r>
    </w:p>
    <w:p>
      <w:pPr>
        <w:spacing w:after="0" w:line="169"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1040" w:right="3259" w:hanging="785"/>
        <w:spacing w:after="0" w:line="235" w:lineRule="auto"/>
        <w:tabs>
          <w:tab w:leader="none" w:pos="-10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6"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For the transition period from _____________________ to ______________________</w:t>
      </w:r>
    </w:p>
    <w:p>
      <w:pPr>
        <w:sectPr>
          <w:pgSz w:w="11900" w:h="16857" w:orient="portrait"/>
          <w:cols w:equalWidth="0" w:num="1">
            <w:col w:w="10219"/>
          </w:cols>
          <w:pgMar w:left="240" w:top="226" w:right="1440" w:bottom="0" w:gutter="0" w:footer="0" w:header="0"/>
        </w:sectPr>
      </w:pPr>
    </w:p>
    <w:p>
      <w:pPr>
        <w:spacing w:after="0" w:line="180"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0-27488</w:t>
      </w:r>
    </w:p>
    <w:p>
      <w:pPr>
        <w:spacing w:after="0" w:line="175" w:lineRule="exact"/>
        <w:rPr>
          <w:sz w:val="24"/>
          <w:szCs w:val="24"/>
          <w:color w:val="auto"/>
        </w:rPr>
      </w:pPr>
    </w:p>
    <w:p>
      <w:pPr>
        <w:sectPr>
          <w:pgSz w:w="11900" w:h="16857" w:orient="portrait"/>
          <w:cols w:equalWidth="0" w:num="2">
            <w:col w:w="4140" w:space="160"/>
            <w:col w:w="5919"/>
          </w:cols>
          <w:pgMar w:left="240" w:top="226" w:right="1440" w:bottom="0" w:gutter="0" w:footer="0" w:header="0"/>
          <w:type w:val="continuous"/>
        </w:sectPr>
      </w:pPr>
    </w:p>
    <w:p>
      <w:pPr>
        <w:jc w:val="center"/>
        <w:ind w:right="3179"/>
        <w:spacing w:after="0"/>
        <w:rPr>
          <w:sz w:val="20"/>
          <w:szCs w:val="20"/>
          <w:color w:val="auto"/>
        </w:rPr>
      </w:pPr>
      <w:r>
        <w:rPr>
          <w:rFonts w:ascii="Courier New" w:cs="Courier New" w:eastAsia="Courier New" w:hAnsi="Courier New"/>
          <w:sz w:val="15"/>
          <w:szCs w:val="15"/>
          <w:color w:val="auto"/>
        </w:rPr>
        <w:t>INCYTE PHARMACEUTICALS, INC.</w:t>
      </w:r>
    </w:p>
    <w:p>
      <w:pPr>
        <w:spacing w:after="0" w:line="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57" w:orient="portrait"/>
          <w:cols w:equalWidth="0" w:num="1">
            <w:col w:w="10219"/>
          </w:cols>
          <w:pgMar w:left="240" w:top="226" w:right="1440" w:bottom="0" w:gutter="0" w:footer="0" w:header="0"/>
          <w:type w:val="continuous"/>
        </w:sectPr>
      </w:pPr>
    </w:p>
    <w:p>
      <w:pPr>
        <w:spacing w:after="0" w:line="175"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Delaware</w:t>
      </w:r>
    </w:p>
    <w:p>
      <w:pPr>
        <w:ind w:left="780"/>
        <w:spacing w:after="0"/>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94-3136539</w:t>
      </w:r>
    </w:p>
    <w:p>
      <w:pPr>
        <w:spacing w:after="0" w:line="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(IRS Employer Identification No.)</w:t>
      </w:r>
    </w:p>
    <w:p>
      <w:pPr>
        <w:spacing w:after="0" w:line="344" w:lineRule="exact"/>
        <w:rPr>
          <w:sz w:val="24"/>
          <w:szCs w:val="24"/>
          <w:color w:val="auto"/>
        </w:rPr>
      </w:pPr>
    </w:p>
    <w:p>
      <w:pPr>
        <w:sectPr>
          <w:pgSz w:w="11900" w:h="16857" w:orient="portrait"/>
          <w:cols w:equalWidth="0" w:num="2">
            <w:col w:w="3600" w:space="540"/>
            <w:col w:w="6079"/>
          </w:cols>
          <w:pgMar w:left="240" w:top="226" w:right="1440" w:bottom="0" w:gutter="0" w:footer="0" w:header="0"/>
          <w:type w:val="continuous"/>
        </w:sectPr>
      </w:pPr>
    </w:p>
    <w:p>
      <w:pPr>
        <w:spacing w:after="0" w:line="5" w:lineRule="exact"/>
        <w:rPr>
          <w:sz w:val="24"/>
          <w:szCs w:val="24"/>
          <w:color w:val="auto"/>
        </w:rPr>
      </w:pPr>
    </w:p>
    <w:p>
      <w:pPr>
        <w:jc w:val="center"/>
        <w:ind w:left="160"/>
        <w:spacing w:after="0" w:line="265" w:lineRule="auto"/>
        <w:rPr>
          <w:sz w:val="20"/>
          <w:szCs w:val="20"/>
          <w:color w:val="auto"/>
        </w:rPr>
      </w:pPr>
      <w:r>
        <w:rPr>
          <w:rFonts w:ascii="Courier New" w:cs="Courier New" w:eastAsia="Courier New" w:hAnsi="Courier New"/>
          <w:sz w:val="14"/>
          <w:szCs w:val="14"/>
          <w:color w:val="auto"/>
        </w:rPr>
        <w:t>3174 Porter Drive, Palo Alto, California 94304 (Address of principal executive offices)</w:t>
      </w:r>
    </w:p>
    <w:p>
      <w:pPr>
        <w:spacing w:after="0" w:line="20" w:lineRule="exact"/>
        <w:rPr>
          <w:sz w:val="24"/>
          <w:szCs w:val="24"/>
          <w:color w:val="auto"/>
        </w:rPr>
      </w:pPr>
      <w:r>
        <w:rPr>
          <w:sz w:val="24"/>
          <w:szCs w:val="24"/>
          <w:color w:val="auto"/>
        </w:rPr>
        <w:br w:type="column"/>
      </w:r>
    </w:p>
    <w:p>
      <w:pPr>
        <w:ind w:left="540"/>
        <w:spacing w:after="0"/>
        <w:rPr>
          <w:sz w:val="20"/>
          <w:szCs w:val="20"/>
          <w:color w:val="auto"/>
        </w:rPr>
      </w:pPr>
      <w:r>
        <w:rPr>
          <w:rFonts w:ascii="Courier New" w:cs="Courier New" w:eastAsia="Courier New" w:hAnsi="Courier New"/>
          <w:sz w:val="15"/>
          <w:szCs w:val="15"/>
          <w:color w:val="auto"/>
        </w:rPr>
        <w:t>(650) 855-0555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(Registrant's telephone number,</w:t>
      </w:r>
    </w:p>
    <w:p>
      <w:pPr>
        <w:spacing w:after="0" w:line="5"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including area code)</w:t>
      </w:r>
    </w:p>
    <w:p>
      <w:pPr>
        <w:spacing w:after="0" w:line="175" w:lineRule="exact"/>
        <w:rPr>
          <w:sz w:val="24"/>
          <w:szCs w:val="24"/>
          <w:color w:val="auto"/>
        </w:rPr>
      </w:pPr>
    </w:p>
    <w:p>
      <w:pPr>
        <w:sectPr>
          <w:pgSz w:w="11900" w:h="16857" w:orient="portrait"/>
          <w:cols w:equalWidth="0" w:num="2">
            <w:col w:w="4220" w:space="80"/>
            <w:col w:w="5919"/>
          </w:cols>
          <w:pgMar w:left="240" w:top="226" w:right="1440" w:bottom="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Securities registered to Section 12(b)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None</w:t>
      </w:r>
    </w:p>
    <w:p>
      <w:pPr>
        <w:spacing w:after="0" w:line="180" w:lineRule="exact"/>
        <w:rPr>
          <w:sz w:val="24"/>
          <w:szCs w:val="24"/>
          <w:color w:val="auto"/>
        </w:rPr>
      </w:pPr>
    </w:p>
    <w:p>
      <w:pPr>
        <w:sectPr>
          <w:pgSz w:w="11900" w:h="16857" w:orient="portrait"/>
          <w:cols w:equalWidth="0" w:num="2">
            <w:col w:w="5460" w:space="180"/>
            <w:col w:w="4579"/>
          </w:cols>
          <w:pgMar w:left="240" w:top="226" w:right="1440" w:bottom="0" w:gutter="0" w:footer="0" w:header="0"/>
          <w:type w:val="continuous"/>
        </w:sect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5" w:lineRule="exact"/>
        <w:rPr>
          <w:sz w:val="24"/>
          <w:szCs w:val="24"/>
          <w:color w:val="auto"/>
        </w:rPr>
      </w:pPr>
    </w:p>
    <w:p>
      <w:pPr>
        <w:ind w:left="1920"/>
        <w:spacing w:after="0"/>
        <w:rPr>
          <w:sz w:val="20"/>
          <w:szCs w:val="20"/>
          <w:color w:val="auto"/>
        </w:rPr>
      </w:pPr>
      <w:r>
        <w:rPr>
          <w:rFonts w:ascii="Courier New" w:cs="Courier New" w:eastAsia="Courier New" w:hAnsi="Courier New"/>
          <w:sz w:val="15"/>
          <w:szCs w:val="15"/>
          <w:color w:val="auto"/>
        </w:rPr>
        <w:t>Common Stock, par value $.001 per share</w:t>
      </w:r>
    </w:p>
    <w:p>
      <w:pPr>
        <w:ind w:left="1140"/>
        <w:spacing w:after="0"/>
        <w:rPr>
          <w:sz w:val="20"/>
          <w:szCs w:val="20"/>
          <w:color w:val="auto"/>
        </w:rPr>
      </w:pPr>
      <w:r>
        <w:rPr>
          <w:rFonts w:ascii="Courier New" w:cs="Courier New" w:eastAsia="Courier New" w:hAnsi="Courier New"/>
          <w:sz w:val="15"/>
          <w:szCs w:val="15"/>
          <w:color w:val="auto"/>
        </w:rPr>
        <w:t>Series A Participating Preferred Stock Purchase Rights</w:t>
      </w:r>
    </w:p>
    <w:p>
      <w:pPr>
        <w:sectPr>
          <w:pgSz w:w="11900" w:h="16857" w:orient="portrait"/>
          <w:cols w:equalWidth="0" w:num="1">
            <w:col w:w="10219"/>
          </w:cols>
          <w:pgMar w:left="240" w:top="226" w:right="1440" w:bottom="0" w:gutter="0" w:footer="0" w:header="0"/>
          <w:type w:val="continuous"/>
        </w:sectPr>
      </w:pP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080" w:type="dxa"/>
            <w:vAlign w:val="bottom"/>
            <w:gridSpan w:val="7"/>
          </w:tcPr>
          <w:p>
            <w:pPr>
              <w:spacing w:after="0"/>
              <w:rPr>
                <w:sz w:val="20"/>
                <w:szCs w:val="20"/>
                <w:color w:val="auto"/>
              </w:rPr>
            </w:pPr>
            <w:r>
              <w:rPr>
                <w:rFonts w:ascii="Courier New" w:cs="Courier New" w:eastAsia="Courier New" w:hAnsi="Courier New"/>
                <w:sz w:val="15"/>
                <w:szCs w:val="15"/>
                <w:color w:val="auto"/>
                <w:w w:val="99"/>
              </w:rPr>
              <w:t>Indicate by check mark whether the</w:t>
            </w:r>
          </w:p>
        </w:tc>
        <w:tc>
          <w:tcPr>
            <w:tcW w:w="3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registrant (1) has filed all reports required</w:t>
            </w:r>
          </w:p>
        </w:tc>
      </w:tr>
      <w:tr>
        <w:trPr>
          <w:trHeight w:val="170"/>
        </w:trPr>
        <w:tc>
          <w:tcPr>
            <w:tcW w:w="2460" w:type="dxa"/>
            <w:vAlign w:val="bottom"/>
            <w:gridSpan w:val="5"/>
          </w:tcPr>
          <w:p>
            <w:pPr>
              <w:spacing w:after="0"/>
              <w:rPr>
                <w:sz w:val="20"/>
                <w:szCs w:val="20"/>
                <w:color w:val="auto"/>
              </w:rPr>
            </w:pPr>
            <w:r>
              <w:rPr>
                <w:rFonts w:ascii="Courier New" w:cs="Courier New" w:eastAsia="Courier New" w:hAnsi="Courier New"/>
                <w:sz w:val="15"/>
                <w:szCs w:val="15"/>
                <w:color w:val="auto"/>
              </w:rPr>
              <w:t>by  Section  13  or  15(d)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Securities</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Exchange Act of 1934 during the</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preceding</w:t>
            </w:r>
          </w:p>
        </w:tc>
        <w:tc>
          <w:tcPr>
            <w:tcW w:w="15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6"/>
              </w:rPr>
              <w:t>12 months (or for</w:t>
            </w:r>
          </w:p>
        </w:tc>
        <w:tc>
          <w:tcPr>
            <w:tcW w:w="45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such shorter period that the registrant was required</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file such</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reports), and</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(2) has</w:t>
            </w:r>
          </w:p>
        </w:tc>
        <w:tc>
          <w:tcPr>
            <w:tcW w:w="3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been subject to such filing requirements for</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past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days.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[X]Yes</w:t>
            </w:r>
          </w:p>
        </w:tc>
        <w:tc>
          <w:tcPr>
            <w:tcW w:w="220" w:type="dxa"/>
            <w:vAlign w:val="bottom"/>
          </w:tcPr>
          <w:p>
            <w:pPr>
              <w:spacing w:after="0"/>
              <w:rPr>
                <w:sz w:val="14"/>
                <w:szCs w:val="14"/>
                <w:color w:val="auto"/>
              </w:rPr>
            </w:pP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No</w:t>
            </w:r>
          </w:p>
        </w:tc>
        <w:tc>
          <w:tcPr>
            <w:tcW w:w="2860" w:type="dxa"/>
            <w:vAlign w:val="bottom"/>
          </w:tcPr>
          <w:p>
            <w:pPr>
              <w:spacing w:after="0"/>
              <w:rPr>
                <w:sz w:val="14"/>
                <w:szCs w:val="14"/>
                <w:color w:val="auto"/>
              </w:rPr>
            </w:pPr>
          </w:p>
        </w:tc>
      </w:tr>
      <w:tr>
        <w:trPr>
          <w:trHeight w:val="339"/>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Indicate</w:t>
            </w: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by</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check mark if</w:t>
            </w:r>
          </w:p>
        </w:tc>
        <w:tc>
          <w:tcPr>
            <w:tcW w:w="45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disclosure of delinquent filers pursuant to Item 405</w:t>
            </w:r>
          </w:p>
        </w:tc>
      </w:tr>
      <w:tr>
        <w:trPr>
          <w:trHeight w:val="170"/>
        </w:trPr>
        <w:tc>
          <w:tcPr>
            <w:tcW w:w="1220" w:type="dxa"/>
            <w:vAlign w:val="bottom"/>
            <w:gridSpan w:val="3"/>
          </w:tcPr>
          <w:p>
            <w:pPr>
              <w:spacing w:after="0"/>
              <w:rPr>
                <w:sz w:val="20"/>
                <w:szCs w:val="20"/>
                <w:color w:val="auto"/>
              </w:rPr>
            </w:pPr>
            <w:r>
              <w:rPr>
                <w:rFonts w:ascii="Courier New" w:cs="Courier New" w:eastAsia="Courier New" w:hAnsi="Courier New"/>
                <w:sz w:val="15"/>
                <w:szCs w:val="15"/>
                <w:color w:val="auto"/>
              </w:rPr>
              <w:t>of Regulation</w:t>
            </w:r>
          </w:p>
        </w:tc>
        <w:tc>
          <w:tcPr>
            <w:tcW w:w="18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6"/>
              </w:rPr>
              <w:t>S-K (Section 229.405</w:t>
            </w:r>
          </w:p>
        </w:tc>
        <w:tc>
          <w:tcPr>
            <w:tcW w:w="3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of this chapter) is not contained herein, and</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will</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be</w:t>
            </w:r>
          </w:p>
        </w:tc>
        <w:tc>
          <w:tcPr>
            <w:tcW w:w="14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contained,  to</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the</w:t>
            </w:r>
          </w:p>
        </w:tc>
        <w:tc>
          <w:tcPr>
            <w:tcW w:w="3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best of registrant's knowledge, in definitive</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proxy  or</w:t>
            </w:r>
          </w:p>
        </w:tc>
        <w:tc>
          <w:tcPr>
            <w:tcW w:w="220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information  statements</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incorporated</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by reference in Part III of this</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Form</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10-K</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or</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any</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amendment</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this</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Form</w:t>
            </w:r>
          </w:p>
        </w:tc>
        <w:tc>
          <w:tcPr>
            <w:tcW w:w="286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10-K.  [  ]</w:t>
            </w:r>
          </w:p>
        </w:tc>
      </w:tr>
    </w:tbl>
    <w:p>
      <w:pPr>
        <w:spacing w:after="0" w:line="175" w:lineRule="exact"/>
        <w:rPr>
          <w:sz w:val="24"/>
          <w:szCs w:val="24"/>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aggregate market value of Common Stock held by non-affiliates (based upon the closing sale price on the Nasdaq National Market on February 28, 1999) was approximately $782,993.</w:t>
      </w:r>
    </w:p>
    <w:p>
      <w:pPr>
        <w:spacing w:after="0" w:line="175" w:lineRule="exact"/>
        <w:rPr>
          <w:sz w:val="24"/>
          <w:szCs w:val="24"/>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As of February 28, 1999, there were 27,901,268 shares of Common Stock, $.001 per share par value, outstanding.</w:t>
      </w:r>
    </w:p>
    <w:p>
      <w:pPr>
        <w:spacing w:after="0" w:line="170"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Items 10 (as to directors), 11, 12 and 13 of Part III incorporate by reference information from the registrant's proxy statement to be filed with the Securities and Exchange Commission in connection with the solicitation of proxies for the registrant's 1999 Annual Meeting of Stockholders to be held on June 8, 1999.</w:t>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tabs>
          <w:tab w:leader="none" w:pos="500" w:val="left"/>
          <w:tab w:leader="none" w:pos="1020" w:val="left"/>
        </w:tabs>
        <w:rPr>
          <w:sz w:val="20"/>
          <w:szCs w:val="20"/>
          <w:color w:val="auto"/>
        </w:rPr>
      </w:pPr>
      <w:r>
        <w:rPr>
          <w:rFonts w:ascii="Courier New" w:cs="Courier New" w:eastAsia="Courier New" w:hAnsi="Courier New"/>
          <w:sz w:val="15"/>
          <w:szCs w:val="15"/>
          <w:color w:val="auto"/>
        </w:rPr>
        <w:t>ITEM</w:t>
        <w:tab/>
        <w:t>1.</w:t>
      </w:r>
      <w:r>
        <w:rPr>
          <w:sz w:val="20"/>
          <w:szCs w:val="20"/>
          <w:color w:val="auto"/>
        </w:rPr>
        <w:tab/>
      </w:r>
      <w:r>
        <w:rPr>
          <w:rFonts w:ascii="Courier New" w:cs="Courier New" w:eastAsia="Courier New" w:hAnsi="Courier New"/>
          <w:sz w:val="15"/>
          <w:szCs w:val="15"/>
          <w:color w:val="auto"/>
        </w:rPr>
        <w:t>BUSINESS</w:t>
      </w:r>
    </w:p>
    <w:p>
      <w:pPr>
        <w:spacing w:after="0" w:line="175" w:lineRule="exact"/>
        <w:rPr>
          <w:sz w:val="24"/>
          <w:szCs w:val="24"/>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When used in this Report, the words "expects," "anticipates," "estimates," and similar expressions are intended to identify forward-looking statements. These statements, which include statements as to the performance and utility of the Company's and diaDexus' products and services, and future products and services, are subject to risks and uncertainties that could cause actual results to differ materially from those projected. These risks and uncertainties include, but are not limited to, those risks discussed below, as well as, the extent of utilization of genomic information by the pharmaceutical industry in both research and development; risks relating to the development of new database products and their use by potential collaborators of the Company; the impact of technological advances and competition; the ability of the Company to obtain and retain customers; competition from other entities; and the risks set forth below under Item 7, "Management's Discussion and Analysis of Financial Condition and Results of Operations-Factors That May Affect Results." These forward-looking statements speak only as of the date hereof. The Company expressly disclaims any obligation or undertaking to release publicly any updates or revisions to any forward-looking statements contained herein to reflect any change in the Company's expectations with regard thereto or any change in events, conditions or circumstances on which any such statement is based.</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4"/>
          <w:szCs w:val="24"/>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Incyte Pharmaceuticals, Inc. ("Incyte" or the "Company"), is a leading provider of genomic information-based tools and services. These tools and services include database products, genomic data management software tools, microarray-based gene expression services, genomic reagents and related services. The Company focuses on genomic information-based tools that can assist</w:t>
      </w:r>
    </w:p>
    <w:p>
      <w:pPr>
        <w:sectPr>
          <w:pgSz w:w="11900" w:h="16857" w:orient="portrait"/>
          <w:cols w:equalWidth="0" w:num="1">
            <w:col w:w="10219"/>
          </w:cols>
          <w:pgMar w:left="240" w:top="226" w:right="1440" w:bottom="0" w:gutter="0" w:footer="0" w:header="0"/>
          <w:type w:val="continuous"/>
        </w:sectPr>
      </w:pPr>
    </w:p>
    <w:bookmarkStart w:id="1" w:name="page2"/>
    <w:bookmarkEnd w:id="1"/>
    <w:p>
      <w:pPr>
        <w:ind w:right="3179"/>
        <w:spacing w:after="0" w:line="237" w:lineRule="auto"/>
        <w:rPr>
          <w:sz w:val="20"/>
          <w:szCs w:val="20"/>
          <w:color w:val="auto"/>
        </w:rPr>
      </w:pPr>
      <w:r>
        <w:rPr>
          <w:rFonts w:ascii="Courier New" w:cs="Courier New" w:eastAsia="Courier New" w:hAnsi="Courier New"/>
          <w:sz w:val="15"/>
          <w:szCs w:val="15"/>
          <w:color w:val="auto"/>
        </w:rPr>
        <w:t>pharmaceutical and biotechnology companies in the discovery and development of new drugs and assist agricultural companies in the development of new agricultural products.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Company's genomic databases integrate bioinformatics software with proprietary and, when appropriate, publicly available genomic information to create information-based tools used by pharmaceutical and biotechnology companies in drug discovery and development. In building the databases, the Company utilizes high-throughput, computer-aided gene sequencing and analysis technologies to identify and characterize the expressed genes of the human genome, as well as certain animal, plant and microbial genomes. By searching the genomic databases, customers can integrate and analyze genomic information from multiple sources in order to discover genes that may represent the basis for new biological targets, therapeutic proteins, or gene therapy, antisense or diagnostic products. The Company's genomic products and services are designed to assist the pharmaceutical and biotechnology industries in utilizing genomic information to accelerate the discovery and development of new diagnostic and therapeutic products. The Company's products and services can be applied to gene and target discovery, functional genomic studies, preclinical pharmacology and toxicology studies, and can aid in understanding and analyzing the results of clinical development studies.</w:t>
      </w:r>
    </w:p>
    <w:p>
      <w:pPr>
        <w:spacing w:after="0" w:line="18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currently provides access to its genomic databases through collaborations with pharmaceutical, biotechnology, and agricultural companies worldwide. As of December 31, 1998, twenty-two companies had entered into multi-year database agreements to obtain access to the Company's databases on a non-exclusive basis. Revenues from these subscribers generally include database access fees. The Company's database agreements also provide for future milestone payments and royalties from the sale of products derived from proprietary information contained in one or more database modules.</w:t>
      </w:r>
    </w:p>
    <w:p>
      <w:pPr>
        <w:spacing w:after="0" w:line="178"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Company's portfolio of database modules includes the LifeSeq human gene sequence and expression database, the LifeSeq FL database of full-length human genes, the LifeSeq AtlasTM mapping database, the PathoSeqTM microbial genomic database, the ZooSeqTM animal genomic database, the LifeToolsTM suite of bioinformatics software programs, the LifeArrayTM gene expression data management and analysis software, and a variety of custom database and sequencing services. Each database module consists of a relational database that runs on UNIX-based client/server networks and incorporates HyperText Markup Language ("HTML") and JAVA graphical user interfaces enabling subscribers to use multiple search tools and browse various database modules. The databases are available using either Oracle or Sybase database architectures and operate on Sun Microsystems, Compaq Computer Corporation and Silicon Graphics workstations.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Genes, found in all living cells, are comprised of DNA, which in turn is comprised of nucleotide base pairs or bases. Genes provide the necessary information to code for the synthesis of proteins, the molecules which conduct all functions within a cell. Many human diseases are associated with the inadequate or inappropriate presence, production or performance of proteins. As such, pharmaceutical and biotechnology companies often seek to develop drugs that will bind to a targeted protein involved in disease in order to regulate, inhibit or stimulate its biological activity. Other proteins, known as therapeutic proteins, have direct biological activity and may be capable of treating disease. Insulin and human growth hormone are examples of therapeutic proteins. Understanding the role genes play in disease, and the protein targets or therapeutic proteins which they encode, has thus become a significant area of interest and research within the pharmaceutical and biotechnology industries.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Sequencing</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One frequently employed method for determining gene function involves the grouping of genes into "related" families based on similarities in DNA sequence. DNA sequencing is a process that identifies the order in which the bases in DNA are arranged in a particular section of DNA, or DNA fragment. Once a gene's sequence is known, its function may be inferred by comparing its sequence with the sequences of other human genes of known function, as genes with similar, or homologous sequences may have related functions. Comparing gene sequences across species has also become a useful tool for understanding gene function, as frequently it is easier to assess gene function in lower organisms than it is in humans.</w:t>
      </w:r>
    </w:p>
    <w:p>
      <w:pPr>
        <w:spacing w:after="0" w:line="17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Gene</w:t>
      </w:r>
      <w:r>
        <w:rPr>
          <w:sz w:val="20"/>
          <w:szCs w:val="20"/>
          <w:color w:val="auto"/>
        </w:rPr>
        <w:tab/>
      </w:r>
      <w:r>
        <w:rPr>
          <w:rFonts w:ascii="Courier New" w:cs="Courier New" w:eastAsia="Courier New" w:hAnsi="Courier New"/>
          <w:sz w:val="14"/>
          <w:szCs w:val="14"/>
          <w:color w:val="auto"/>
        </w:rPr>
        <w:t>Expression</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Another method used to determine gene function focuses on the analysis of gene activity within a cell. When a gene is active, its DNA is copied into messenger RNA or "mRNA." The population of mRNA within a cell can be isolated and converted into copy DNA or "cDNA," thereby creating a cDNA library that represents the population of mRNAs present in a cell type at a particular time. In a process called "gene expression profiling," high-throughput cDNA sequencing, computer analysis and microarray technologies can be used to identify which genes are active or inactive and, if active, at what levels. Expression profiles provide a more detailed picture of cellular genetics than conventional laboratory techniques by indicating which genes, both known and novel, are specifically correlated to discrete biological events in normal and disease-state cells.</w:t>
      </w:r>
    </w:p>
    <w:p>
      <w:pPr>
        <w:spacing w:after="0" w:line="17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Microarray</w:t>
        <w:tab/>
        <w:t>Technology</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Microarray technology can be used to analyze the expression patterns or sequence variations in a large number of genes simultaneously. A microarray consists of DNA fragments attached to a surface, usually a glass, plastic or silicon slide, in a grid-like formation. The DNA fragments serve as probes to detect the presence of specific populations of mRNA within normal and diseased cells. The DNA fragments on the microarray will detect specific mRNA populations by pairing with the complementary cDNA that has been prepared from</w:t>
      </w:r>
    </w:p>
    <w:p>
      <w:pPr>
        <w:sectPr>
          <w:pgSz w:w="11900" w:h="16838" w:orient="portrait"/>
          <w:cols w:equalWidth="0" w:num="1">
            <w:col w:w="10219"/>
          </w:cols>
          <w:pgMar w:left="240" w:top="141" w:right="1440" w:bottom="0" w:gutter="0" w:footer="0" w:header="0"/>
        </w:sectPr>
      </w:pPr>
    </w:p>
    <w:bookmarkStart w:id="2" w:name="page3"/>
    <w:bookmarkEnd w:id="2"/>
    <w:p>
      <w:pPr>
        <w:jc w:val="both"/>
        <w:ind w:right="3179"/>
        <w:spacing w:after="0" w:line="238" w:lineRule="auto"/>
        <w:rPr>
          <w:sz w:val="20"/>
          <w:szCs w:val="20"/>
          <w:color w:val="auto"/>
        </w:rPr>
      </w:pPr>
      <w:r>
        <w:rPr>
          <w:rFonts w:ascii="Courier New" w:cs="Courier New" w:eastAsia="Courier New" w:hAnsi="Courier New"/>
          <w:sz w:val="15"/>
          <w:szCs w:val="15"/>
          <w:color w:val="auto"/>
        </w:rPr>
        <w:t>mRNA samples from normal and diseased cells. Microarray technology allows the fabrication of very small grids containing probes for thousands of different genes. Microarrays can be used in drug discovery and development, to evaluate the behavior of a large number of related genes in a diseased tissue or in response to treatment with a new drug or in diagnostic testing to quickly detect the presence of a large number of disease markers.</w:t>
      </w:r>
    </w:p>
    <w:p>
      <w:pPr>
        <w:sectPr>
          <w:pgSz w:w="11900" w:h="16838" w:orient="portrait"/>
          <w:cols w:equalWidth="0" w:num="1">
            <w:col w:w="10219"/>
          </w:cols>
          <w:pgMar w:left="240" w:top="141" w:right="1440" w:bottom="1440" w:gutter="0" w:footer="0" w:header="0"/>
        </w:sectPr>
      </w:pPr>
    </w:p>
    <w:bookmarkStart w:id="3" w:name="page4"/>
    <w:bookmarkEnd w:id="3"/>
    <w:p>
      <w:pPr>
        <w:ind w:left="10"/>
        <w:spacing w:after="0"/>
        <w:rPr>
          <w:sz w:val="20"/>
          <w:szCs w:val="20"/>
          <w:color w:val="auto"/>
        </w:rPr>
      </w:pPr>
      <w:r>
        <w:rPr>
          <w:rFonts w:ascii="Courier New" w:cs="Courier New" w:eastAsia="Courier New" w:hAnsi="Courier New"/>
          <w:sz w:val="15"/>
          <w:szCs w:val="15"/>
          <w:color w:val="auto"/>
        </w:rPr>
        <w:t>Bioinformatics</w:t>
      </w:r>
    </w:p>
    <w:p>
      <w:pPr>
        <w:spacing w:after="0" w:line="175"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Due to improvements in sequencing technology, genomic information from both public and private sources is increasing at a dramatic rate. As a result, bioinformatics, or the use of computers and sophisticated algorithms to store, analyze and interpret large volumes of biological data, is essential in order to capture value from this growing pool of data. To date, the main focus of bioinformatic and genomic tools has been drug discovery. The Company believes these tools, as well as tools under development, will also assist researchers with the preclinical and clinical development process. For example, with the help of new technology and bioinformatic analyses scientists may be able to correlate genetic and physiologic response in preclinical animal models, examine gene expression profiles in drug-treated animals to assess the pharmacological activity and toxicity of new drugs, and stratify clinical trial patients according to their gene expression profiles.</w:t>
      </w:r>
    </w:p>
    <w:p>
      <w:pPr>
        <w:spacing w:after="0" w:line="177" w:lineRule="exact"/>
        <w:rPr>
          <w:sz w:val="20"/>
          <w:szCs w:val="20"/>
          <w:color w:val="auto"/>
        </w:rPr>
      </w:pPr>
    </w:p>
    <w:p>
      <w:pPr>
        <w:ind w:left="10"/>
        <w:spacing w:after="0"/>
        <w:tabs>
          <w:tab w:leader="none" w:pos="689" w:val="left"/>
          <w:tab w:leader="none" w:pos="1749" w:val="left"/>
          <w:tab w:leader="none" w:pos="2969" w:val="left"/>
          <w:tab w:leader="none" w:pos="3769" w:val="left"/>
        </w:tabs>
        <w:rPr>
          <w:sz w:val="20"/>
          <w:szCs w:val="20"/>
          <w:color w:val="auto"/>
        </w:rPr>
      </w:pPr>
      <w:r>
        <w:rPr>
          <w:rFonts w:ascii="Courier New" w:cs="Courier New" w:eastAsia="Courier New" w:hAnsi="Courier New"/>
          <w:sz w:val="15"/>
          <w:szCs w:val="15"/>
          <w:color w:val="auto"/>
        </w:rPr>
        <w:t>Single</w:t>
        <w:tab/>
        <w:t>Nucleotide</w:t>
        <w:tab/>
        <w:t>Polymorphism</w:t>
        <w:tab/>
        <w:t>("SNP")</w:t>
      </w:r>
      <w:r>
        <w:rPr>
          <w:sz w:val="20"/>
          <w:szCs w:val="20"/>
          <w:color w:val="auto"/>
        </w:rPr>
        <w:tab/>
      </w:r>
      <w:r>
        <w:rPr>
          <w:rFonts w:ascii="Courier New" w:cs="Courier New" w:eastAsia="Courier New" w:hAnsi="Courier New"/>
          <w:sz w:val="14"/>
          <w:szCs w:val="14"/>
          <w:color w:val="auto"/>
        </w:rPr>
        <w:t>Discovery</w:t>
      </w:r>
    </w:p>
    <w:p>
      <w:pPr>
        <w:spacing w:after="0" w:line="175" w:lineRule="exact"/>
        <w:rPr>
          <w:sz w:val="20"/>
          <w:szCs w:val="20"/>
          <w:color w:val="auto"/>
        </w:rPr>
      </w:pPr>
    </w:p>
    <w:p>
      <w:pPr>
        <w:jc w:val="both"/>
        <w:ind w:left="10" w:right="3179" w:firstLine="441"/>
        <w:spacing w:after="0" w:line="256" w:lineRule="auto"/>
        <w:rPr>
          <w:sz w:val="20"/>
          <w:szCs w:val="20"/>
          <w:color w:val="auto"/>
        </w:rPr>
      </w:pPr>
      <w:r>
        <w:rPr>
          <w:rFonts w:ascii="Courier New" w:cs="Courier New" w:eastAsia="Courier New" w:hAnsi="Courier New"/>
          <w:sz w:val="14"/>
          <w:szCs w:val="14"/>
          <w:color w:val="auto"/>
        </w:rPr>
        <w:t>Due to genetic variation, individuals may respond differently to treatment with the same drug. Few, if any, FDA-approved drugs are capable of successfully treating every individual with a targeted disease. The differences in patients' drug responses are believed to result in part from differences in the sequence of nucleotides within genes. The most common form of sequence variation is known as a single nucleotide polymorphism or "SNP." A SNP is defined as a single base difference within the same DNA region between two individuals. Some SNPs are "silent" and not associated with a disease or a patient's ability to respond to</w:t>
      </w:r>
    </w:p>
    <w:p>
      <w:pPr>
        <w:spacing w:after="0" w:line="3" w:lineRule="exact"/>
        <w:rPr>
          <w:sz w:val="20"/>
          <w:szCs w:val="20"/>
          <w:color w:val="auto"/>
        </w:rPr>
      </w:pPr>
    </w:p>
    <w:p>
      <w:pPr>
        <w:jc w:val="both"/>
        <w:ind w:left="10" w:right="3179" w:hanging="10"/>
        <w:spacing w:after="0" w:line="257" w:lineRule="auto"/>
        <w:tabs>
          <w:tab w:leader="none" w:pos="27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particular therapy, and some SNPs occur at a frequency that is too low to justify large-scale patient screening. Thus, researchers need to do more than identify SNPs; they must identify the most frequently occurring SNPs and identify those which correlate with a patient's disease prognosis or ability to respond to a drug. Through its acquisition of Hexagen Limited ("Hexagen") in September 1998, the Company is developing fSSCP technology, a high-throughput SNP discovery technology. fSSCP is particularly useful for identifying SNPs in genes not expressed or more rarely expressed. This gel-based system detects SNPs in multiple samples simultaneously by observing changes in the tertiary structure of single stranded DNA fragments due to base pair changes. Incyte is contributing technologies in the areas of electrophoresis, fluorescence chemistries, sequencing and bioinformatics in order to continue to develop and improve the accuracy and efficiency of this technology.</w:t>
      </w:r>
    </w:p>
    <w:p>
      <w:pPr>
        <w:spacing w:after="0" w:line="160"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Gene</w:t>
      </w:r>
      <w:r>
        <w:rPr>
          <w:sz w:val="20"/>
          <w:szCs w:val="20"/>
          <w:color w:val="auto"/>
        </w:rPr>
        <w:tab/>
      </w:r>
      <w:r>
        <w:rPr>
          <w:rFonts w:ascii="Courier New" w:cs="Courier New" w:eastAsia="Courier New" w:hAnsi="Courier New"/>
          <w:sz w:val="14"/>
          <w:szCs w:val="14"/>
          <w:color w:val="auto"/>
        </w:rPr>
        <w:t>Mapping</w:t>
      </w:r>
    </w:p>
    <w:p>
      <w:pPr>
        <w:spacing w:after="0" w:line="175"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Mapping refers to the determination of the physical location of a gene in the genome and the relative position of that gene to other genes along a chromosome. Physiological processes and associated diseases can be extremely complex and involve many genes. A gene can activate one or more different genes forming a cascade of genetically controlled events or a "pathway." When the genes involved in such a pathway are located within neighboring regions of DNA, mapping can allow the location of one member of the pathway to be used to identify the other members. In addition, genetically inherited diseases that have been passed from generation to generation may be associated with visible chromosome alterations, such as deletions of large segments of the chromosome or insertions within the chromosome. These physical chromosome abnormalities allow researchers to identify the DNA regions and genes that have a critical role in causing the disease.</w:t>
      </w:r>
    </w:p>
    <w:p>
      <w:pPr>
        <w:spacing w:after="0" w:line="177" w:lineRule="exact"/>
        <w:rPr>
          <w:sz w:val="20"/>
          <w:szCs w:val="20"/>
          <w:color w:val="auto"/>
        </w:rPr>
      </w:pPr>
    </w:p>
    <w:p>
      <w:pPr>
        <w:ind w:left="10"/>
        <w:spacing w:after="0"/>
        <w:tabs>
          <w:tab w:leader="none" w:pos="869" w:val="left"/>
          <w:tab w:leader="none" w:pos="1309" w:val="left"/>
        </w:tabs>
        <w:rPr>
          <w:sz w:val="20"/>
          <w:szCs w:val="20"/>
          <w:color w:val="auto"/>
        </w:rPr>
      </w:pPr>
      <w:r>
        <w:rPr>
          <w:rFonts w:ascii="Courier New" w:cs="Courier New" w:eastAsia="Courier New" w:hAnsi="Courier New"/>
          <w:sz w:val="15"/>
          <w:szCs w:val="15"/>
          <w:color w:val="auto"/>
        </w:rPr>
        <w:t>PRODUCTS</w:t>
        <w:tab/>
        <w:t>AND</w:t>
      </w:r>
      <w:r>
        <w:rPr>
          <w:sz w:val="20"/>
          <w:szCs w:val="20"/>
          <w:color w:val="auto"/>
        </w:rPr>
        <w:tab/>
      </w:r>
      <w:r>
        <w:rPr>
          <w:rFonts w:ascii="Courier New" w:cs="Courier New" w:eastAsia="Courier New" w:hAnsi="Courier New"/>
          <w:sz w:val="14"/>
          <w:szCs w:val="14"/>
          <w:color w:val="auto"/>
        </w:rPr>
        <w:t>SERVICES</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The Company's current products and services include an integrated platform of genomic databases, data management software tools, microarray-based gene expression services, and related reagents.</w:t>
      </w:r>
    </w:p>
    <w:p>
      <w:pPr>
        <w:sectPr>
          <w:pgSz w:w="11900" w:h="16838" w:orient="portrait"/>
          <w:cols w:equalWidth="0" w:num="1">
            <w:col w:w="10229"/>
          </w:cols>
          <w:pgMar w:left="230" w:top="452" w:right="1440" w:bottom="1440" w:gutter="0" w:footer="0" w:header="0"/>
        </w:sectPr>
      </w:pPr>
    </w:p>
    <w:bookmarkStart w:id="4" w:name="page5"/>
    <w:bookmarkEnd w:id="4"/>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GENOMIC DATABASES. The Company provides its database collaborators with non-exclusive database access. Database collaborators receive periodic data updates, typically monthly, as well as software upgrades and additional search and analysis tools when they become available. The fees and the period of access are negotiated with each company, with the initial term typically lasting for a period of three years. Fees generally consist of database access fees, non-exclusive or exclusive license fees and option fees corresponding to patent rights on proprietary sequences. The Company may also receive future milestone and royalty payments from database collaborators from the sale of their products derived from the Company's technology and database information. Researchers can browse not only Company-generated data, but also public domain information provided through HTML links to the World Wide Web. The Company currently offers the following database modules:</w:t>
      </w:r>
    </w:p>
    <w:p>
      <w:pPr>
        <w:spacing w:after="0" w:line="183" w:lineRule="exact"/>
        <w:rPr>
          <w:sz w:val="20"/>
          <w:szCs w:val="20"/>
          <w:color w:val="auto"/>
        </w:rPr>
      </w:pPr>
    </w:p>
    <w:p>
      <w:pPr>
        <w:ind w:left="10" w:right="2999" w:hanging="10"/>
        <w:spacing w:after="0" w:line="239" w:lineRule="auto"/>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LifeSeq Database. The LifeSeq human gene sequence and expression database consists of a proprietary sequence database module linked to a proprietary gene expression database module. Researchers can easily move from one module to another through HTML-based graphical interfaces. The sequence database contains the Company's computer-edited gene sequence files and is used by researchers to identify related or homologous genes. For example, a scientist may wish to identify new genes homologous to a gene identified through their own research and believed to be linked to a disease. The expression database contains biological information about each sequence in the Company's sequence database, including tissue source, homologies, and annotations regarding characteristics of the gene sequence. Most importantly, the expression database contains a gene expression profile for every tissue in the database combined with proprietary bioinformatics software to allow collaborators to browse data and compare differences in gene expression across cells, tissues, and different disease states. Thus, the expression database can be used to assist researchers in correlating the presence of specific genes to discrete biological events in normal and disease-state cells. The Company continually adds additional sequences and expression data from normal and diseased tissues to the LifeSeq database.</w:t>
      </w:r>
    </w:p>
    <w:p>
      <w:pPr>
        <w:spacing w:after="0" w:line="175" w:lineRule="exact"/>
        <w:rPr>
          <w:rFonts w:ascii="Courier New" w:cs="Courier New" w:eastAsia="Courier New" w:hAnsi="Courier New"/>
          <w:sz w:val="15"/>
          <w:szCs w:val="15"/>
          <w:color w:val="auto"/>
        </w:rPr>
      </w:pPr>
    </w:p>
    <w:p>
      <w:pPr>
        <w:ind w:left="10" w:right="2999" w:hanging="10"/>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LifeSeq FL Database. This database contains the full-length gene sequences for DNA fragments of medically interesting genes found in the LifeSeq human gene sequence and expression database. The Company's scientists and the collaborators select genes for inclusion in this database based on a number of factors, including their sequence homologies to known therapeutically important gene families, unusual tissue or disease-related expression patterns and chromosomal location. A variety of methods, including a proprietary, high-throughput cloning technology and algorithms to identify secreted proteins, are used to identify medically interesting genes and obtain the full-length sequence.</w:t>
      </w:r>
    </w:p>
    <w:p>
      <w:pPr>
        <w:spacing w:after="0" w:line="335" w:lineRule="exact"/>
        <w:rPr>
          <w:rFonts w:ascii="Courier New" w:cs="Courier New" w:eastAsia="Courier New" w:hAnsi="Courier New"/>
          <w:sz w:val="15"/>
          <w:szCs w:val="15"/>
          <w:color w:val="auto"/>
        </w:rPr>
      </w:pPr>
    </w:p>
    <w:p>
      <w:pPr>
        <w:ind w:left="10" w:right="2999" w:hanging="10"/>
        <w:spacing w:after="0" w:line="238" w:lineRule="auto"/>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LifeSeq AtlasTM Database. The LifeSeq Atlas database contains the chromosomal locations for genes and gene fragments identified in the Company's LifeSeq human gene sequence and expression database that the Company believes may be of utility to its database collaborators. In particular, this database may be useful for companies engaged in positional cloning, a technique used to identify genes believed to be responsible for genetic disorders, which relies heavily on comparative analysis of the chromosomes of members of families</w:t>
      </w:r>
    </w:p>
    <w:p>
      <w:pPr>
        <w:spacing w:after="0" w:line="1" w:lineRule="exact"/>
        <w:rPr>
          <w:sz w:val="20"/>
          <w:szCs w:val="20"/>
          <w:color w:val="auto"/>
        </w:rPr>
      </w:pPr>
    </w:p>
    <w:p>
      <w:pPr>
        <w:ind w:left="10"/>
        <w:spacing w:after="0"/>
        <w:tabs>
          <w:tab w:leader="none" w:pos="949" w:val="left"/>
          <w:tab w:leader="none" w:pos="1309" w:val="left"/>
          <w:tab w:leader="none" w:pos="1569" w:val="left"/>
        </w:tabs>
        <w:rPr>
          <w:sz w:val="20"/>
          <w:szCs w:val="20"/>
          <w:color w:val="auto"/>
        </w:rPr>
      </w:pPr>
      <w:r>
        <w:rPr>
          <w:rFonts w:ascii="Courier New" w:cs="Courier New" w:eastAsia="Courier New" w:hAnsi="Courier New"/>
          <w:sz w:val="15"/>
          <w:szCs w:val="15"/>
          <w:color w:val="auto"/>
        </w:rPr>
        <w:t>afflicted</w:t>
        <w:tab/>
        <w:t>by</w:t>
        <w:tab/>
        <w:t>a</w:t>
      </w:r>
      <w:r>
        <w:rPr>
          <w:sz w:val="20"/>
          <w:szCs w:val="20"/>
          <w:color w:val="auto"/>
        </w:rPr>
        <w:tab/>
      </w:r>
      <w:r>
        <w:rPr>
          <w:rFonts w:ascii="Courier New" w:cs="Courier New" w:eastAsia="Courier New" w:hAnsi="Courier New"/>
          <w:sz w:val="14"/>
          <w:szCs w:val="14"/>
          <w:color w:val="auto"/>
        </w:rPr>
        <w:t>disease.</w:t>
      </w:r>
    </w:p>
    <w:p>
      <w:pPr>
        <w:spacing w:after="0" w:line="175" w:lineRule="exact"/>
        <w:rPr>
          <w:sz w:val="20"/>
          <w:szCs w:val="20"/>
          <w:color w:val="auto"/>
        </w:rPr>
      </w:pPr>
    </w:p>
    <w:p>
      <w:pPr>
        <w:ind w:left="10" w:right="2999" w:hanging="10"/>
        <w:spacing w:after="0" w:line="237" w:lineRule="auto"/>
        <w:tabs>
          <w:tab w:leader="none" w:pos="1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LifeSeq Gold Database. The LifeSeq Gold database combines the Company's LifeSeq, LifeSeq FL, and GeneAlbum into one enhanced database. LifeSeq Gold uses a novel method to assemble cDNA sequence fragments (ESTs) into genes, providing increased sensitivity for distinguishing between closely related sequences,</w:t>
      </w:r>
    </w:p>
    <w:p>
      <w:pPr>
        <w:spacing w:after="0" w:line="1" w:lineRule="exact"/>
        <w:rPr>
          <w:sz w:val="20"/>
          <w:szCs w:val="20"/>
          <w:color w:val="auto"/>
        </w:rPr>
      </w:pPr>
    </w:p>
    <w:p>
      <w:pPr>
        <w:ind w:left="10"/>
        <w:spacing w:after="0"/>
        <w:tabs>
          <w:tab w:leader="none" w:pos="949" w:val="left"/>
          <w:tab w:leader="none" w:pos="1649" w:val="left"/>
        </w:tabs>
        <w:rPr>
          <w:sz w:val="20"/>
          <w:szCs w:val="20"/>
          <w:color w:val="auto"/>
        </w:rPr>
      </w:pPr>
      <w:r>
        <w:rPr>
          <w:rFonts w:ascii="Courier New" w:cs="Courier New" w:eastAsia="Courier New" w:hAnsi="Courier New"/>
          <w:sz w:val="15"/>
          <w:szCs w:val="15"/>
          <w:color w:val="auto"/>
        </w:rPr>
        <w:t>including</w:t>
        <w:tab/>
        <w:t>splice</w:t>
      </w:r>
      <w:r>
        <w:rPr>
          <w:sz w:val="20"/>
          <w:szCs w:val="20"/>
          <w:color w:val="auto"/>
        </w:rPr>
        <w:tab/>
      </w:r>
      <w:r>
        <w:rPr>
          <w:rFonts w:ascii="Courier New" w:cs="Courier New" w:eastAsia="Courier New" w:hAnsi="Courier New"/>
          <w:sz w:val="14"/>
          <w:szCs w:val="14"/>
          <w:color w:val="auto"/>
        </w:rPr>
        <w:t>variants.</w:t>
      </w:r>
    </w:p>
    <w:p>
      <w:pPr>
        <w:spacing w:after="0" w:line="175" w:lineRule="exact"/>
        <w:rPr>
          <w:sz w:val="20"/>
          <w:szCs w:val="20"/>
          <w:color w:val="auto"/>
        </w:rPr>
      </w:pPr>
    </w:p>
    <w:p>
      <w:pPr>
        <w:ind w:left="10" w:right="2999" w:hanging="10"/>
        <w:spacing w:after="0" w:line="238" w:lineRule="auto"/>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PathoSeqTM Database. The PathoSeq database currently contains proprietary and public domain genomic data for over three dozen medically relevant bacterial and fungal microorganisms. With drug-resistant strains of bacteria and other microorganisms posing an increasing threat to world health, pharmaceutical and biotechnology companies are searching for genes unique to these pathogens that will aid in the development of new drugs to treat infectious disease. PathoSeq's software and bioinformatic tools edit all sequence data to remove artifacts and contamination, assemble all sequences, display the relative position of the DNA coding regions, and identify genes either common among multiple microorganisms or unique to one microbial genome. The Company believes PathoSeq can help researchers understand the biology of microorganisms, study the mechanisms of drug resistance, identify genes that may make effective drug targets, and,</w:t>
      </w:r>
    </w:p>
    <w:p>
      <w:pPr>
        <w:spacing w:after="0" w:line="6" w:lineRule="exact"/>
        <w:rPr>
          <w:sz w:val="20"/>
          <w:szCs w:val="20"/>
          <w:color w:val="auto"/>
        </w:rPr>
      </w:pPr>
    </w:p>
    <w:p>
      <w:pPr>
        <w:ind w:left="10"/>
        <w:spacing w:after="0"/>
        <w:tabs>
          <w:tab w:leader="none" w:pos="1129" w:val="left"/>
          <w:tab w:leader="none" w:pos="1909" w:val="left"/>
          <w:tab w:leader="none" w:pos="2369" w:val="left"/>
        </w:tabs>
        <w:rPr>
          <w:sz w:val="20"/>
          <w:szCs w:val="20"/>
          <w:color w:val="auto"/>
        </w:rPr>
      </w:pPr>
      <w:r>
        <w:rPr>
          <w:rFonts w:ascii="Courier New" w:cs="Courier New" w:eastAsia="Courier New" w:hAnsi="Courier New"/>
          <w:sz w:val="15"/>
          <w:szCs w:val="15"/>
          <w:color w:val="auto"/>
        </w:rPr>
        <w:t>ultimately,</w:t>
        <w:tab/>
        <w:t>develop</w:t>
        <w:tab/>
        <w:t>new</w:t>
      </w:r>
      <w:r>
        <w:rPr>
          <w:sz w:val="20"/>
          <w:szCs w:val="20"/>
          <w:color w:val="auto"/>
        </w:rPr>
        <w:tab/>
      </w:r>
      <w:r>
        <w:rPr>
          <w:rFonts w:ascii="Courier New" w:cs="Courier New" w:eastAsia="Courier New" w:hAnsi="Courier New"/>
          <w:sz w:val="14"/>
          <w:szCs w:val="14"/>
          <w:color w:val="auto"/>
        </w:rPr>
        <w:t>therapeutics to treat and prevent infectious disease.</w:t>
      </w:r>
    </w:p>
    <w:p>
      <w:pPr>
        <w:spacing w:after="0" w:line="175" w:lineRule="exact"/>
        <w:rPr>
          <w:sz w:val="20"/>
          <w:szCs w:val="20"/>
          <w:color w:val="auto"/>
        </w:rPr>
      </w:pPr>
    </w:p>
    <w:p>
      <w:pPr>
        <w:ind w:left="10" w:right="2999"/>
        <w:spacing w:after="0" w:line="238" w:lineRule="auto"/>
        <w:rPr>
          <w:sz w:val="20"/>
          <w:szCs w:val="20"/>
          <w:color w:val="auto"/>
        </w:rPr>
      </w:pPr>
      <w:r>
        <w:rPr>
          <w:rFonts w:ascii="Courier New" w:cs="Courier New" w:eastAsia="Courier New" w:hAnsi="Courier New"/>
          <w:sz w:val="15"/>
          <w:szCs w:val="15"/>
          <w:color w:val="auto"/>
        </w:rPr>
        <w:t>- - ZooSeqTM Database. The ZooSeq database was developed to aid pharmaceutical and biotechnology companies in designing and evaluating preclinical drug studies in animals, a crucial step in the drug development process. ZooSeq contains genomic information from animals commonly used in preclinical drug pharmacology and toxicology studies. The database currently contains gene sequence and expression data for the rat, mouse, and monkey, animals most commonly used in preclinical drug toxicology and efficacy studies. ZooSeq is designed to allow scientists to compare gene sequence, expression patterns and function across species. By correlating a drug's effects on an animal with the animal's genetic makeup, and then cross-referencing these data with the Company's human LifeSeq database, a researcher may better predict the drug's efficacy and side effects before moving to human clinical trials.</w:t>
      </w:r>
    </w:p>
    <w:p>
      <w:pPr>
        <w:spacing w:after="0" w:line="182" w:lineRule="exact"/>
        <w:rPr>
          <w:sz w:val="20"/>
          <w:szCs w:val="20"/>
          <w:color w:val="auto"/>
        </w:rPr>
      </w:pPr>
    </w:p>
    <w:p>
      <w:pPr>
        <w:ind w:left="10" w:right="2999" w:hanging="10"/>
        <w:spacing w:after="0" w:line="237" w:lineRule="auto"/>
        <w:tabs>
          <w:tab w:leader="none" w:pos="18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Public Domain Databases. The LifeSeq PD and PathoSeqTM PD databases use the same database architecture as the LifeSeq and PathoSeq databases, but they contain cDNA sequence data obtained solely from public-domain sources and do not include the Company's proprietary sequences.</w:t>
      </w:r>
    </w:p>
    <w:p>
      <w:pPr>
        <w:spacing w:after="0" w:line="176"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SATELLITE DATABASE SERVICES AND CONTRACT SEQUENCING. To construct satellite databases, the Company generates sequence data and gene expression profiles using genetic material from tissues or cells selected by the database</w:t>
      </w:r>
    </w:p>
    <w:p>
      <w:pPr>
        <w:sectPr>
          <w:pgSz w:w="11900" w:h="16838" w:orient="portrait"/>
          <w:cols w:equalWidth="0" w:num="1">
            <w:col w:w="10229"/>
          </w:cols>
          <w:pgMar w:left="230" w:top="458" w:right="1440" w:bottom="0" w:gutter="0" w:footer="0" w:header="0"/>
        </w:sectPr>
      </w:pPr>
    </w:p>
    <w:bookmarkStart w:id="5" w:name="page6"/>
    <w:bookmarkEnd w:id="5"/>
    <w:p>
      <w:pPr>
        <w:jc w:val="both"/>
        <w:ind w:right="3179"/>
        <w:spacing w:after="0" w:line="258" w:lineRule="auto"/>
        <w:rPr>
          <w:sz w:val="20"/>
          <w:szCs w:val="20"/>
          <w:color w:val="auto"/>
        </w:rPr>
      </w:pPr>
      <w:r>
        <w:rPr>
          <w:rFonts w:ascii="Courier New" w:cs="Courier New" w:eastAsia="Courier New" w:hAnsi="Courier New"/>
          <w:sz w:val="14"/>
          <w:szCs w:val="14"/>
          <w:color w:val="auto"/>
        </w:rPr>
        <w:t>subscribers. These databases are provided exclusively for a negotiated time period in a format compatible with the Company's non-exclusive database modules. These tissues and cells can be provided by the database subscribers from their own tissue banks, internal research programs or from other sources. In addition, in 1998 the Company began to offer high volume contract sequencing services to pharmaceutical, biotechnology, agricultural and academic researchers.</w:t>
      </w:r>
    </w:p>
    <w:p>
      <w:pPr>
        <w:spacing w:after="0" w:line="16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SOFTWARE. The Company has developed an enterprise-wide genomic information management system capable of updating, reprocessing and integrating genetic data from multiple sources and from different organisms. This system integrates the Company's proprietary, subscriber-specific and public domain data, and is capable of comparing information from humans, animals, microbes, fungi and plants. The system incorporates the architecture necessary to integrate the Company's software tools with three-dimensional visualization tools, data mining programs and project management capabilities, and is capable of being integrated with additional technologies developed to more efficiently manage and analyze genomic data.</w:t>
      </w:r>
    </w:p>
    <w:p>
      <w:pPr>
        <w:spacing w:after="0" w:line="180"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LifeTools, a suite of specialized bioinformatic software programs, consists of high-throughput sequence analysis and data management tools for handling complex genomic information from multiple sources. LifeTools blocks, reads and edits raw sequence data, including data imported from public databases, and annotates and clusters sequence fragments based on sequence similarity. LifeTools SeqServer is a fast, scalable database search engine with intranet-based graphical tools for interactive queries and analyses. LifeTools Relational, a relational database management system, stores and distributes sequence cluster, homology, tissue expression information and biological data. The Company's database management architecture is based on open system standards, providing interconnectivity between disparate systems and applications, and enterprise-wide access to data and functions.</w:t>
      </w:r>
    </w:p>
    <w:p>
      <w:pPr>
        <w:spacing w:after="0" w:line="182"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LifeArray software manages and analyzes data resulting from microarray hybridization experiments. It includes a searchable database which can be loaded with microarray experimental results from a variety of microarray platforms. LifeArray provides an integrated data warehouse and analysis environment which allows the customer to bring data from multiple microarray platforms into one integrated environment. LifeArray enables the user to visualize differential expression between biological samples and tracks all details of microarrays, genes, biological samples, donor information, and experimental results in one integrated environment Java-based interface. It is an enterprise-wide system that can support as many simultaneous users as required, and grow to suit changing microarray management needs. The Company intends to continue to develop new bioinformatic software programs internally, as well as with third party software developers and development groups.</w:t>
      </w:r>
    </w:p>
    <w:p>
      <w:pPr>
        <w:spacing w:after="0" w:line="183"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MICROARRAY-BASED SERVICES. The Company offers microarray-based gene expression services to the pharmaceutical, biotechnology and agricultural industries. These services can be used to simultaneously evaluate the gene expression profile of a large number of genes. The Company's GEMTM microarray contains probes for up to 10,000 genes. Microarray applications include identifying the genes involved in a complex disease pathway, examining a drug-treated tissue to understand how the drug affected the expression of important genes, and studying several new drug candidates to determine if one has a more favorable effect on gene expression than the others. Experiments can use either prefabricated arrays or custom arrays. Prefabricated arrays contain either public domain genes or genes chosen from the Company's databases. The Company currently offers over a dozen prefabricated microarrays including an array containing the genes found in a microbial pathogen Staphlycoccus aureus, an array containing the genes found in the rat liver and kidney, and a series of arrays that contain Incyte proprietary genes. Custom arrays contain genes provided by the customer or chosen by the customer from the Company's proprietary databases.</w:t>
      </w:r>
    </w:p>
    <w:p>
      <w:pPr>
        <w:spacing w:after="0" w:line="187"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DNA CLONE AND OTHER SERVICES. The Company offers a variety of DNA clone and other services designed to assist its collaborators in using information from its databases in internal lab-based experiments. The DNA fragments from which the information in the Company's databases is derived represent valuable resources for researchers, enabling them to perform bench-style experiments to supplement the information obtained from searching the Company's databases. The Company retains a copy of all isolated clones corresponding to the sequences in the database. The Company's collaborators may request from the Company's clones corresponding to a sequence of interest on a one-by-one basis or through LifeSeq GeneAlbumTM, a subscription-based service that provides database collaborators with large numbers of sequence verified DNA clones. In addition, the Company produces a broad line of genomic research products, such as DNA clones and</w:t>
      </w:r>
    </w:p>
    <w:p>
      <w:pPr>
        <w:spacing w:after="0" w:line="4"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insert libraries, and offers technical support services, including high-throughput DNA screening, custom robotic services, contract DNA preparation, and fluorescent in-situ hybridization, to assist researchers in the identification and isolation of novel genes.</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DATABASE</w:t>
      </w:r>
      <w:r>
        <w:rPr>
          <w:sz w:val="20"/>
          <w:szCs w:val="20"/>
          <w:color w:val="auto"/>
        </w:rPr>
        <w:tab/>
      </w:r>
      <w:r>
        <w:rPr>
          <w:rFonts w:ascii="Courier New" w:cs="Courier New" w:eastAsia="Courier New" w:hAnsi="Courier New"/>
          <w:sz w:val="14"/>
          <w:szCs w:val="14"/>
          <w:color w:val="auto"/>
        </w:rPr>
        <w:t>PRODUCTION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Company engages in the high-throughput automated sequencing of genes derived from tissue samples followed by the computer-aided analysis of each gene sequence to identify homologies to genes of known function in order to predict the biological function of newly identified sequences. The derivation of information in the Company's databases involves the following steps:</w:t>
      </w:r>
    </w:p>
    <w:p>
      <w:pPr>
        <w:spacing w:after="0" w:line="178"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TISSUE ACCESS. The Company obtains tissue samples representing most major organs in the human body from various academic and commercial sources. Where possible, the Company obtains information as to the medical history and pathology of the tissue. The genetic material is isolated from the tissue and prepared for analysis. The results of this analysis as well as the corresponding pathology and medical history information are incorporated into the databases.</w:t>
      </w:r>
    </w:p>
    <w:p>
      <w:pPr>
        <w:spacing w:after="0" w:line="164" w:lineRule="exact"/>
        <w:rPr>
          <w:sz w:val="20"/>
          <w:szCs w:val="20"/>
          <w:color w:val="auto"/>
        </w:rPr>
      </w:pPr>
    </w:p>
    <w:p>
      <w:pPr>
        <w:jc w:val="both"/>
        <w:ind w:right="3179" w:firstLine="441"/>
        <w:spacing w:after="0" w:line="265" w:lineRule="auto"/>
        <w:rPr>
          <w:sz w:val="20"/>
          <w:szCs w:val="20"/>
          <w:color w:val="auto"/>
        </w:rPr>
      </w:pPr>
      <w:r>
        <w:rPr>
          <w:rFonts w:ascii="Courier New" w:cs="Courier New" w:eastAsia="Courier New" w:hAnsi="Courier New"/>
          <w:sz w:val="14"/>
          <w:szCs w:val="14"/>
          <w:color w:val="auto"/>
        </w:rPr>
        <w:t>HIGH-THROUGHPUT CDNA SEQUENCING. The Company utilizes specialized teams in An integrated approach to its high-throughput sequencing and analysis effort.</w:t>
      </w:r>
    </w:p>
    <w:p>
      <w:pPr>
        <w:sectPr>
          <w:pgSz w:w="11900" w:h="16838" w:orient="portrait"/>
          <w:cols w:equalWidth="0" w:num="1">
            <w:col w:w="10219"/>
          </w:cols>
          <w:pgMar w:left="240" w:top="141" w:right="1440" w:bottom="0" w:gutter="0" w:footer="0" w:header="0"/>
        </w:sectPr>
      </w:pPr>
    </w:p>
    <w:bookmarkStart w:id="6" w:name="page7"/>
    <w:bookmarkEnd w:id="6"/>
    <w:p>
      <w:pPr>
        <w:jc w:val="both"/>
        <w:ind w:right="3179"/>
        <w:spacing w:after="0" w:line="237" w:lineRule="auto"/>
        <w:rPr>
          <w:sz w:val="20"/>
          <w:szCs w:val="20"/>
          <w:color w:val="auto"/>
        </w:rPr>
      </w:pPr>
      <w:r>
        <w:rPr>
          <w:rFonts w:ascii="Courier New" w:cs="Courier New" w:eastAsia="Courier New" w:hAnsi="Courier New"/>
          <w:sz w:val="15"/>
          <w:szCs w:val="15"/>
          <w:color w:val="auto"/>
        </w:rPr>
        <w:t>Gene sequencing is performed using multiple work shifts to increase daily throughput. One team develops and prepares cDNA libraries from biological sources of interest, a second team prepares the cDNAs using robotic workstations to perform key steps that result in purified cDNAs for sequencing, and a third team operates the automated DNA sequencers.</w:t>
      </w:r>
    </w:p>
    <w:p>
      <w:pPr>
        <w:sectPr>
          <w:pgSz w:w="11900" w:h="16838" w:orient="portrait"/>
          <w:cols w:equalWidth="0" w:num="1">
            <w:col w:w="10219"/>
          </w:cols>
          <w:pgMar w:left="240" w:top="141" w:right="1440" w:bottom="1440" w:gutter="0" w:footer="0" w:header="0"/>
        </w:sectPr>
      </w:pPr>
    </w:p>
    <w:bookmarkStart w:id="7" w:name="page8"/>
    <w:bookmarkEnd w:id="7"/>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BIOINFORMATICS. Sequence information generated from the Company's high-throughput sequencing operations is uploaded to a network of servers. The Company's proprietary bioinformatic software then assembles and edits the sequence information. The sequence of each cDNA is compared via automated, computerized algorithms to the sequences of known genes in the Company's databases and public domain databases to identify whether the cDNA codes for a known protein or is homologous to a known gene. Each sequence is annotated as to its cell or tissue source, its relative abundance and whether it is homologous to a known gene with known function. The bioinformatics staff monitors this computerized analysis and may perform additional analyses on sequence information. The finished data are then added to the Company's proprietary sequence databases.</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COLLABORATORS</w:t>
      </w:r>
    </w:p>
    <w:p>
      <w:pPr>
        <w:spacing w:after="0" w:line="175" w:lineRule="exact"/>
        <w:rPr>
          <w:sz w:val="20"/>
          <w:szCs w:val="20"/>
          <w:color w:val="auto"/>
        </w:rPr>
      </w:pPr>
    </w:p>
    <w:p>
      <w:pPr>
        <w:jc w:val="both"/>
        <w:ind w:left="10" w:right="3179" w:firstLine="529"/>
        <w:spacing w:after="0" w:line="235" w:lineRule="auto"/>
        <w:rPr>
          <w:sz w:val="20"/>
          <w:szCs w:val="20"/>
          <w:color w:val="auto"/>
        </w:rPr>
      </w:pPr>
      <w:r>
        <w:rPr>
          <w:rFonts w:ascii="Courier New" w:cs="Courier New" w:eastAsia="Courier New" w:hAnsi="Courier New"/>
          <w:sz w:val="15"/>
          <w:szCs w:val="15"/>
          <w:color w:val="auto"/>
        </w:rPr>
        <w:t>The Company had database collaboration agreements with twenty-two companies as of December 31, 1998. Each collaborator has agreed to pay, during</w:t>
      </w:r>
    </w:p>
    <w:p>
      <w:pPr>
        <w:spacing w:after="0" w:line="6" w:lineRule="exact"/>
        <w:rPr>
          <w:sz w:val="20"/>
          <w:szCs w:val="20"/>
          <w:color w:val="auto"/>
        </w:rPr>
      </w:pPr>
    </w:p>
    <w:p>
      <w:pPr>
        <w:jc w:val="both"/>
        <w:ind w:left="10" w:right="3179" w:hanging="10"/>
        <w:spacing w:after="0" w:line="238" w:lineRule="auto"/>
        <w:tabs>
          <w:tab w:leader="none" w:pos="27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typical term of three years, annual fees to receive non-exclusive access to one or more of the Company's databases. For the years ended December 31, 1998 and 1997, the Company recognized revenue from twenty-two and eighteen of these companies, respectively, one of which contributed 12% of total revenues in 1998. No customer contributed 10% or more of total revenues in 1997. In 1996, the Company recognized revenue from ten of these companies, three of which each contributed in excess of 10% of total revenues. As of December 31, 1998, the Company had database agreements with:</w:t>
      </w:r>
    </w:p>
    <w:p>
      <w:pPr>
        <w:sectPr>
          <w:pgSz w:w="11900" w:h="16838" w:orient="portrait"/>
          <w:cols w:equalWidth="0" w:num="1">
            <w:col w:w="10229"/>
          </w:cols>
          <w:pgMar w:left="230" w:top="45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Abbott Laboratories</w:t>
      </w:r>
    </w:p>
    <w:p>
      <w:pPr>
        <w:ind w:left="10"/>
        <w:spacing w:after="0"/>
        <w:rPr>
          <w:sz w:val="20"/>
          <w:szCs w:val="20"/>
          <w:color w:val="auto"/>
        </w:rPr>
      </w:pPr>
      <w:r>
        <w:rPr>
          <w:rFonts w:ascii="Courier New" w:cs="Courier New" w:eastAsia="Courier New" w:hAnsi="Courier New"/>
          <w:sz w:val="15"/>
          <w:szCs w:val="15"/>
          <w:color w:val="auto"/>
        </w:rPr>
        <w:t>ARIAD Pharmaceuticals, Inc.</w:t>
      </w:r>
    </w:p>
    <w:p>
      <w:pPr>
        <w:ind w:left="10"/>
        <w:spacing w:after="0"/>
        <w:rPr>
          <w:sz w:val="20"/>
          <w:szCs w:val="20"/>
          <w:color w:val="auto"/>
        </w:rPr>
      </w:pPr>
      <w:r>
        <w:rPr>
          <w:rFonts w:ascii="Courier New" w:cs="Courier New" w:eastAsia="Courier New" w:hAnsi="Courier New"/>
          <w:sz w:val="15"/>
          <w:szCs w:val="15"/>
          <w:color w:val="auto"/>
        </w:rPr>
        <w:t>BASF AG</w:t>
      </w:r>
    </w:p>
    <w:p>
      <w:pPr>
        <w:ind w:left="10"/>
        <w:spacing w:after="0" w:line="238" w:lineRule="auto"/>
        <w:rPr>
          <w:sz w:val="20"/>
          <w:szCs w:val="20"/>
          <w:color w:val="auto"/>
        </w:rPr>
      </w:pPr>
      <w:r>
        <w:rPr>
          <w:rFonts w:ascii="Courier New" w:cs="Courier New" w:eastAsia="Courier New" w:hAnsi="Courier New"/>
          <w:sz w:val="15"/>
          <w:szCs w:val="15"/>
          <w:color w:val="auto"/>
        </w:rPr>
        <w:t>Bayer Corporation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Bristol-Myers Squibb Company</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Eli Lilly and Company</w:t>
      </w:r>
    </w:p>
    <w:p>
      <w:pPr>
        <w:ind w:left="10"/>
        <w:spacing w:after="0"/>
        <w:rPr>
          <w:sz w:val="20"/>
          <w:szCs w:val="20"/>
          <w:color w:val="auto"/>
        </w:rPr>
      </w:pPr>
      <w:r>
        <w:rPr>
          <w:rFonts w:ascii="Courier New" w:cs="Courier New" w:eastAsia="Courier New" w:hAnsi="Courier New"/>
          <w:sz w:val="15"/>
          <w:szCs w:val="15"/>
          <w:color w:val="auto"/>
        </w:rPr>
        <w:t>F. Hoffmann-La Roche Ltd.</w:t>
      </w:r>
    </w:p>
    <w:p>
      <w:pPr>
        <w:ind w:left="10"/>
        <w:spacing w:after="0"/>
        <w:rPr>
          <w:sz w:val="20"/>
          <w:szCs w:val="20"/>
          <w:color w:val="auto"/>
        </w:rPr>
      </w:pPr>
      <w:r>
        <w:rPr>
          <w:rFonts w:ascii="Courier New" w:cs="Courier New" w:eastAsia="Courier New" w:hAnsi="Courier New"/>
          <w:sz w:val="15"/>
          <w:szCs w:val="15"/>
          <w:color w:val="auto"/>
        </w:rPr>
        <w:t>Genentech, Inc.</w:t>
      </w:r>
    </w:p>
    <w:p>
      <w:pPr>
        <w:ind w:left="10"/>
        <w:spacing w:after="0" w:line="238" w:lineRule="auto"/>
        <w:rPr>
          <w:sz w:val="20"/>
          <w:szCs w:val="20"/>
          <w:color w:val="auto"/>
        </w:rPr>
      </w:pPr>
      <w:r>
        <w:rPr>
          <w:rFonts w:ascii="Courier New" w:cs="Courier New" w:eastAsia="Courier New" w:hAnsi="Courier New"/>
          <w:sz w:val="15"/>
          <w:szCs w:val="15"/>
          <w:color w:val="auto"/>
        </w:rPr>
        <w:t>Glaxo Wellcome plc</w:t>
      </w:r>
    </w:p>
    <w:p>
      <w:pPr>
        <w:ind w:left="10"/>
        <w:spacing w:after="0"/>
        <w:rPr>
          <w:sz w:val="20"/>
          <w:szCs w:val="20"/>
          <w:color w:val="auto"/>
        </w:rPr>
      </w:pPr>
      <w:r>
        <w:rPr>
          <w:rFonts w:ascii="Courier New" w:cs="Courier New" w:eastAsia="Courier New" w:hAnsi="Courier New"/>
          <w:sz w:val="15"/>
          <w:szCs w:val="15"/>
          <w:color w:val="auto"/>
        </w:rPr>
        <w:t>Hoechst AG</w:t>
      </w:r>
    </w:p>
    <w:p>
      <w:pPr>
        <w:ind w:left="10"/>
        <w:spacing w:after="0"/>
        <w:rPr>
          <w:sz w:val="20"/>
          <w:szCs w:val="20"/>
          <w:color w:val="auto"/>
        </w:rPr>
      </w:pPr>
      <w:r>
        <w:rPr>
          <w:rFonts w:ascii="Courier New" w:cs="Courier New" w:eastAsia="Courier New" w:hAnsi="Courier New"/>
          <w:sz w:val="15"/>
          <w:szCs w:val="15"/>
          <w:color w:val="auto"/>
        </w:rPr>
        <w:t>Johnson &amp; Johnson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Monsanto Company</w:t>
      </w:r>
    </w:p>
    <w:p>
      <w:pPr>
        <w:spacing w:after="0"/>
        <w:rPr>
          <w:sz w:val="20"/>
          <w:szCs w:val="20"/>
          <w:color w:val="auto"/>
        </w:rPr>
      </w:pPr>
      <w:r>
        <w:rPr>
          <w:rFonts w:ascii="Courier New" w:cs="Courier New" w:eastAsia="Courier New" w:hAnsi="Courier New"/>
          <w:sz w:val="15"/>
          <w:szCs w:val="15"/>
          <w:color w:val="auto"/>
        </w:rPr>
        <w:t>Novartis AG</w:t>
      </w:r>
    </w:p>
    <w:p>
      <w:pPr>
        <w:spacing w:after="0"/>
        <w:rPr>
          <w:sz w:val="20"/>
          <w:szCs w:val="20"/>
          <w:color w:val="auto"/>
        </w:rPr>
      </w:pPr>
      <w:r>
        <w:rPr>
          <w:rFonts w:ascii="Courier New" w:cs="Courier New" w:eastAsia="Courier New" w:hAnsi="Courier New"/>
          <w:sz w:val="15"/>
          <w:szCs w:val="15"/>
          <w:color w:val="auto"/>
        </w:rPr>
        <w:t>Novo Nordisk A/S</w:t>
      </w:r>
    </w:p>
    <w:p>
      <w:pPr>
        <w:spacing w:after="0" w:line="238" w:lineRule="auto"/>
        <w:rPr>
          <w:sz w:val="20"/>
          <w:szCs w:val="20"/>
          <w:color w:val="auto"/>
        </w:rPr>
      </w:pPr>
      <w:r>
        <w:rPr>
          <w:rFonts w:ascii="Courier New" w:cs="Courier New" w:eastAsia="Courier New" w:hAnsi="Courier New"/>
          <w:sz w:val="15"/>
          <w:szCs w:val="15"/>
          <w:color w:val="auto"/>
        </w:rPr>
        <w:t>NV Organon</w:t>
      </w:r>
    </w:p>
    <w:p>
      <w:pPr>
        <w:spacing w:after="0"/>
        <w:rPr>
          <w:sz w:val="20"/>
          <w:szCs w:val="20"/>
          <w:color w:val="auto"/>
        </w:rPr>
      </w:pPr>
      <w:r>
        <w:rPr>
          <w:rFonts w:ascii="Courier New" w:cs="Courier New" w:eastAsia="Courier New" w:hAnsi="Courier New"/>
          <w:sz w:val="15"/>
          <w:szCs w:val="15"/>
          <w:color w:val="auto"/>
        </w:rPr>
        <w:t>Pfizer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Pharmacia &amp; Upjohn,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Rhone-Poulenc S.A.</w:t>
      </w:r>
    </w:p>
    <w:p>
      <w:pPr>
        <w:spacing w:after="0"/>
        <w:rPr>
          <w:sz w:val="20"/>
          <w:szCs w:val="20"/>
          <w:color w:val="auto"/>
        </w:rPr>
      </w:pPr>
      <w:r>
        <w:rPr>
          <w:rFonts w:ascii="Courier New" w:cs="Courier New" w:eastAsia="Courier New" w:hAnsi="Courier New"/>
          <w:sz w:val="15"/>
          <w:szCs w:val="15"/>
          <w:color w:val="auto"/>
        </w:rPr>
        <w:t>Schering AG</w:t>
      </w:r>
    </w:p>
    <w:p>
      <w:pPr>
        <w:spacing w:after="0"/>
        <w:rPr>
          <w:sz w:val="20"/>
          <w:szCs w:val="20"/>
          <w:color w:val="auto"/>
        </w:rPr>
      </w:pPr>
      <w:r>
        <w:rPr>
          <w:rFonts w:ascii="Courier New" w:cs="Courier New" w:eastAsia="Courier New" w:hAnsi="Courier New"/>
          <w:sz w:val="15"/>
          <w:szCs w:val="15"/>
          <w:color w:val="auto"/>
        </w:rPr>
        <w:t>Schering-Plough, Ltd.</w:t>
      </w:r>
    </w:p>
    <w:p>
      <w:pPr>
        <w:spacing w:after="0" w:line="238" w:lineRule="auto"/>
        <w:rPr>
          <w:sz w:val="20"/>
          <w:szCs w:val="20"/>
          <w:color w:val="auto"/>
        </w:rPr>
      </w:pPr>
      <w:r>
        <w:rPr>
          <w:rFonts w:ascii="Courier New" w:cs="Courier New" w:eastAsia="Courier New" w:hAnsi="Courier New"/>
          <w:sz w:val="15"/>
          <w:szCs w:val="15"/>
          <w:color w:val="auto"/>
        </w:rPr>
        <w:t>SmithKline Beecham</w:t>
      </w:r>
    </w:p>
    <w:p>
      <w:pPr>
        <w:spacing w:after="0"/>
        <w:rPr>
          <w:sz w:val="20"/>
          <w:szCs w:val="20"/>
          <w:color w:val="auto"/>
        </w:rPr>
      </w:pPr>
      <w:r>
        <w:rPr>
          <w:rFonts w:ascii="Courier New" w:cs="Courier New" w:eastAsia="Courier New" w:hAnsi="Courier New"/>
          <w:sz w:val="15"/>
          <w:szCs w:val="15"/>
          <w:color w:val="auto"/>
        </w:rPr>
        <w:t>Zeneca Ltd.</w:t>
      </w:r>
    </w:p>
    <w:p>
      <w:pPr>
        <w:spacing w:after="0" w:line="200" w:lineRule="exact"/>
        <w:rPr>
          <w:sz w:val="20"/>
          <w:szCs w:val="20"/>
          <w:color w:val="auto"/>
        </w:rPr>
      </w:pPr>
    </w:p>
    <w:p>
      <w:pPr>
        <w:sectPr>
          <w:pgSz w:w="11900" w:h="16838" w:orient="portrait"/>
          <w:cols w:equalWidth="0" w:num="2">
            <w:col w:w="2470" w:space="180"/>
            <w:col w:w="7579"/>
          </w:cols>
          <w:pgMar w:left="230" w:top="458" w:right="1440" w:bottom="0" w:gutter="0" w:footer="0" w:header="0"/>
          <w:type w:val="continuous"/>
        </w:sectPr>
      </w:pPr>
    </w:p>
    <w:p>
      <w:pPr>
        <w:spacing w:after="0" w:line="313"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Certain of the Company's database agreements contain minimum annual update requirements which if not met could result in the Company's breach of the respective agreement. There can be no assurance that any of the Company's database collaboration agreements will be renewed upon expiration or will not be terminated earlier in accordance with their terms. The loss of revenues from any individual database agreement, if terminated or not renewed, could have an adverse impact on the Company's results of operations, although it is not anticipated to have a material adverse impact on the Company's business or financial condition. See Note 8 of Notes to the Consolidated Financial Statements.</w:t>
      </w:r>
    </w:p>
    <w:p>
      <w:pPr>
        <w:spacing w:after="0" w:line="174" w:lineRule="exact"/>
        <w:rPr>
          <w:sz w:val="20"/>
          <w:szCs w:val="20"/>
          <w:color w:val="auto"/>
        </w:rPr>
      </w:pPr>
    </w:p>
    <w:p>
      <w:pPr>
        <w:ind w:left="10"/>
        <w:spacing w:after="0"/>
        <w:tabs>
          <w:tab w:leader="none" w:pos="1129" w:val="left"/>
        </w:tabs>
        <w:rPr>
          <w:sz w:val="20"/>
          <w:szCs w:val="20"/>
          <w:color w:val="auto"/>
        </w:rPr>
      </w:pPr>
      <w:r>
        <w:rPr>
          <w:rFonts w:ascii="Courier New" w:cs="Courier New" w:eastAsia="Courier New" w:hAnsi="Courier New"/>
          <w:sz w:val="15"/>
          <w:szCs w:val="15"/>
          <w:color w:val="auto"/>
        </w:rPr>
        <w:t>DEVELOPMENT</w:t>
      </w:r>
      <w:r>
        <w:rPr>
          <w:sz w:val="20"/>
          <w:szCs w:val="20"/>
          <w:color w:val="auto"/>
        </w:rPr>
        <w:tab/>
      </w:r>
      <w:r>
        <w:rPr>
          <w:rFonts w:ascii="Courier New" w:cs="Courier New" w:eastAsia="Courier New" w:hAnsi="Courier New"/>
          <w:sz w:val="14"/>
          <w:szCs w:val="14"/>
          <w:color w:val="auto"/>
        </w:rPr>
        <w:t>PROGRAMS</w:t>
      </w:r>
    </w:p>
    <w:p>
      <w:pPr>
        <w:spacing w:after="0" w:line="175" w:lineRule="exact"/>
        <w:rPr>
          <w:sz w:val="20"/>
          <w:szCs w:val="20"/>
          <w:color w:val="auto"/>
        </w:rPr>
      </w:pPr>
    </w:p>
    <w:p>
      <w:pPr>
        <w:jc w:val="both"/>
        <w:ind w:left="10" w:right="3179" w:firstLine="441"/>
        <w:spacing w:after="0" w:line="257" w:lineRule="auto"/>
        <w:rPr>
          <w:sz w:val="20"/>
          <w:szCs w:val="20"/>
          <w:color w:val="auto"/>
        </w:rPr>
      </w:pPr>
      <w:r>
        <w:rPr>
          <w:rFonts w:ascii="Courier New" w:cs="Courier New" w:eastAsia="Courier New" w:hAnsi="Courier New"/>
          <w:sz w:val="14"/>
          <w:szCs w:val="14"/>
          <w:color w:val="auto"/>
        </w:rPr>
        <w:t>Since its inception, The Company has made substantial investments in research and technology development. During the years ended December 31, 1998, 1997, and 1996, the Company spent approximately $97.2 million, $72.5 million, and $41.3 million, respectively, on research and development activities. This investment in research and development includes an active program to enter into relationships with other technology-driven companies and, when appropriate, acquire licenses to technologies for evaluation or use in the production and analysis process. Not all of these technologies or relationships survive the evaluation process. The Company has entered into a number of research and development relationships with companies and research institutions.</w:t>
      </w:r>
    </w:p>
    <w:p>
      <w:pPr>
        <w:spacing w:after="0" w:line="166"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In January 1998, the Company announced a relationship with Oxford GlycoSciences plc ("OGS"), to investigate the use of proteomics, the large-scale, high-throughput analysis of protein expression, in the development of new information-based products. As part of the relationship, the Company made an equity investment in OGS. The Company and OGS entered into a collaborative agreement under which the two parties are developing data, software and related services, focusing on protein expression and sequence information from a variety of human tissues. As part of the collaborative agreement, the Company has agreed to reimburse OGS for up to $5.0 million in 1999 if revenues are not sufficient to offset OGS' expenses for services rendered.</w:t>
      </w:r>
    </w:p>
    <w:p>
      <w:pPr>
        <w:spacing w:after="0" w:line="180" w:lineRule="exact"/>
        <w:rPr>
          <w:sz w:val="20"/>
          <w:szCs w:val="20"/>
          <w:color w:val="auto"/>
        </w:rPr>
      </w:pPr>
    </w:p>
    <w:p>
      <w:pPr>
        <w:jc w:val="both"/>
        <w:ind w:left="10" w:right="3179" w:firstLine="441"/>
        <w:spacing w:after="0" w:line="257" w:lineRule="auto"/>
        <w:rPr>
          <w:sz w:val="20"/>
          <w:szCs w:val="20"/>
          <w:color w:val="auto"/>
        </w:rPr>
      </w:pPr>
      <w:r>
        <w:rPr>
          <w:rFonts w:ascii="Courier New" w:cs="Courier New" w:eastAsia="Courier New" w:hAnsi="Courier New"/>
          <w:sz w:val="14"/>
          <w:szCs w:val="14"/>
          <w:color w:val="auto"/>
        </w:rPr>
        <w:t>In August 1998, the Company initiated a series of programs in human genome sequencing, accelerated human genome mapping and SNP discovery. The information resulting from these efforts will be used to supplement existing databases and to generate new databases and services. The Company is initiating SNP programs focused on specific candidate genes, gene families, disease pathways, therapeutic areas or drug targets that could be useful to individual pharmaceutical partners. These programs may include the identification of genes associated with a particular disease and an in depth study of the population frequency and disease correlation of SNPs within a selected DNA region. The SNP discovery efforts were assisted by the acquisition of Hexagen in September 1998.</w:t>
      </w:r>
    </w:p>
    <w:p>
      <w:pPr>
        <w:spacing w:after="0" w:line="166"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The Company is developing various platforms that can be used for the high throughput screening of patient samples in order to correlate SNPs with patients' responses to drugs. This includes further development of existing microarray platforms to enable the cost effective detection of SNPs. These platforms may be used to offer genotyping and patient profiling services to</w:t>
      </w:r>
    </w:p>
    <w:p>
      <w:pPr>
        <w:sectPr>
          <w:pgSz w:w="11900" w:h="16838" w:orient="portrait"/>
          <w:cols w:equalWidth="0" w:num="1">
            <w:col w:w="10229"/>
          </w:cols>
          <w:pgMar w:left="230" w:top="458" w:right="1440" w:bottom="0" w:gutter="0" w:footer="0" w:header="0"/>
          <w:type w:val="continuous"/>
        </w:sectPr>
      </w:pPr>
    </w:p>
    <w:bookmarkStart w:id="8" w:name="page9"/>
    <w:bookmarkEnd w:id="8"/>
    <w:p>
      <w:pPr>
        <w:jc w:val="both"/>
        <w:ind w:right="3179"/>
        <w:spacing w:after="0" w:line="237" w:lineRule="auto"/>
        <w:rPr>
          <w:sz w:val="20"/>
          <w:szCs w:val="20"/>
          <w:color w:val="auto"/>
        </w:rPr>
      </w:pPr>
      <w:r>
        <w:rPr>
          <w:rFonts w:ascii="Courier New" w:cs="Courier New" w:eastAsia="Courier New" w:hAnsi="Courier New"/>
          <w:sz w:val="15"/>
          <w:szCs w:val="15"/>
          <w:color w:val="auto"/>
        </w:rPr>
        <w:t>pharmaceutical companies to help identify statistically significant and medically relevant associations between SNPs in specific genes and drug response or disease susceptibility. The Company expects that this service will be used to assist in the evaluation of new drugs in clinical trials and to assess clinical trial design.</w:t>
      </w:r>
    </w:p>
    <w:p>
      <w:pPr>
        <w:spacing w:after="0" w:line="173" w:lineRule="exact"/>
        <w:rPr>
          <w:sz w:val="20"/>
          <w:szCs w:val="20"/>
          <w:color w:val="auto"/>
        </w:rPr>
      </w:pPr>
    </w:p>
    <w:p>
      <w:pPr>
        <w:spacing w:after="0"/>
        <w:tabs>
          <w:tab w:leader="none" w:pos="860" w:val="left"/>
          <w:tab w:leader="none" w:pos="1460" w:val="left"/>
        </w:tabs>
        <w:rPr>
          <w:sz w:val="20"/>
          <w:szCs w:val="20"/>
          <w:color w:val="auto"/>
        </w:rPr>
      </w:pPr>
      <w:r>
        <w:rPr>
          <w:rFonts w:ascii="Courier New" w:cs="Courier New" w:eastAsia="Courier New" w:hAnsi="Courier New"/>
          <w:sz w:val="15"/>
          <w:szCs w:val="15"/>
          <w:color w:val="auto"/>
        </w:rPr>
        <w:t>DIADEXUS</w:t>
        <w:tab/>
        <w:t>JOINT</w:t>
      </w:r>
      <w:r>
        <w:rPr>
          <w:sz w:val="20"/>
          <w:szCs w:val="20"/>
          <w:color w:val="auto"/>
        </w:rPr>
        <w:tab/>
      </w:r>
      <w:r>
        <w:rPr>
          <w:rFonts w:ascii="Courier New" w:cs="Courier New" w:eastAsia="Courier New" w:hAnsi="Courier New"/>
          <w:sz w:val="14"/>
          <w:szCs w:val="14"/>
          <w:color w:val="auto"/>
        </w:rPr>
        <w:t>VENTURE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September 1997, the Company established a 50-50 joint venture company, diaDexus, LLC ("diaDexus"), with SmithKline Beecham Corporation ("SB"). diaDexus is applying genomic and bioinformatic technologies to the discovery and commercialization of novel molecular diagnostic products. The Company has provided diaDexus with non-exclusive access to its human and microbial databases (LifeSeq, LifeSeq FL, LifeSeq Atlas, LifeSeq GeneAlbum, and PathoSeq) for diagnostic applications. diaDexus has exclusive rights to develop diagnostic tests based on novel molecular targets and genetic alterations identified as part of SB's drug discovery efforts. SB and the Company have also each assigned various additional technologies and intellectual property rights in the diagnostic field and contributed a combined total of $25 million in funding to diaDexus.</w:t>
      </w:r>
    </w:p>
    <w:p>
      <w:pPr>
        <w:spacing w:after="0" w:line="182"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diaDexus is focusing initially on the generation of unique diagnostic markers for so-called 'homebrew' tests - scientifically validated tests which are awaiting formal regulatory approval - for reference laboratory testing and for license to diagnostic kit manufacturers. Ultimately, diaDexus may develop its own capacity to manufacture kits for sale to clinical testing laboratories. The initial product range will focus on tests for disease detection. New tests for improved diagnosis, staging and patient stratification in infectious disease and oncology will be accorded particular emphasis.</w:t>
      </w:r>
    </w:p>
    <w:p>
      <w:pPr>
        <w:spacing w:after="0" w:line="161" w:lineRule="exact"/>
        <w:rPr>
          <w:sz w:val="20"/>
          <w:szCs w:val="20"/>
          <w:color w:val="auto"/>
        </w:rPr>
      </w:pPr>
    </w:p>
    <w:p>
      <w:pPr>
        <w:spacing w:after="0"/>
        <w:tabs>
          <w:tab w:leader="none" w:pos="760" w:val="left"/>
          <w:tab w:leader="none" w:pos="1200" w:val="left"/>
          <w:tab w:leader="none" w:pos="2360" w:val="left"/>
        </w:tabs>
        <w:rPr>
          <w:sz w:val="20"/>
          <w:szCs w:val="20"/>
          <w:color w:val="auto"/>
        </w:rPr>
      </w:pPr>
      <w:r>
        <w:rPr>
          <w:rFonts w:ascii="Courier New" w:cs="Courier New" w:eastAsia="Courier New" w:hAnsi="Courier New"/>
          <w:sz w:val="15"/>
          <w:szCs w:val="15"/>
          <w:color w:val="auto"/>
        </w:rPr>
        <w:t>PATENTS</w:t>
        <w:tab/>
        <w:t>AND</w:t>
        <w:tab/>
        <w:t>PROPRIETARY</w:t>
      </w:r>
      <w:r>
        <w:rPr>
          <w:sz w:val="20"/>
          <w:szCs w:val="20"/>
          <w:color w:val="auto"/>
        </w:rPr>
        <w:tab/>
      </w:r>
      <w:r>
        <w:rPr>
          <w:rFonts w:ascii="Courier New" w:cs="Courier New" w:eastAsia="Courier New" w:hAnsi="Courier New"/>
          <w:sz w:val="14"/>
          <w:szCs w:val="14"/>
          <w:color w:val="auto"/>
        </w:rPr>
        <w:t>TECHNOLOGY</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Company's database business and competitive position are in part dependent upon the Company's ability to protect its proprietary database information and software technology. The Company relies on patent, trade secret and copyright law, as well as nondisclosure and other contractual arrangements to protect its proprietary information.</w:t>
      </w:r>
    </w:p>
    <w:p>
      <w:pPr>
        <w:sectPr>
          <w:pgSz w:w="11900" w:h="16838" w:orient="portrait"/>
          <w:cols w:equalWidth="0" w:num="1">
            <w:col w:w="10219"/>
          </w:cols>
          <w:pgMar w:left="240" w:top="141" w:right="1440" w:bottom="1440" w:gutter="0" w:footer="0" w:header="0"/>
        </w:sectPr>
      </w:pPr>
    </w:p>
    <w:bookmarkStart w:id="9" w:name="page10"/>
    <w:bookmarkEnd w:id="9"/>
    <w:p>
      <w:pPr>
        <w:jc w:val="both"/>
        <w:ind w:right="3179" w:firstLine="353"/>
        <w:spacing w:after="0" w:line="238" w:lineRule="auto"/>
        <w:rPr>
          <w:sz w:val="20"/>
          <w:szCs w:val="20"/>
          <w:color w:val="auto"/>
        </w:rPr>
      </w:pPr>
      <w:r>
        <w:rPr>
          <w:rFonts w:ascii="Courier New" w:cs="Courier New" w:eastAsia="Courier New" w:hAnsi="Courier New"/>
          <w:sz w:val="15"/>
          <w:szCs w:val="15"/>
          <w:color w:val="auto"/>
        </w:rPr>
        <w:t>The Company's ability to license proprietary genes and SNPs may be dependent upon the Company's ability to obtain patents, protect trade secrets and operate without infringing upon the proprietary rights of others. Other pharmaceutical, biotechnology and biopharmaceutical companies, as well as academic and other institutions have filed applications for, may have been issued patents or may obtain additional patents and proprietary rights relating to products or processes competitive with those of the Company. Patent applications filed by competitors may claim some of the same gene sequences or partial gene sequences as those claimed in patent applications filed by the Company. The Company is aware that some entities have made or have announced their intention to make gene sequences publicly available, which may adversely affect the ability of the Company and others to obtain patents on such genes. There can be no assurance that such publication of sequence information will not adversely affect the Company's ability to obtain patent protection for sequences that have been made publicly available.</w:t>
      </w:r>
    </w:p>
    <w:p>
      <w:pPr>
        <w:spacing w:after="0" w:line="18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Company's current policy is to file patent applications on what it believes to be novel full-length and partial gene sequences obtained through the Company's high-throughput computer-aided gene sequencing efforts. The Company has filed U.S. patent applications in which the Company has claimed certain partial gene sequences and has filed patent applications in the U.S. and applications under the Patent Cooperation Treaty ("PCT"), designating countries in Europe as well as Canada and Japan claiming full-length gene sequences associated with cells and tissues that are the subject of the Company's high-throughput gene sequencing program. To date, the Company holds a number of issued U.S. patents with respect to full-length gene sequences and one issued U.S. patent claiming multiple partial gene sequences. Currently, the Company has no registered copyrights for the Company's database-related software.</w:t>
      </w:r>
    </w:p>
    <w:p>
      <w:pPr>
        <w:spacing w:after="0" w:line="16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1996, the United States Patent and Trademark Office ("USPTO") issued guidelines limiting the number of gene sequences that can be examined in a single patent application. Many of the Company's patent applications containing multiple partial sequences contain more sequences than the maximum number allowed under the new guidelines. The Company is reviewing its options, and it is possible that due to the resources needed to comply with the guidelines, the Company may decide to abandon patent applications for some of its partial gene sequences.</w:t>
      </w:r>
    </w:p>
    <w:p>
      <w:pPr>
        <w:spacing w:after="0" w:line="178"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 also plans to seek patent protection for patentable SNPs identified with its LifeSeq database, through its human genome sequencing program, and through the use of the Company's fSSCP discovery technology. These patents will claim rights to SNPs for diagnostic and genotyping purposes. As information relating to particular SNPs is developed, the Company plans to seek additional rights in those SNPs that are associated with specific diseases, functions or drug responses. The scope of patent protection for gene sequences, including SNPs, is highly uncertain, involves complex legal and factual questions and has recently been the subject of much controversy. No clear policy has emerged with respect to the breadth of claims allowable for SNPs. There is significant uncertainty as to what, if any, claims will be allowed on SNPs discovered through high throughput discovery programs.</w:t>
      </w:r>
    </w:p>
    <w:p>
      <w:pPr>
        <w:spacing w:after="0" w:line="166"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As the biotechnology industry expands, more patents are issued and other companies engage in the business of discovering genes and other genomic-related businesses, the risk increases that the Company's potential products, and the processes used to develop these products, may be subject to claims that they infringe the patents of others. Further, the Company is aware of several issued patents in the field of microarray or gridding technology, which can be utilized in the generation of gene expression information. Certain of these patents are the subject of litigation. Therefore, the Company's operations may require it to obtain licenses under any such patents or proprietary rights, and these licenses may not be made available on terms acceptable to the Company. Litigation may be necessary to defend against or assert claims of infringement, to enforce patents issued to the Company, to protect trade secrets or know-how owned by the Company, or to determine the scope and validity of the proprietary rights of others. The Company believes that some of the Company's patent applications cover genes which may also be claimed in patent applications filed by other parties. Interference proceedings may be necessary to establish which party was the first to invent a particular sequence for the purpose of patent protection. Two such interferences involving the Company patent applications covering full length genes have been declared. Such litigation or interference proceedings, regardless of the outcome, could result in substantial costs to, and diversion of effort by the Company, and may have a material adverse effect on the Company's business, operating results and financial condition. In addition, there can be no assurance that such proceedings or litigation would be resolved in the Company's favor.</w:t>
      </w:r>
    </w:p>
    <w:p>
      <w:pPr>
        <w:spacing w:after="0" w:line="34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January and September 1998, Affymetrix, Inc. ("Affymetrix") filed lawsuits in the United States District Court for the District of Delaware alleging infringement of three U.S. patents by both Synteni and Incyte. Incyte believes that it and Synteni have meritorious defenses and intend to defend these suits vigorously. See "Management's Discussion and Analysis of Financial Condition and Results of Operations - Factors That May Affect Results - We Are Involved In Patent Litigation."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There is a finite number of genes in the human genome, and competitors may seek to identify, sequence and determine in the shortest time possible the biological function of a large number of genes in order to obtain a proprietary position with respect to the largest number of new genes discovered. A number of companies, institutions, and government-financed entities are engaged in gene sequencing, gene discovery, gene expression analysis, positional cloning and other genomic service businesses. Many of these companies, institutions and entities have greater financial and human resources than the Company. In addition, the Company is aware that other companies have developed databases</w:t>
      </w:r>
    </w:p>
    <w:p>
      <w:pPr>
        <w:sectPr>
          <w:pgSz w:w="11900" w:h="16838" w:orient="portrait"/>
          <w:cols w:equalWidth="0" w:num="1">
            <w:col w:w="10219"/>
          </w:cols>
          <w:pgMar w:left="240" w:top="458" w:right="1440" w:bottom="0" w:gutter="0" w:footer="0" w:header="0"/>
        </w:sectPr>
      </w:pPr>
    </w:p>
    <w:bookmarkStart w:id="10" w:name="page11"/>
    <w:bookmarkEnd w:id="10"/>
    <w:p>
      <w:pPr>
        <w:jc w:val="both"/>
        <w:ind w:left="10" w:right="3179"/>
        <w:spacing w:after="0" w:line="237" w:lineRule="auto"/>
        <w:rPr>
          <w:sz w:val="20"/>
          <w:szCs w:val="20"/>
          <w:color w:val="auto"/>
        </w:rPr>
      </w:pPr>
      <w:r>
        <w:rPr>
          <w:rFonts w:ascii="Courier New" w:cs="Courier New" w:eastAsia="Courier New" w:hAnsi="Courier New"/>
          <w:sz w:val="15"/>
          <w:szCs w:val="15"/>
          <w:color w:val="auto"/>
        </w:rPr>
        <w:t>containing gene sequence, gene expression, genetic variation or other genomic information and are marketing, or have announced their intention to market, their data to pharmaceutical companies. The Company expects that additional competitors may attempt to establish databases containing this information in the future.</w:t>
      </w:r>
    </w:p>
    <w:p>
      <w:pPr>
        <w:spacing w:after="0" w:line="178"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In addition, competitors may discover and establish patent positions with respect to the gene sequences and polymorphisms in the Company's databases. Further, certain entities engaged in or with stated intentions to engage in gene sequencing have made or have stated their intention to make the results of their sequencing efforts publicly available. These patent positions, or the public availability of gene sequences comprising substantial portions of the human genome or on microbial or plant genes, could decrease the potential value of the Company's databases to the Company's subscribers and adversely affect the Company's ability to realize royalties or other revenue from commercialization of products based upon such genetic information.</w:t>
      </w:r>
    </w:p>
    <w:p>
      <w:pPr>
        <w:spacing w:after="0" w:line="180" w:lineRule="exact"/>
        <w:rPr>
          <w:sz w:val="20"/>
          <w:szCs w:val="20"/>
          <w:color w:val="auto"/>
        </w:rPr>
      </w:pPr>
    </w:p>
    <w:p>
      <w:pPr>
        <w:jc w:val="both"/>
        <w:ind w:left="10" w:right="3179" w:firstLine="441"/>
        <w:spacing w:after="0" w:line="257" w:lineRule="auto"/>
        <w:rPr>
          <w:sz w:val="20"/>
          <w:szCs w:val="20"/>
          <w:color w:val="auto"/>
        </w:rPr>
      </w:pPr>
      <w:r>
        <w:rPr>
          <w:rFonts w:ascii="Courier New" w:cs="Courier New" w:eastAsia="Courier New" w:hAnsi="Courier New"/>
          <w:sz w:val="14"/>
          <w:szCs w:val="14"/>
          <w:color w:val="auto"/>
        </w:rPr>
        <w:t>The gene sequencing machines that are utilized in the Company's high-throughput computer-aided gene sequencing operations are commercially available and are currently being utilized by several competitors. Moreover, some of the Company's competitors or potential competitors are in the process of developing, and may successfully develop, proprietary sequencing technologies that may be more advanced than the technology used by the Company. In addition, the Company is aware that a number of companies are pursuing alternative methods for generating gene expression information, including some that have developed and are developing microarray technologies. At least one other company currently offers microarray-based services that might be competitive with those offered by the Company. These advanced sequencing or gene expression technologies, if developed, may not be commercially available for purchase or license by the Company on reasonable terms, if at all.</w:t>
      </w:r>
    </w:p>
    <w:p>
      <w:pPr>
        <w:spacing w:after="0" w:line="165" w:lineRule="exact"/>
        <w:rPr>
          <w:sz w:val="20"/>
          <w:szCs w:val="20"/>
          <w:color w:val="auto"/>
        </w:rPr>
      </w:pPr>
    </w:p>
    <w:p>
      <w:pPr>
        <w:jc w:val="both"/>
        <w:ind w:left="10" w:right="3179" w:firstLine="431"/>
        <w:spacing w:after="0" w:line="258" w:lineRule="auto"/>
        <w:tabs>
          <w:tab w:leader="none" w:pos="71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companies have announced their intent to develop and market software to assist pharmaceutical companies and academic researchers in the management and analysis of their own genomic data, as well as the analysis of sequence data available in the public domain. Some of these entities have access to significantly greater resources than the Company, and their products may achieve greater market acceptance than the products offered by the Company.</w:t>
      </w:r>
    </w:p>
    <w:p>
      <w:pPr>
        <w:spacing w:after="0" w:line="164"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The SNP discovery platform used by the Company represents a modification of</w:t>
      </w:r>
    </w:p>
    <w:p>
      <w:pPr>
        <w:spacing w:after="0" w:line="11" w:lineRule="exact"/>
        <w:rPr>
          <w:sz w:val="20"/>
          <w:szCs w:val="20"/>
          <w:color w:val="auto"/>
        </w:rPr>
      </w:pPr>
    </w:p>
    <w:p>
      <w:pPr>
        <w:ind w:left="10" w:right="3179" w:hanging="10"/>
        <w:spacing w:after="0" w:line="235" w:lineRule="auto"/>
        <w:tabs>
          <w:tab w:leader="none" w:pos="27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 that is in the public domain. Other companies could make similar or superior improvements in this process.</w:t>
      </w:r>
    </w:p>
    <w:p>
      <w:pPr>
        <w:sectPr>
          <w:pgSz w:w="11900" w:h="16838" w:orient="portrait"/>
          <w:cols w:equalWidth="0" w:num="1">
            <w:col w:w="10229"/>
          </w:cols>
          <w:pgMar w:left="230" w:top="141" w:right="1440" w:bottom="1440" w:gutter="0" w:footer="0" w:header="0"/>
        </w:sectPr>
      </w:pPr>
    </w:p>
    <w:bookmarkStart w:id="11" w:name="page12"/>
    <w:bookmarkEnd w:id="11"/>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The Company believes that the features and ease of use of its database software, its experience in high-throughput gene sequencing, the cumulative size of its database, the quality of the data, including the annotations in its database, and its experience with bioinformatics and database software are important aspects of the Company's competitive position.</w:t>
      </w:r>
    </w:p>
    <w:p>
      <w:pPr>
        <w:spacing w:after="0" w:line="178" w:lineRule="exact"/>
        <w:rPr>
          <w:sz w:val="20"/>
          <w:szCs w:val="20"/>
          <w:color w:val="auto"/>
        </w:rPr>
      </w:pPr>
    </w:p>
    <w:p>
      <w:pPr>
        <w:jc w:val="both"/>
        <w:ind w:left="10" w:right="3179" w:firstLine="441"/>
        <w:spacing w:after="0" w:line="256" w:lineRule="auto"/>
        <w:rPr>
          <w:sz w:val="20"/>
          <w:szCs w:val="20"/>
          <w:color w:val="auto"/>
        </w:rPr>
      </w:pPr>
      <w:r>
        <w:rPr>
          <w:rFonts w:ascii="Courier New" w:cs="Courier New" w:eastAsia="Courier New" w:hAnsi="Courier New"/>
          <w:sz w:val="14"/>
          <w:szCs w:val="14"/>
          <w:color w:val="auto"/>
        </w:rPr>
        <w:t>The genomics industry is characterized by extensive research efforts and rapid technological progress. New developments are expected to continue and there can be no assurance that discoveries by others will not render the Company's services and potential products noncompetitive. In addition, Significant levels of research in biotechnology and medicine occur in universities and other non-profit research institutions. These entities have become increasingly active in seeking patent protection and licensing revenues for their research results. These entities also compete with the Company in recruiting talented scientists. See "Management's Discussion and Analysis of Financial Condition and Results of Operations - Factors That May Affect Results</w:t>
      </w:r>
    </w:p>
    <w:p>
      <w:pPr>
        <w:ind w:left="170" w:hanging="170"/>
        <w:spacing w:after="0" w:line="236" w:lineRule="auto"/>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Experience Intense Competition and  Rapid  Technological  Change."</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REGULATION</w:t>
      </w:r>
    </w:p>
    <w:p>
      <w:pPr>
        <w:spacing w:after="0" w:line="175" w:lineRule="exact"/>
        <w:rPr>
          <w:sz w:val="20"/>
          <w:szCs w:val="20"/>
          <w:color w:val="auto"/>
        </w:rPr>
      </w:pPr>
    </w:p>
    <w:p>
      <w:pPr>
        <w:jc w:val="both"/>
        <w:ind w:left="10" w:right="3179" w:firstLine="441"/>
        <w:spacing w:after="0" w:line="256" w:lineRule="auto"/>
        <w:rPr>
          <w:sz w:val="20"/>
          <w:szCs w:val="20"/>
          <w:color w:val="auto"/>
        </w:rPr>
      </w:pPr>
      <w:r>
        <w:rPr>
          <w:rFonts w:ascii="Courier New" w:cs="Courier New" w:eastAsia="Courier New" w:hAnsi="Courier New"/>
          <w:sz w:val="14"/>
          <w:szCs w:val="14"/>
          <w:color w:val="auto"/>
        </w:rPr>
        <w:t>Regulation by governmental authorities in the United States and other countries will be a significant factor in the production and marketing of any pharmaceutical products that may be developed by a licensee of the Company or by the Company. At the present time, the Company does not intend to develop any pharmaceutical products itself. The Company's agreements with its database subscribers provide for the payment to the Company of royalties on any pharmaceutical products developed by such subscribers derived from proprietary information obtained from the Company's genomic databases. Thus, the receipt and timing of regulatory approvals for the marketing of such products may have a significant effect in the future on the Company's revenues. Pharmaceutical products developed by licensees will require regulatory approval by governmental agencies prior to commercialization. In particular, human pharmaceutical therapeutic products are subject to rigorous preclinical and clinical testing and other approval procedures by the United States Food and Drug Administration in the United States and similar health authorities in foreign countries. Various federal and, in some cases, state statutes and regulations also govern or influence the manufacturing, safety, labeling, storage, record keeping and marketing of such pharmaceutical products, including the use, manufacture, storage, handling and disposal of hazardous materials and certain waste products. The process of obtaining these approvals and the subsequent compliance with appropriate federal and foreign statutes and regulations require the expenditure of substantial resources over a significant period of time, and there can be no assurance that any approvals will be granted on a timely basis, if at all. Any such delay in obtaining or failure to obtain such approvals could adversely affect the Company's ability to earn milestone payments, royalties or other license-based fees. Additional governmental regulations that might arise from future legislation or administrative action cannot be predicted, and such regulations could delay or otherwise affect adversely regulatory approval of potential pharmaceutical products. See "Management's Discussion and Analysis of Financial Condition and Results of Operations - Factors That May Affect Results</w:t>
      </w:r>
    </w:p>
    <w:p>
      <w:pPr>
        <w:spacing w:after="0" w:line="10" w:lineRule="exact"/>
        <w:rPr>
          <w:sz w:val="20"/>
          <w:szCs w:val="20"/>
          <w:color w:val="auto"/>
        </w:rPr>
      </w:pPr>
    </w:p>
    <w:p>
      <w:pPr>
        <w:ind w:left="10" w:right="2999" w:hanging="10"/>
        <w:spacing w:after="0" w:line="235" w:lineRule="auto"/>
        <w:tabs>
          <w:tab w:leader="none" w:pos="18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Revenues Are Derived Primarily from the Pharmaceutical and Biotechnology Industries."</w:t>
      </w:r>
    </w:p>
    <w:p>
      <w:pPr>
        <w:sectPr>
          <w:pgSz w:w="11900" w:h="16838" w:orient="portrait"/>
          <w:cols w:equalWidth="0" w:num="1">
            <w:col w:w="10229"/>
          </w:cols>
          <w:pgMar w:left="230" w:top="458" w:right="1440" w:bottom="1440" w:gutter="0" w:footer="0" w:header="0"/>
        </w:sectPr>
      </w:pPr>
    </w:p>
    <w:bookmarkStart w:id="12" w:name="page13"/>
    <w:bookmarkEnd w:id="12"/>
    <w:p>
      <w:pPr>
        <w:spacing w:after="0"/>
        <w:tabs>
          <w:tab w:leader="none" w:pos="580" w:val="left"/>
        </w:tabs>
        <w:rPr>
          <w:sz w:val="20"/>
          <w:szCs w:val="20"/>
          <w:color w:val="auto"/>
        </w:rPr>
      </w:pPr>
      <w:r>
        <w:rPr>
          <w:rFonts w:ascii="Courier New" w:cs="Courier New" w:eastAsia="Courier New" w:hAnsi="Courier New"/>
          <w:sz w:val="15"/>
          <w:szCs w:val="15"/>
          <w:color w:val="auto"/>
        </w:rPr>
        <w:t>HUMAN</w:t>
      </w:r>
      <w:r>
        <w:rPr>
          <w:sz w:val="20"/>
          <w:szCs w:val="20"/>
          <w:color w:val="auto"/>
        </w:rPr>
        <w:tab/>
      </w:r>
      <w:r>
        <w:rPr>
          <w:rFonts w:ascii="Courier New" w:cs="Courier New" w:eastAsia="Courier New" w:hAnsi="Courier New"/>
          <w:sz w:val="14"/>
          <w:szCs w:val="14"/>
          <w:color w:val="auto"/>
        </w:rPr>
        <w:t>RESOURCES.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As of December 31, 1998, the Company had 867 full-time equivalent employees (140 of whom were contract or part-time employees), including 281 in sequencing, microarray and reagent production, 238 in bioinformatics, 219 in research and technology development, and 129 in marketing, sales and administrative positions. None of the Company's employees is covered by collective bargaining agreements, and management considers relations with its employees to be good. The Company's future success will depend in part on the continued service of its key scientific, software, bioinformatics and management personnel and its ability to identify, hire and retain additional personnel, including personnel in the customer service, marketing and sales areas. There is intense competition for qualified personnel in the areas of the Company's activities, especially with respect to experienced bioinformatics and software personnel, and there can be no assurance that the Company will be able to continue to attract and retain such personnel necessary for the development of the Company's business. Failure to attract and retain key personnel could have a material adverse effect on the Company's business, financial condition and operating results. See "Management's Discussion and Analysis of Financial Condition and Results of Operations - Factors That May Affect Results - We May Have Difficulty Managing Our Growth" and "- We Depend on Key Employees in a Competitive Market for Skilled Personnel."</w:t>
      </w:r>
    </w:p>
    <w:p>
      <w:pPr>
        <w:sectPr>
          <w:pgSz w:w="11900" w:h="16838" w:orient="portrait"/>
          <w:cols w:equalWidth="0" w:num="1">
            <w:col w:w="10219"/>
          </w:cols>
          <w:pgMar w:left="240" w:top="452" w:right="1440" w:bottom="1440" w:gutter="0" w:footer="0" w:header="0"/>
        </w:sectPr>
      </w:pPr>
    </w:p>
    <w:bookmarkStart w:id="13" w:name="page14"/>
    <w:bookmarkEnd w:id="13"/>
    <w:p>
      <w:pPr>
        <w:spacing w:after="0"/>
        <w:tabs>
          <w:tab w:leader="none" w:pos="500" w:val="left"/>
          <w:tab w:leader="none" w:pos="1020" w:val="left"/>
        </w:tabs>
        <w:rPr>
          <w:sz w:val="20"/>
          <w:szCs w:val="20"/>
          <w:color w:val="auto"/>
        </w:rPr>
      </w:pPr>
      <w:r>
        <w:rPr>
          <w:rFonts w:ascii="Courier New" w:cs="Courier New" w:eastAsia="Courier New" w:hAnsi="Courier New"/>
          <w:sz w:val="15"/>
          <w:szCs w:val="15"/>
          <w:color w:val="auto"/>
        </w:rPr>
        <w:t>ITEM</w:t>
        <w:tab/>
        <w:t>2.</w:t>
      </w:r>
      <w:r>
        <w:rPr>
          <w:sz w:val="20"/>
          <w:szCs w:val="20"/>
          <w:color w:val="auto"/>
        </w:rPr>
        <w:tab/>
      </w:r>
      <w:r>
        <w:rPr>
          <w:rFonts w:ascii="Courier New" w:cs="Courier New" w:eastAsia="Courier New" w:hAnsi="Courier New"/>
          <w:sz w:val="14"/>
          <w:szCs w:val="14"/>
          <w:color w:val="auto"/>
        </w:rPr>
        <w:t>PROPERTIES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Incyte's headquarters are in Palo Alto, California, where its main research laboratories, sequencing facility, bioinformatics and administrative facilities are located. Incyte also operates facilities in Fremont, California; St. Louis, Missouri; and Cambridge, England. As of December 31, 1998, Incyte had multiple sublease and lease agreements covering approximately 295,000 square feet that expire on various dates ranging from March 1999 to March 2007. In July 1997, the Company entered into a multi-year lease with respect to a 95,000 square foot building being constructed adjacent to the Company's Palo Alto headquarters. The Company believes that its current facilities are adequate to support its current and anticipated near-term operations.</w:t>
      </w:r>
    </w:p>
    <w:p>
      <w:pPr>
        <w:spacing w:after="0" w:line="161" w:lineRule="exact"/>
        <w:rPr>
          <w:sz w:val="20"/>
          <w:szCs w:val="20"/>
          <w:color w:val="auto"/>
        </w:rPr>
      </w:pPr>
    </w:p>
    <w:p>
      <w:pPr>
        <w:spacing w:after="0"/>
        <w:tabs>
          <w:tab w:leader="none" w:pos="500" w:val="left"/>
          <w:tab w:leader="none" w:pos="1020" w:val="left"/>
          <w:tab w:leader="none" w:pos="1640" w:val="left"/>
        </w:tabs>
        <w:rPr>
          <w:sz w:val="20"/>
          <w:szCs w:val="20"/>
          <w:color w:val="auto"/>
        </w:rPr>
      </w:pPr>
      <w:r>
        <w:rPr>
          <w:rFonts w:ascii="Courier New" w:cs="Courier New" w:eastAsia="Courier New" w:hAnsi="Courier New"/>
          <w:sz w:val="15"/>
          <w:szCs w:val="15"/>
          <w:color w:val="auto"/>
        </w:rPr>
        <w:t>ITEM</w:t>
        <w:tab/>
        <w:t>3.</w:t>
      </w:r>
      <w:r>
        <w:rPr>
          <w:sz w:val="20"/>
          <w:szCs w:val="20"/>
          <w:color w:val="auto"/>
        </w:rPr>
        <w:tab/>
      </w:r>
      <w:r>
        <w:rPr>
          <w:rFonts w:ascii="Courier New" w:cs="Courier New" w:eastAsia="Courier New" w:hAnsi="Courier New"/>
          <w:sz w:val="15"/>
          <w:szCs w:val="15"/>
          <w:color w:val="auto"/>
        </w:rPr>
        <w:t>LEGAL</w:t>
      </w:r>
      <w:r>
        <w:rPr>
          <w:sz w:val="20"/>
          <w:szCs w:val="20"/>
          <w:color w:val="auto"/>
        </w:rPr>
        <w:tab/>
      </w:r>
      <w:r>
        <w:rPr>
          <w:rFonts w:ascii="Courier New" w:cs="Courier New" w:eastAsia="Courier New" w:hAnsi="Courier New"/>
          <w:sz w:val="14"/>
          <w:szCs w:val="14"/>
          <w:color w:val="auto"/>
        </w:rPr>
        <w:t>PROCEEDINGS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January 1998, Affymetrix, Inc. filed a lawsuit in the United States District Court for the District of Delaware alleging infringement of U.S. patent number 5,445,934 (the "'934 Patent") by both Synteni and Incyte. The complaint alleges that the '934 Patent has been infringed by the making, using, selling, importing, distributing or offering to sell in the United States high density arrays by Synteni and Incyte and that such infringement was willful. Affymetrix seeks a permanent injunction enjoining Synteni and Incyte from further infringement of the '934 Patent and, in addition, seeks damages, costs and attorney's fees and interest. Affymetrix further requests that any such damages be trebled based on its allegation of willful infringement by Incyte and Synteni.</w:t>
      </w:r>
    </w:p>
    <w:p>
      <w:pPr>
        <w:spacing w:after="0" w:line="181"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In September 1998, Affymetrix filed an additional lawsuit in the United States District Court for the District of Delaware alleging infringement of the U.S. patent number 5,800,992 (the "'992 Patent") and U.S. patent number 5,744,305 (the "'305 Patent") by both Synteni and Incyte. The complaint alleges that the '305 Patent has been infringed by the making, using, selling, importing, distributing or offering to sell in the United States high density arrays by Synteni and Incyte, that the '992 Patent has been infringed by the use of Synteni's and Incyte's GEMTM microarray technology to conduct gene expression monitoring using two-color labeling, and that such infringement was willful. Affymetrix seeks a permanent injunction enjoining Synteni and Incyte from further infringement of the '305 and '992 Patents and, in addition, Affymetrix seeks a preliminary injunction enjoining Incyte and Synteni from using Synteni's and Incyte's GEM microarray technology to conduct gene expression monitoring using two-color labeling as described in the '992 patent. In November 1998, Incyte's motion to transfer the suits to the United States District Court for the Northern District of California was granted. A hearing on Affymetrix's request for a preliminary injunction is scheduled for April 30, 1999. No date has been set regarding the trial of any of Affymetrix's other allegations.</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January 1999, the United States Patent and Trademark Office notified Incyte of the patentability of claims directed to two-color hybridization licensed exclusively to Incyte. The USPTO examiner has agreed with Incyte that certain claims overlap with those of '992 assigned to Affymetrix. Therefore, the USPTO has recommended that the Board of Patent Appeals and Interferences declare an interference between Incyte's two-color hybridization claims and the corresponding claims in the '992 patent.</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Incyte and Synteni believe they have meritorious defenses and intend to defend the suits vigorously. However, there can be no assurance that Incyte and Synteni will be successful in the defense of these suits. At this time, the Company cannot reasonably estimate the possible range of any loss resulting from these suits due to uncertainty regarding the ultimate outcome. Regardless of the outcome, this litigation has resulted and is expected to continue to result in substantial expenses and diversion of the efforts of management and technical personnel. Further, there can be no assurance that any license that may be required as a result of this suit or the outcome thereof would be made available on commercially acceptable terms, if at all.</w:t>
      </w:r>
    </w:p>
    <w:p>
      <w:pPr>
        <w:sectPr>
          <w:pgSz w:w="11900" w:h="16838" w:orient="portrait"/>
          <w:cols w:equalWidth="0" w:num="1">
            <w:col w:w="10219"/>
          </w:cols>
          <w:pgMar w:left="240" w:top="452" w:right="1440" w:bottom="1440" w:gutter="0" w:footer="0" w:header="0"/>
        </w:sectPr>
      </w:pPr>
    </w:p>
    <w:bookmarkStart w:id="14" w:name="page15"/>
    <w:bookmarkEnd w:id="14"/>
    <w:p>
      <w:pPr>
        <w:spacing w:after="0"/>
        <w:tabs>
          <w:tab w:leader="none" w:pos="500" w:val="left"/>
          <w:tab w:leader="none" w:pos="1020" w:val="left"/>
          <w:tab w:leader="none" w:pos="2080" w:val="left"/>
          <w:tab w:leader="none" w:pos="2440" w:val="left"/>
          <w:tab w:leader="none" w:pos="3240" w:val="left"/>
          <w:tab w:leader="none" w:pos="3580" w:val="left"/>
          <w:tab w:leader="none" w:pos="3840" w:val="left"/>
          <w:tab w:leader="none" w:pos="4380" w:val="left"/>
          <w:tab w:leader="none" w:pos="4740" w:val="left"/>
          <w:tab w:leader="none" w:pos="5620" w:val="left"/>
        </w:tabs>
        <w:rPr>
          <w:sz w:val="20"/>
          <w:szCs w:val="20"/>
          <w:color w:val="auto"/>
        </w:rPr>
      </w:pPr>
      <w:r>
        <w:rPr>
          <w:rFonts w:ascii="Courier New" w:cs="Courier New" w:eastAsia="Courier New" w:hAnsi="Courier New"/>
          <w:sz w:val="15"/>
          <w:szCs w:val="15"/>
          <w:color w:val="auto"/>
        </w:rPr>
        <w:t>ITEM</w:t>
        <w:tab/>
        <w:t>4.</w:t>
      </w:r>
      <w:r>
        <w:rPr>
          <w:sz w:val="20"/>
          <w:szCs w:val="20"/>
          <w:color w:val="auto"/>
        </w:rPr>
        <w:tab/>
      </w:r>
      <w:r>
        <w:rPr>
          <w:rFonts w:ascii="Courier New" w:cs="Courier New" w:eastAsia="Courier New" w:hAnsi="Courier New"/>
          <w:sz w:val="15"/>
          <w:szCs w:val="15"/>
          <w:color w:val="auto"/>
        </w:rPr>
        <w:t>SUBMISSION</w:t>
        <w:tab/>
        <w:t>OF</w:t>
        <w:tab/>
        <w:t>MATTERS</w:t>
        <w:tab/>
        <w:t>TO</w:t>
        <w:tab/>
        <w:t>A</w:t>
        <w:tab/>
        <w:t>VOTE</w:t>
        <w:tab/>
        <w:t>OF</w:t>
        <w:tab/>
        <w:t>SECURITY</w:t>
      </w:r>
      <w:r>
        <w:rPr>
          <w:sz w:val="20"/>
          <w:szCs w:val="20"/>
          <w:color w:val="auto"/>
        </w:rPr>
        <w:tab/>
      </w:r>
      <w:r>
        <w:rPr>
          <w:rFonts w:ascii="Courier New" w:cs="Courier New" w:eastAsia="Courier New" w:hAnsi="Courier New"/>
          <w:sz w:val="14"/>
          <w:szCs w:val="14"/>
          <w:color w:val="auto"/>
        </w:rPr>
        <w:t>HOLDERS</w:t>
      </w:r>
    </w:p>
    <w:p>
      <w:pPr>
        <w:sectPr>
          <w:pgSz w:w="11900" w:h="16838" w:orient="portrait"/>
          <w:cols w:equalWidth="0" w:num="1">
            <w:col w:w="10219"/>
          </w:cols>
          <w:pgMar w:left="240" w:top="452" w:right="1440" w:bottom="1440" w:gutter="0" w:footer="0" w:header="0"/>
        </w:sectPr>
      </w:pPr>
    </w:p>
    <w:p>
      <w:pPr>
        <w:spacing w:after="0" w:line="16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Not</w:t>
      </w:r>
      <w:r>
        <w:rPr>
          <w:sz w:val="20"/>
          <w:szCs w:val="20"/>
          <w:color w:val="auto"/>
        </w:rPr>
        <w:tab/>
      </w:r>
      <w:r>
        <w:rPr>
          <w:rFonts w:ascii="Courier New" w:cs="Courier New" w:eastAsia="Courier New" w:hAnsi="Courier New"/>
          <w:sz w:val="14"/>
          <w:szCs w:val="14"/>
          <w:color w:val="auto"/>
        </w:rPr>
        <w:t>applicable.</w:t>
      </w:r>
    </w:p>
    <w:p>
      <w:pPr>
        <w:sectPr>
          <w:pgSz w:w="11900" w:h="16838" w:orient="portrait"/>
          <w:cols w:equalWidth="0" w:num="1">
            <w:col w:w="10219"/>
          </w:cols>
          <w:pgMar w:left="240" w:top="452" w:right="1440" w:bottom="1440" w:gutter="0" w:footer="0" w:header="0"/>
          <w:type w:val="continuous"/>
        </w:sectPr>
      </w:pPr>
    </w:p>
    <w:bookmarkStart w:id="15" w:name="page16"/>
    <w:bookmarkEnd w:id="15"/>
    <w:p>
      <w:pPr>
        <w:ind w:left="440"/>
        <w:spacing w:after="0"/>
        <w:tabs>
          <w:tab w:leader="none" w:pos="940" w:val="left"/>
        </w:tabs>
        <w:rPr>
          <w:sz w:val="20"/>
          <w:szCs w:val="20"/>
          <w:color w:val="auto"/>
        </w:rPr>
      </w:pPr>
      <w:r>
        <w:rPr>
          <w:rFonts w:ascii="Courier New" w:cs="Courier New" w:eastAsia="Courier New" w:hAnsi="Courier New"/>
          <w:sz w:val="15"/>
          <w:szCs w:val="15"/>
          <w:color w:val="auto"/>
        </w:rPr>
        <w:t>PART</w:t>
        <w:tab/>
        <w:t>II</w:t>
      </w:r>
    </w:p>
    <w:p>
      <w:pPr>
        <w:spacing w:after="0" w:line="175" w:lineRule="exact"/>
        <w:rPr>
          <w:sz w:val="20"/>
          <w:szCs w:val="20"/>
          <w:color w:val="auto"/>
        </w:rPr>
      </w:pPr>
    </w:p>
    <w:p>
      <w:pPr>
        <w:jc w:val="both"/>
        <w:ind w:right="3179"/>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339"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Company's common stock, par value $.001 ("Common Stock"), is traded on the Nasdaq National Market ("Nasdaq") under the symbol "INCY." The following table sets forth, for the periods indicated, the range of high and low sales prices for the Common Stock on Nasdaq as reported in its consolidated transaction reporting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HIGH</w:t>
            </w:r>
          </w:p>
        </w:tc>
        <w:tc>
          <w:tcPr>
            <w:tcW w:w="9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LOW</w:t>
            </w:r>
          </w:p>
        </w:tc>
      </w:tr>
      <w:tr>
        <w:trPr>
          <w:trHeight w:val="170"/>
        </w:trPr>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First Quarter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1/16</w:t>
            </w:r>
          </w:p>
        </w:tc>
      </w:tr>
      <w:tr>
        <w:trPr>
          <w:trHeight w:val="170"/>
        </w:trPr>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Second Quarter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r>
      <w:tr>
        <w:trPr>
          <w:trHeight w:val="170"/>
        </w:trPr>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Third Quarter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13/16</w:t>
            </w:r>
          </w:p>
        </w:tc>
      </w:tr>
      <w:tr>
        <w:trPr>
          <w:trHeight w:val="170"/>
        </w:trPr>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Fourth Quarter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First Quarter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480" w:type="dxa"/>
            <w:vAlign w:val="bottom"/>
          </w:tcPr>
          <w:p>
            <w:pPr>
              <w:spacing w:after="0"/>
              <w:rPr>
                <w:sz w:val="14"/>
                <w:szCs w:val="14"/>
                <w:color w:val="auto"/>
              </w:rPr>
            </w:pPr>
          </w:p>
        </w:tc>
      </w:tr>
      <w:tr>
        <w:trPr>
          <w:trHeight w:val="170"/>
        </w:trPr>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Second Quarter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r>
      <w:tr>
        <w:trPr>
          <w:trHeight w:val="170"/>
        </w:trPr>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Third Quarter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r>
      <w:tr>
        <w:trPr>
          <w:trHeight w:val="170"/>
        </w:trPr>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Fourth Quarter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15/16</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above high and low sales prices for the Common Stock have been adjusted to reflect the November 1997 two-for-one stock split effected in the form of a stock dividend.</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As of December 31, 1998, the Common Stock was held by 393 stockholders of record. The Company has never declared or paid dividends on its capital stock and does not anticipate paying any dividends in the foreseeable future.</w:t>
      </w:r>
    </w:p>
    <w:p>
      <w:pPr>
        <w:sectPr>
          <w:pgSz w:w="11900" w:h="16838" w:orient="portrait"/>
          <w:cols w:equalWidth="0" w:num="1">
            <w:col w:w="10219"/>
          </w:cols>
          <w:pgMar w:left="240" w:top="452" w:right="1440" w:bottom="1440" w:gutter="0" w:footer="0" w:header="0"/>
        </w:sectPr>
      </w:pPr>
    </w:p>
    <w:bookmarkStart w:id="16" w:name="page17"/>
    <w:bookmarkEnd w:id="16"/>
    <w:p>
      <w:pPr>
        <w:ind w:left="10"/>
        <w:spacing w:after="0"/>
        <w:tabs>
          <w:tab w:leader="none" w:pos="509" w:val="left"/>
          <w:tab w:leader="none" w:pos="869" w:val="left"/>
          <w:tab w:leader="none" w:pos="1749" w:val="left"/>
          <w:tab w:leader="none" w:pos="2969" w:val="left"/>
          <w:tab w:leader="none" w:pos="3949" w:val="left"/>
        </w:tabs>
        <w:rPr>
          <w:sz w:val="20"/>
          <w:szCs w:val="20"/>
          <w:color w:val="auto"/>
        </w:rPr>
      </w:pPr>
      <w:r>
        <w:rPr>
          <w:rFonts w:ascii="Courier New" w:cs="Courier New" w:eastAsia="Courier New" w:hAnsi="Courier New"/>
          <w:sz w:val="15"/>
          <w:szCs w:val="15"/>
          <w:color w:val="auto"/>
        </w:rPr>
        <w:t>ITEM</w:t>
        <w:tab/>
        <w:t>6.</w:t>
        <w:tab/>
        <w:t>SELECTED</w:t>
        <w:tab/>
        <w:t>CONSOLIDATED</w:t>
        <w:tab/>
        <w:t>FINANCIAL</w:t>
      </w:r>
      <w:r>
        <w:rPr>
          <w:sz w:val="20"/>
          <w:szCs w:val="20"/>
          <w:color w:val="auto"/>
        </w:rPr>
        <w:tab/>
      </w:r>
      <w:r>
        <w:rPr>
          <w:rFonts w:ascii="Courier New" w:cs="Courier New" w:eastAsia="Courier New" w:hAnsi="Courier New"/>
          <w:sz w:val="14"/>
          <w:szCs w:val="14"/>
          <w:color w:val="auto"/>
        </w:rPr>
        <w:t>DATA</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The data set forth below should be read in conjunction with "Management's Discussion and Analysis of Financial Condition and Results of Operations" and the Consolidated Financial Statements and related Notes included in Item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YEAR ENDED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 1,</w:t>
            </w:r>
          </w:p>
        </w:tc>
        <w:tc>
          <w:tcPr>
            <w:tcW w:w="1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w:t>
            </w:r>
          </w:p>
        </w:tc>
        <w:tc>
          <w:tcPr>
            <w:tcW w:w="80" w:type="dxa"/>
            <w:vAlign w:val="bottom"/>
          </w:tcPr>
          <w:p>
            <w:pPr>
              <w:spacing w:after="0"/>
              <w:rPr>
                <w:sz w:val="14"/>
                <w:szCs w:val="14"/>
                <w:color w:val="auto"/>
              </w:rPr>
            </w:pP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$134,811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89,996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$41,895</w:t>
            </w:r>
          </w:p>
        </w:tc>
        <w:tc>
          <w:tcPr>
            <w:tcW w:w="8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$ 12,299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1,512</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Research and development</w:t>
            </w:r>
          </w:p>
        </w:tc>
        <w:tc>
          <w:tcPr>
            <w:tcW w:w="1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97,192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72,452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41,337</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19,272</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11,169</w:t>
            </w:r>
          </w:p>
        </w:tc>
      </w:tr>
      <w:tr>
        <w:trPr>
          <w:trHeight w:val="170"/>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 administrative</w:t>
            </w:r>
          </w:p>
        </w:tc>
        <w:tc>
          <w:tcPr>
            <w:tcW w:w="1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25,438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13,928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6,957</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3,952</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2,328</w:t>
            </w:r>
          </w:p>
        </w:tc>
      </w:tr>
      <w:tr>
        <w:trPr>
          <w:trHeight w:val="170"/>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Charge for purchase of  in-process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560" w:type="dxa"/>
            <w:vAlign w:val="bottom"/>
          </w:tcPr>
          <w:p>
            <w:pPr>
              <w:ind w:left="1140"/>
              <w:spacing w:after="0"/>
              <w:rPr>
                <w:sz w:val="20"/>
                <w:szCs w:val="20"/>
                <w:color w:val="auto"/>
              </w:rPr>
            </w:pPr>
            <w:r>
              <w:rPr>
                <w:rFonts w:ascii="Courier New" w:cs="Courier New" w:eastAsia="Courier New" w:hAnsi="Courier New"/>
                <w:sz w:val="15"/>
                <w:szCs w:val="15"/>
                <w:color w:val="auto"/>
              </w:rPr>
              <w:t>research and development</w:t>
            </w:r>
          </w:p>
        </w:tc>
        <w:tc>
          <w:tcPr>
            <w:tcW w:w="1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3,165</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ind w:left="520"/>
              <w:spacing w:after="0"/>
              <w:rPr>
                <w:sz w:val="20"/>
                <w:szCs w:val="20"/>
                <w:color w:val="auto"/>
              </w:rPr>
            </w:pPr>
            <w:r>
              <w:rPr>
                <w:rFonts w:ascii="Courier New" w:cs="Courier New" w:eastAsia="Courier New" w:hAnsi="Courier New"/>
                <w:sz w:val="15"/>
                <w:szCs w:val="15"/>
                <w:color w:val="auto"/>
              </w:rPr>
              <w:t>Acquisition-related charges</w:t>
            </w:r>
          </w:p>
        </w:tc>
        <w:tc>
          <w:tcPr>
            <w:tcW w:w="1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c>
          <w:tcPr>
            <w:tcW w:w="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w:t>
            </w: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Total costs and expenses</w:t>
            </w:r>
          </w:p>
        </w:tc>
        <w:tc>
          <w:tcPr>
            <w:tcW w:w="1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134,779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86,380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51,459</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23,224</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13,497</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4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3,616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(9,564)</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(10,925)</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(11,985)</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Interest and other income, net and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560" w:type="dxa"/>
            <w:vAlign w:val="bottom"/>
          </w:tcPr>
          <w:p>
            <w:pPr>
              <w:ind w:left="520"/>
              <w:spacing w:after="0"/>
              <w:rPr>
                <w:sz w:val="20"/>
                <w:szCs w:val="20"/>
                <w:color w:val="auto"/>
              </w:rPr>
            </w:pPr>
            <w:r>
              <w:rPr>
                <w:rFonts w:ascii="Courier New" w:cs="Courier New" w:eastAsia="Courier New" w:hAnsi="Courier New"/>
                <w:sz w:val="15"/>
                <w:szCs w:val="15"/>
                <w:color w:val="auto"/>
              </w:rPr>
              <w:t>Losses from joint venture</w:t>
            </w:r>
          </w:p>
        </w:tc>
        <w:tc>
          <w:tcPr>
            <w:tcW w:w="1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3,840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2,288</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988</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510</w:t>
            </w:r>
          </w:p>
        </w:tc>
      </w:tr>
      <w:tr>
        <w:trPr>
          <w:trHeight w:val="170"/>
        </w:trPr>
        <w:tc>
          <w:tcPr>
            <w:tcW w:w="356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c>
          <w:tcPr>
            <w:tcW w:w="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7,456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(7,276)</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(9,937)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(11,475)</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c>
          <w:tcPr>
            <w:tcW w:w="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3,472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6,908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$(7,276)</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 (9,937)</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$(11,475)</w:t>
            </w:r>
          </w:p>
        </w:tc>
      </w:tr>
      <w:tr>
        <w:trPr>
          <w:trHeight w:val="170"/>
        </w:trPr>
        <w:tc>
          <w:tcPr>
            <w:tcW w:w="356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c>
          <w:tcPr>
            <w:tcW w:w="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Basic net income (loss) per share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(0.32)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(0.82)</w:t>
            </w:r>
          </w:p>
        </w:tc>
      </w:tr>
      <w:tr>
        <w:trPr>
          <w:trHeight w:val="170"/>
        </w:trPr>
        <w:tc>
          <w:tcPr>
            <w:tcW w:w="3560" w:type="dxa"/>
            <w:vAlign w:val="bottom"/>
          </w:tcPr>
          <w:p>
            <w:pPr>
              <w:spacing w:after="0"/>
              <w:rPr>
                <w:sz w:val="14"/>
                <w:szCs w:val="1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14"/>
                <w:szCs w:val="14"/>
                <w:color w:val="auto"/>
              </w:rPr>
            </w:pP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Number of shares used in computation</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560" w:type="dxa"/>
            <w:vAlign w:val="bottom"/>
          </w:tcPr>
          <w:p>
            <w:pPr>
              <w:ind w:left="160"/>
              <w:spacing w:after="0"/>
              <w:rPr>
                <w:sz w:val="20"/>
                <w:szCs w:val="20"/>
                <w:color w:val="auto"/>
              </w:rPr>
            </w:pPr>
            <w:r>
              <w:rPr>
                <w:rFonts w:ascii="Courier New" w:cs="Courier New" w:eastAsia="Courier New" w:hAnsi="Courier New"/>
                <w:sz w:val="15"/>
                <w:szCs w:val="15"/>
                <w:color w:val="auto"/>
              </w:rPr>
              <w:t>of basic net income (loss) per share</w:t>
            </w:r>
          </w:p>
        </w:tc>
        <w:tc>
          <w:tcPr>
            <w:tcW w:w="1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26,921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24,300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22,398</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18,819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14,060</w:t>
            </w:r>
          </w:p>
        </w:tc>
      </w:tr>
      <w:tr>
        <w:trPr>
          <w:trHeight w:val="170"/>
        </w:trPr>
        <w:tc>
          <w:tcPr>
            <w:tcW w:w="3560" w:type="dxa"/>
            <w:vAlign w:val="bottom"/>
          </w:tcPr>
          <w:p>
            <w:pPr>
              <w:spacing w:after="0"/>
              <w:rPr>
                <w:sz w:val="14"/>
                <w:szCs w:val="1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14"/>
                <w:szCs w:val="14"/>
                <w:color w:val="auto"/>
              </w:rPr>
            </w:pP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 net income (loss) per share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(0.32)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(0.82)</w:t>
            </w:r>
          </w:p>
        </w:tc>
      </w:tr>
      <w:tr>
        <w:trPr>
          <w:trHeight w:val="170"/>
        </w:trPr>
        <w:tc>
          <w:tcPr>
            <w:tcW w:w="3560" w:type="dxa"/>
            <w:vAlign w:val="bottom"/>
          </w:tcPr>
          <w:p>
            <w:pPr>
              <w:spacing w:after="0"/>
              <w:rPr>
                <w:sz w:val="14"/>
                <w:szCs w:val="1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14"/>
                <w:szCs w:val="14"/>
                <w:color w:val="auto"/>
              </w:rPr>
            </w:pP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Number of shares used in computation</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560" w:type="dxa"/>
            <w:vAlign w:val="bottom"/>
          </w:tcPr>
          <w:p>
            <w:pPr>
              <w:ind w:left="160"/>
              <w:spacing w:after="0"/>
              <w:rPr>
                <w:sz w:val="20"/>
                <w:szCs w:val="20"/>
                <w:color w:val="auto"/>
              </w:rPr>
            </w:pPr>
            <w:r>
              <w:rPr>
                <w:rFonts w:ascii="Courier New" w:cs="Courier New" w:eastAsia="Courier New" w:hAnsi="Courier New"/>
                <w:sz w:val="15"/>
                <w:szCs w:val="15"/>
                <w:color w:val="auto"/>
                <w:w w:val="98"/>
              </w:rPr>
              <w:t>of diluted net income (loss) per share</w:t>
            </w:r>
          </w:p>
        </w:tc>
        <w:tc>
          <w:tcPr>
            <w:tcW w:w="1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28,899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26,498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22,398</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18,819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14,060</w:t>
            </w:r>
          </w:p>
        </w:tc>
      </w:tr>
      <w:tr>
        <w:trPr>
          <w:trHeight w:val="170"/>
        </w:trPr>
        <w:tc>
          <w:tcPr>
            <w:tcW w:w="3560" w:type="dxa"/>
            <w:vAlign w:val="bottom"/>
          </w:tcPr>
          <w:p>
            <w:pPr>
              <w:spacing w:after="0"/>
              <w:rPr>
                <w:sz w:val="14"/>
                <w:szCs w:val="1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14"/>
                <w:szCs w:val="14"/>
                <w:color w:val="auto"/>
              </w:rPr>
            </w:pP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BALANCE SHEET DATA 1</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3380" w:type="dxa"/>
            <w:vAlign w:val="bottom"/>
          </w:tcPr>
          <w:p>
            <w:pPr>
              <w:spacing w:after="0"/>
              <w:rPr>
                <w:sz w:val="14"/>
                <w:szCs w:val="14"/>
                <w:color w:val="auto"/>
              </w:rPr>
            </w:pPr>
          </w:p>
        </w:tc>
        <w:tc>
          <w:tcPr>
            <w:tcW w:w="27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8"/>
              </w:rPr>
              <w:t>---------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w w:val="98"/>
              </w:rPr>
              <w:t>Cash, cash equivalents, and securities</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available -for-sale</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$111,233</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$113,095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$ 40,238</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$ 41,218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$25,257</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81,437</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90,700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21,351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39,015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20,866</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230,290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199,089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69,173</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58,892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29,350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Noncurrent portion of capital lease</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obligations and notes payable</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(28,401)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(30,129)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(37,037)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(29,761)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(19,824)</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179,567</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145,702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44,834</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47,606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24,344</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0" w:right="3179" w:hanging="10"/>
        <w:spacing w:after="0" w:line="258" w:lineRule="auto"/>
        <w:tabs>
          <w:tab w:leader="none" w:pos="27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for the years ended December 31, 1994, 1995, and 1996, have been restated to reflect the combined results and financial position of the Company and Genome Systems, Inc. All periods through December 31, 1997 have been restated to reflect combined results and financial position of the Company and Synteni, Inc. See Note 9 of Notes to Consolidated Financial Statements.</w:t>
      </w:r>
    </w:p>
    <w:p>
      <w:pPr>
        <w:sectPr>
          <w:pgSz w:w="11900" w:h="16838" w:orient="portrait"/>
          <w:cols w:equalWidth="0" w:num="1">
            <w:col w:w="10229"/>
          </w:cols>
          <w:pgMar w:left="230" w:top="452" w:right="1440" w:bottom="1440" w:gutter="0" w:footer="0" w:header="0"/>
        </w:sectPr>
      </w:pPr>
    </w:p>
    <w:bookmarkStart w:id="17" w:name="page18"/>
    <w:bookmarkEnd w:id="17"/>
    <w:p>
      <w:pPr>
        <w:jc w:val="both"/>
        <w:ind w:right="3179"/>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following discussion and analysis of the Company's financial condition and results of operations should be read in conjunction with "Selected Consolidated Financial Data" and the Consolidated Financial Statements and related Notes included elsewhere in this Report.</w:t>
      </w:r>
    </w:p>
    <w:p>
      <w:pPr>
        <w:spacing w:after="0" w:line="17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When used in this discussion, the words "expects," "anticipates," "estimates," and similar expressions are intended to identify forward-looking statements. Such statements, which include statements as to expected net loss, expected expenditure levels, expected cash flows, the adequacy of capital resources, growth in operations and Year 2000 related actions, are subject to risks and uncertainties that could cause actual results to differ materially from those projected. These risks and uncertainties include, but are not limited to, those risks discussed below, as well as the extent of utilization of genomic information by the biotechnology, pharmaceutical, and agricultural industries; risks relating to the development of new products and their use by potential collaborators of the Company; the impact of technological advances and competition; the ability of the Company to obtain and retain customers; competition from other entities; early termination of a database collaboration agreement or failure to renew an agreement upon expiration; the ability to successfully integrate the operations of recent business combinations; the cost of accessing technologies developed by other companies; uncertainty as to the scope of coverage, enforceability or commercial protection from patents that issue on gene sequences and other genetic information; developments in and expenses relating to litigation; the results and viability of joint ventures and businesses in which the Company has purchased equity; uncertainties associated with the Company's ability to raise capital through the sale of private or public equity or otherwise; the ability of the Company to implement in a timely manner the programs and actions related to the Year 2000 issue; and the matters discussed in "Factors That May Affect Results." These forward-looking statements speak only as of the date hereof. The Company expressly disclaims any obligation or undertaking to release publicly any updates or revisions to any forward-looking statements contained herein to reflect any change in the Company's expectations with regard thereto or any change in events, conditions or circumstances on which any such statement is based.</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Incyte Pharmaceuticals, Inc. ("Incyte" and, together with its wholly owned subsidiaries, the "Company") designs, develops and markets genomic information-based tools including database products, genomic data management software tools, microarray-based gene expression services and genomic reagents and related services. The Company's genomic databases integrate bioinformatics software with proprietary and, when appropriate, publicly available genetic information to create information-based tools used by pharmaceutical and biotechnology companies in drug discovery and development.</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Revenues recognized by the Company consist primarily of non-exclusive database access fees related to database agreements. Revenues also include the sales of genomic screening products and services, fees for microarray-based gene expression services, fees for contract sequencing services, and sales of genomic data management software tools. The Company's database agreements provide for future milestone payments and royalties from the sale of products derived from proprietary information obtained through the databases. There can be no assurance that any database subscriber will ever generate products from information contained within the databases and thus that the Company will ever receive milestone payments or royalties. The Company's ability to maintain and increase revenues will be dependent upon its ability to obtain additional database subscribers, retain existing subscribers, and to expand its customer base for microarray services. The loss of revenues from any individual database agreement, if terminated or not renewed, could have an adverse impact on the Company's results of operations, although it is not anticipated to have a material adverse impact on the Company's business or financial conditions.</w:t>
      </w:r>
    </w:p>
    <w:p>
      <w:pPr>
        <w:sectPr>
          <w:pgSz w:w="11900" w:h="16838" w:orient="portrait"/>
          <w:cols w:equalWidth="0" w:num="1">
            <w:col w:w="10219"/>
          </w:cols>
          <w:pgMar w:left="240" w:top="797" w:right="1440" w:bottom="1440" w:gutter="0" w:footer="0" w:header="0"/>
        </w:sectPr>
      </w:pPr>
    </w:p>
    <w:bookmarkStart w:id="18" w:name="page19"/>
    <w:bookmarkEnd w:id="18"/>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intends to invest approximately $45 million in its genomic sequencing, mapping and SNP discovery programs in 1999, and as a result the Company expects to report a net loss for 1999 of approximately $20 million. The genomic sequencing and mapping programs are expected to be completed in 2000, with the Company projecting a return to profitability in the second half of 2000. If the costs of these programs are greater than anticipated, or if these programs take longer to complete, the Company may not return to profitability in 2000.</w:t>
      </w:r>
    </w:p>
    <w:p>
      <w:pPr>
        <w:spacing w:after="0" w:line="178"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In September 1998, the Company completed the acquisition of Hexagen Limited ("Hexagen"), a privately held SNP discovery company based in Cambridge, England. The Company issued 976,130 shares of its common stock and $5.0 million in cash in exchange for all of Hexagen's outstanding capital stock. In addition, the Company assumed Hexagen's stock options, which if fully vested and exercised, would amount to 125,909 shares of its common stock. The intrinsic value of the stock options was included in the purchase price of Hexagen. The transaction was accounted for as a purchase with a portion of the purchase price, estimated to be approximately $11.0 million, expensed in the third quarter of 1998 as a charge for the purchase of in-process research and development. The remainder of the purchase price, approximately $17.6 million, was allocated to goodwill ($16.3 million), developed technology ($0.7 million), and Hexagen's assembled work force ($0.6 million), which are being amortized over 8, 5 and 3 years, respectively. The Company will evaluate its intangible assets for impairment on a quarterly basis.</w:t>
      </w:r>
    </w:p>
    <w:p>
      <w:pPr>
        <w:spacing w:after="0" w:line="334"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The Company allocated Hexagen's purchase price based on the relative fair value of the net tangible and intangible assets acquired. In performing this allocation, the Company considered, among other factors, the technology research and development projects in process at the date of acquisition. Hexagen's in-process research and development program consisted of the development of its fSSCP technology for SNP discovery. At the date of the acquisition, Hexagen's research and development program was approximately 80% completed and total continuing research and development commitments to complete the projects were expected to be approximately $1.4 million. The projects were expected to be successfully completed by mid-2000. The value assigned to purchased in-process R&amp;D was determined by estimating the costs to develop Hexagen's purchased in-process research and development into commercially viable products, estimating the resulting net cash flows from the projects and discounting the net cash flows to their present value. The rates utilized to discount the net cash flows to their present value were based on Hexagen's weighted average cost of capital. A discount rate of 24.0% was used for valuing the in-process research and development and is intended to be commensurate with Hexagen's corporate maturity and the uncertainties in the economic estimates described above. Additionally, this project will require maintenance expenditures when and if it reaches a state of technological and commercial feasibility. Management believes the Company has positioned itself to complete the research and development program. However, there is risk associated with the completion of the project, which includes the inherent difficulties and uncertainties in completing the project and thereby achieving technological feasibility and risks related to the impact of potential changes in future target markets. There is no assurance that the project will meet either technological or commercial success. Failure to complete the development of the fSSCP technology in its entirety, or in a timely manner, could have a material adverse impact on the Company's financial condition and results of operations.</w:t>
      </w:r>
    </w:p>
    <w:p>
      <w:pPr>
        <w:spacing w:after="0" w:line="34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estimates used by the Company in valuing in-process research and development were based upon assumptions the Company believes to be reasonable but which are inherently uncertain and unpredictable. The Company's assumptions may be incomplete or inaccurate, and no assurance can be given that unanticipated events and circumstances will not occur. Accordingly, actual results may vary from the projected results. Any such variance may result in a material adverse effect on the financial condition and results of operations of the Company.</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January 1998, the Company completed the acquisition of Synteni, Inc. ("Synteni"), a privately-held microarray-based gene expression company. The transaction has been accounted for as a pooling of interests, and the consolidated financial statements discussed herein and all historical financial information have been restated to reflect the combined operations of both companies. The Company's ability to generate revenues and operating profits from microarray-based gene expression services will be dependent on the ability of the Company to obtain high volume customers for microarray services. Prior to the merger, Synteni's microarray service agreements consisted of small volume pilot or feasibility agreements.</w:t>
      </w:r>
    </w:p>
    <w:p>
      <w:pPr>
        <w:spacing w:after="0" w:line="180"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September 1997, the Company formed a joint venture, diaDexus, LLC ("diaDexus"), with SmithKline Beecham Corporation ("SB") which will utilize genomic and bioinformatics technologies in the discovery and commercialization of molecular diagnostics. The Company and SB each hold a 50 percent equity interest in diaDexus. The investment is accounted for under the equity method, and the Company records its share of diaDexus' earnings and losses in its statement of operations.</w:t>
      </w:r>
    </w:p>
    <w:p>
      <w:pPr>
        <w:spacing w:after="0" w:line="177"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In August 1996, the Company acquired all the common stock of Combion, a microarray technology company, in a stock for stock exchange, issuing 146,342 shares of its common stock. The acquisition was accounted for as a purchase, with a purchase price of $3.2 million, including transaction fees, and approximately $3.2 million was expensed as a charge for the purchase of in-process research and development. Combion's in-process research and development program consisted of the development of its microarray technology. The Company allocated the purchase price to assets and liabilities based on the relative fair value of the net tangible and intangible assets. In performing this allocation, the Company considered, among other factors, the technology research and development projects in-process at the date of acquisition. With regard to the in-process research and development projects, the Company</w:t>
      </w:r>
    </w:p>
    <w:p>
      <w:pPr>
        <w:sectPr>
          <w:pgSz w:w="11900" w:h="16838" w:orient="portrait"/>
          <w:cols w:equalWidth="0" w:num="1">
            <w:col w:w="10219"/>
          </w:cols>
          <w:pgMar w:left="240" w:top="458" w:right="1440" w:bottom="0" w:gutter="0" w:footer="0" w:header="0"/>
        </w:sectPr>
      </w:pPr>
    </w:p>
    <w:bookmarkStart w:id="19" w:name="page20"/>
    <w:bookmarkEnd w:id="19"/>
    <w:p>
      <w:pPr>
        <w:jc w:val="both"/>
        <w:ind w:right="3179"/>
        <w:spacing w:after="0" w:line="238" w:lineRule="auto"/>
        <w:rPr>
          <w:sz w:val="20"/>
          <w:szCs w:val="20"/>
          <w:color w:val="auto"/>
        </w:rPr>
      </w:pPr>
      <w:r>
        <w:rPr>
          <w:rFonts w:ascii="Courier New" w:cs="Courier New" w:eastAsia="Courier New" w:hAnsi="Courier New"/>
          <w:sz w:val="15"/>
          <w:szCs w:val="15"/>
          <w:color w:val="auto"/>
        </w:rPr>
        <w:t>considered factors such as the stage of development of the technology at the time of acquisition, the importance of each project to the overall development plan, alternative future use of the technology and the projected incremental cash flows from the projects when completed and any associated risks. In 1998, the Company continued to utilize the microarray technology purchased from Combion for internal research and development purposes.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If the staff of the SEC chooses to review the Company's calculation of its charge for the purchase of in-process research and development for either the Hexagen or Combion acquisitions and the staff disagrees with the methodologies and/or assumptions used in the computation of such amounts, the Company may be required to adjust the portion of the purchase price allocated to in-process research and development.</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July 1996, the Company issued 408,146 shares of common stock in exchange for all of the capital stock of Genome Systems, Inc., a privately held genomics company located in St. Louis, Missouri. Genome Systems provides genomic research products and technical support services to scientists to assist them in the identification and isolation of novel genes. The merger has been accounted for as a pooling of interests and, accordingly, the Company's financial statements and financial data have been restated to include the accounts and operations of Genome Systems since inception.</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has made and intends to continue to make strategic equity investments in, and acquisitions of, technologies and businesses that are complementary to the businesses of the Company. As a result, the Company may record losses or expenses related to the Company's proportionate ownership interest in such long-term equity investments, record charges for the acquisition of in-process technologies, or record charges for the recognition of the impairment in the value of the securities underlying such investments.</w:t>
      </w:r>
    </w:p>
    <w:p>
      <w:pPr>
        <w:spacing w:after="0" w:line="177"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In September 1998, one company in which the Company held an equity investment, OncorMed, Inc., was acquired in a stock-for-stock merger by Gene Logic Inc. The investment in Gene Logic is accounted for under the cost method of accounting. In January 1998, the Company announced a relationship relating to the joint development of proteomics data and related software with Oxford GlycoSciences plc ("OGS"). As part of this relationship, the Company made a $5.0 million initial equity investment and a follow-on investment in April 1998 of approximately $0.8 million as part of the OGS initial public offering of its ordinary shares. As part of the collaborative agreement, the Company has agreed to reimburse OGS for up to $5.0 million in 1999 if revenues are not sufficient to offset OGS' expenses for services rendered. The market prices of the securities of the companies in which the Company invests are highly volatile and therefore subject to declines in market value. The Company will continue to evaluate its long-term equity investments for impairment on a quarterly basis.</w:t>
      </w:r>
    </w:p>
    <w:p>
      <w:pPr>
        <w:spacing w:after="0" w:line="16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an effort to broaden its business, the Company is investing in a number of new areas, including microarray services, molecular diagnostics, genome sequencing, SNP discovery and proteomics. Given that many of these address new markets, or involve untested technologies, it is not known if any of them will generate revenues or if the revenues will be sufficient to provide an adequate return on the investment. Depending on the investment required and the timing of such investments, expenses or losses related to these investments could adversely affect operating results.</w:t>
      </w:r>
    </w:p>
    <w:p>
      <w:pPr>
        <w:spacing w:after="0" w:line="178"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The Company has incurred and is likely to continue to incur substantial expenses in its defense of the lawsuits filed in January and September 1998 by Affymetrix, Inc. ("Affymetrix") alleging patent infringement by Synteni and Incyte. Affymetrix seeks a preliminary injunction enjoining Incyte and Synteni from using certain microarray technology in a manner alleged to infringe an Affymetrix patent and a permanent injunction enjoining Incyte and Synteni from further infringement of certain Affymetrix patents. In addition, Affymetrix seeks damages, costs, attorneys' fees and interest. Affymetrix further requests that any such damages be trebled on its allegation of willful infringement by Incyte and Synteni. Incyte and Synteni believe they have meritorious defenses and intend to defend these suits vigorously. However, there can be no assurance that Incyte and Synteni will be successful in the defense of these suits. At this time, the Company cannot reasonably estimate the possible range of any loss related to these suits due to uncertainty regarding the ultimate outcome. Regardless of the outcome, this litigation has resulted and is expected to continue to result in substantial expenses and diversion of the efforts of management and technical personnel. Any future litigation could result in similar expenses and diversion of efforts. Further, there can be no assurance that any license that may be required as a result of these suits or the outcome thereof would be made available on commercially acceptable terms, if at all.</w:t>
      </w:r>
    </w:p>
    <w:p>
      <w:pPr>
        <w:spacing w:after="0" w:line="171" w:lineRule="exact"/>
        <w:rPr>
          <w:sz w:val="20"/>
          <w:szCs w:val="20"/>
          <w:color w:val="auto"/>
        </w:rPr>
      </w:pPr>
    </w:p>
    <w:p>
      <w:pPr>
        <w:spacing w:after="0"/>
        <w:tabs>
          <w:tab w:leader="none" w:pos="760" w:val="left"/>
          <w:tab w:leader="none" w:pos="1120" w:val="left"/>
        </w:tabs>
        <w:rPr>
          <w:sz w:val="20"/>
          <w:szCs w:val="20"/>
          <w:color w:val="auto"/>
        </w:rPr>
      </w:pPr>
      <w:r>
        <w:rPr>
          <w:rFonts w:ascii="Courier New" w:cs="Courier New" w:eastAsia="Courier New" w:hAnsi="Courier New"/>
          <w:sz w:val="15"/>
          <w:szCs w:val="15"/>
          <w:color w:val="auto"/>
        </w:rPr>
        <w:t>RESULTS</w:t>
        <w:tab/>
        <w:t>OF</w:t>
      </w:r>
      <w:r>
        <w:rPr>
          <w:sz w:val="20"/>
          <w:szCs w:val="20"/>
          <w:color w:val="auto"/>
        </w:rPr>
        <w:tab/>
      </w:r>
      <w:r>
        <w:rPr>
          <w:rFonts w:ascii="Courier New" w:cs="Courier New" w:eastAsia="Courier New" w:hAnsi="Courier New"/>
          <w:sz w:val="14"/>
          <w:szCs w:val="14"/>
          <w:color w:val="auto"/>
        </w:rPr>
        <w:t>OPERATIONS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 recorded net income for the years ended December 31, 1998 and 1997 of $3.5 million and $6.9 million, respectively, and a net loss of $7.3 million for the year ended December 31, 1996. On a per share basis, basic net income per share was $0.13 and $0.28 for the years ended December 31, 1998 and 1997 and basic net loss per share was $0.32 for the year ended December 31, 1996. Diluted net income per share was $0.12 and $0.26 for the years ended December 31, 1998 and 1997, respectively, and diluted net loss per share was $0.32 for the year ended December 31, 1996. Excluding acquisition related charges, the Company recorded net income of $15.5 million and basic and diluted net income per share of $0.58 and $0.54, respectively, for the year ended December 31, 1998. The net income per share in 1997 reflects the dilutive effect of approximately 2.7 million shares issued in an August 1997 follow-on public offering. The net loss per share in 1996 reflects the dilutive effect of approximately 0.6 million shares issued in 1996 in connection with the Company's business combinations with Genome Systems and Combion. The net income (loss) per share for all periods presented reflects the issuance of approximately 2.3 million shares in January 1998 in connection with the Company's business combination with Synteni. All share and per share data have been adjusted retroactively for a two-for-one stock split effected in the form of a stock</w:t>
      </w:r>
    </w:p>
    <w:p>
      <w:pPr>
        <w:sectPr>
          <w:pgSz w:w="11900" w:h="16838" w:orient="portrait"/>
          <w:cols w:equalWidth="0" w:num="1">
            <w:col w:w="10219"/>
          </w:cols>
          <w:pgMar w:left="240" w:top="141" w:right="1440" w:bottom="0" w:gutter="0" w:footer="0" w:header="0"/>
        </w:sectPr>
      </w:pPr>
    </w:p>
    <w:bookmarkStart w:id="20" w:name="page21"/>
    <w:bookmarkEnd w:id="20"/>
    <w:p>
      <w:pPr>
        <w:spacing w:after="0"/>
        <w:tabs>
          <w:tab w:leader="none" w:pos="860" w:val="left"/>
          <w:tab w:leader="none" w:pos="1380" w:val="left"/>
          <w:tab w:leader="none" w:pos="1740" w:val="left"/>
          <w:tab w:leader="none" w:pos="2620" w:val="left"/>
          <w:tab w:leader="none" w:pos="2960" w:val="left"/>
        </w:tabs>
        <w:rPr>
          <w:sz w:val="20"/>
          <w:szCs w:val="20"/>
          <w:color w:val="auto"/>
        </w:rPr>
      </w:pPr>
      <w:r>
        <w:rPr>
          <w:rFonts w:ascii="Courier New" w:cs="Courier New" w:eastAsia="Courier New" w:hAnsi="Courier New"/>
          <w:sz w:val="15"/>
          <w:szCs w:val="15"/>
          <w:color w:val="auto"/>
        </w:rPr>
        <w:t>dividend</w:t>
        <w:tab/>
        <w:t>paid</w:t>
        <w:tab/>
        <w:t>on</w:t>
        <w:tab/>
        <w:t>November</w:t>
        <w:tab/>
        <w:t>7,</w:t>
      </w:r>
      <w:r>
        <w:rPr>
          <w:sz w:val="20"/>
          <w:szCs w:val="20"/>
          <w:color w:val="auto"/>
        </w:rPr>
        <w:tab/>
      </w:r>
      <w:r>
        <w:rPr>
          <w:rFonts w:ascii="Courier New" w:cs="Courier New" w:eastAsia="Courier New" w:hAnsi="Courier New"/>
          <w:sz w:val="14"/>
          <w:szCs w:val="14"/>
          <w:color w:val="auto"/>
        </w:rPr>
        <w:t>1997 to holders of record on October 17, 1997.</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Revenues. Revenues for the years ended December 31, 1998, 1997, and 1996 were $134.8 million, $90.0 million, and $41.9 million, respectively. Revenues resulted primarily from database access fees and, to a much lesser extent, from genomic screening products and services, microarray-based gene expression services, fees for contract sequencing, and genomic data management software tools and maintenance. The increase in revenues from year to year was predominantly driven by an increase in the number of database collaboration agreements, expanded database agreements with existing customers and increased revenues from microarray-related products and services.</w:t>
      </w:r>
    </w:p>
    <w:p>
      <w:pPr>
        <w:sectPr>
          <w:pgSz w:w="11900" w:h="16838" w:orient="portrait"/>
          <w:cols w:equalWidth="0" w:num="1">
            <w:col w:w="10219"/>
          </w:cols>
          <w:pgMar w:left="240" w:top="136" w:right="1440" w:bottom="1440" w:gutter="0" w:footer="0" w:header="0"/>
        </w:sectPr>
      </w:pPr>
    </w:p>
    <w:bookmarkStart w:id="21" w:name="page22"/>
    <w:bookmarkEnd w:id="21"/>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Expenses. Total costs and expenses for the years ended December 31, 1998, 1997, and 1996 were $134.8 million, $86.4 million, and $51.5 million, respectively. Total costs and expenses for the year ended December 31, 1998 included a one-time charge of $11.0 million for the purchase of in-process research and development relating to the acquisition of Hexagen, and acquisition related expenses of $1.2 million related to the combination with Synteni. Total costs and expenses for the year ended December 31, 1996 included a one-time charge of $3.2 million for the purchase of in-process research and development relating to the acquisition of Combion. Total costs and expenses are expected to increase in the foreseeable future due to the continued investment in new products and services.</w:t>
      </w:r>
    </w:p>
    <w:p>
      <w:pPr>
        <w:spacing w:after="0" w:line="181"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Research and development expenses for the years ended December 31, 1998, 1997, and 1996 were $97.2 million, $72.5 million, and $41.3 million, respectively. The increase in research and development expenses in 1998 over 1997 resulted primarily from an increase in bioinformatics and software develop-ment efforts and to a lesser extent microarray production capacity, genomic sequencing, genetic mapping, SNP discovery efforts and from costs related to technology development initiatives, costs related to intellectual property protection. The increase in research and development expenses in 1997 over 1996 resulted primarily from an increase in bioinformatics and software development efforts and to a lesser extent from increased gene sequence, micro-array,and reagent production; costs related to intellectual property protection; license and milestone payments under research and development alliances and increased microarray research and development. The Company expects research and development spending to increase over the next few years as the Company continues to pursue the development of new database products and services, expansion of existing database products as well as increases in sequencing, microarray and SNP discovery operations, and investments in new technologies.</w:t>
      </w:r>
    </w:p>
    <w:p>
      <w:pPr>
        <w:spacing w:after="0" w:line="16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Selling, general and administrative expenses for the years ended December 31, 1998, 1997, and 1996 were $25.4 million, $13.9 million and $7.0 million, respectively. The increase in selling, general and administrative expenses in 1998 over 1997 resulted primarily from the growth in sales and marketing activities and to a lesser extent the expansion of the Company's United Kingdom operations and increased personnel to support the growing complexity of the Company's operations. The Company's 1998 operations were also impacted by legal expenses from the patent infringement lawsuits filed by Affymetrix of approximately $2.9 million. The increase in selling, general and administrative expenses in 1997 over 1996 resulted primarily from the continued growth in sales and marketing activities, the increase in expenses from the Company's Synteni microarray division, and increased personnel to support the growing complexity of the Company's operations. The Company expects that total selling, general and administrative expenses will continue to increase due to continued growth in marketing, sales and customer support; the expansion of the Company's United Kingdom operations; and legal expenses related to the Company's defense of the lawsuits filed by Affymetrix.</w:t>
      </w:r>
    </w:p>
    <w:p>
      <w:pPr>
        <w:spacing w:after="0" w:line="18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Interest and Other Income, Net. Interest and other income, net for the years ended December 31, 1998, 1997, and 1996 were $7.3 million, $4.1 million, and $2.3 million, respectively. Interest and other income, net increased as a result of increased interest income from higher average combined cash, cash equivalent and marketable securities balances and an increase in realized gains on the sale of marketable securities.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Losses from Joint Venture. Losses from joint venture were $1.5 million and $0.3 million for the years ended December 31, 1998 and 1997. The loss represents the Company's share of diaDexus' losses from operations. The loss in 1998 was net of $2.5 million of amortization of the excess of the Company's share of diaDexus' net assets over its basis. As diaDexus was formed in September 1997, no losses from joint venture were recognized prior to 1997. The Company expects that losses from joint venture will increase in 1999, as diaDexus' losses are expected to increase in 1999 and as the favorable impact of the amortization of the excess of the Company's share of diaDexus' net assets over its basis was fully recognized in the fourth quarter of 1998 and will not be recognized in 1999.</w:t>
      </w:r>
    </w:p>
    <w:p>
      <w:pPr>
        <w:sectPr>
          <w:pgSz w:w="11900" w:h="16838" w:orient="portrait"/>
          <w:cols w:equalWidth="0" w:num="1">
            <w:col w:w="10219"/>
          </w:cols>
          <w:pgMar w:left="240" w:top="458"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Income</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Taxes.</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The</w:t>
            </w:r>
          </w:p>
        </w:tc>
        <w:tc>
          <w:tcPr>
            <w:tcW w:w="24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estimated effective annual</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income</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tax rate for 1998 was</w:t>
            </w:r>
          </w:p>
        </w:tc>
      </w:tr>
      <w:tr>
        <w:trPr>
          <w:trHeight w:val="170"/>
        </w:trPr>
        <w:tc>
          <w:tcPr>
            <w:tcW w:w="1660" w:type="dxa"/>
            <w:vAlign w:val="bottom"/>
            <w:gridSpan w:val="4"/>
          </w:tcPr>
          <w:p>
            <w:pPr>
              <w:spacing w:after="0"/>
              <w:rPr>
                <w:sz w:val="20"/>
                <w:szCs w:val="20"/>
                <w:color w:val="auto"/>
              </w:rPr>
            </w:pPr>
            <w:r>
              <w:rPr>
                <w:rFonts w:ascii="Courier New" w:cs="Courier New" w:eastAsia="Courier New" w:hAnsi="Courier New"/>
                <w:sz w:val="15"/>
                <w:szCs w:val="15"/>
                <w:color w:val="auto"/>
              </w:rPr>
              <w:t>14.0%,  excluding</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500" w:type="dxa"/>
            <w:vAlign w:val="bottom"/>
            <w:gridSpan w:val="3"/>
          </w:tcPr>
          <w:p>
            <w:pPr>
              <w:jc w:val="center"/>
              <w:ind w:right="7"/>
              <w:spacing w:after="0"/>
              <w:rPr>
                <w:sz w:val="20"/>
                <w:szCs w:val="20"/>
                <w:color w:val="auto"/>
              </w:rPr>
            </w:pPr>
            <w:r>
              <w:rPr>
                <w:rFonts w:ascii="Courier New" w:cs="Courier New" w:eastAsia="Courier New" w:hAnsi="Courier New"/>
                <w:sz w:val="15"/>
                <w:szCs w:val="15"/>
                <w:color w:val="auto"/>
                <w:w w:val="98"/>
              </w:rPr>
              <w:t>charge  for  the</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purchase</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of</w:t>
            </w: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in-process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research and</w:t>
            </w: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w w:val="94"/>
              </w:rPr>
              <w:t>development,</w:t>
            </w:r>
          </w:p>
        </w:tc>
        <w:tc>
          <w:tcPr>
            <w:tcW w:w="18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and</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494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7"/>
              </w:rPr>
              <w:t>1997 was 7.3%, which represents the provision of federal</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state</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rPr>
              <w:t>alternative</w:t>
            </w:r>
          </w:p>
        </w:tc>
        <w:tc>
          <w:tcPr>
            <w:tcW w:w="8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minimum</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1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after utilization</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net operating loss</w:t>
            </w:r>
          </w:p>
        </w:tc>
      </w:tr>
      <w:tr>
        <w:trPr>
          <w:trHeight w:val="170"/>
        </w:trPr>
        <w:tc>
          <w:tcPr>
            <w:tcW w:w="1220" w:type="dxa"/>
            <w:vAlign w:val="bottom"/>
            <w:gridSpan w:val="3"/>
          </w:tcPr>
          <w:p>
            <w:pPr>
              <w:spacing w:after="0"/>
              <w:rPr>
                <w:sz w:val="20"/>
                <w:szCs w:val="20"/>
                <w:color w:val="auto"/>
              </w:rPr>
            </w:pPr>
            <w:r>
              <w:rPr>
                <w:rFonts w:ascii="Courier New" w:cs="Courier New" w:eastAsia="Courier New" w:hAnsi="Courier New"/>
                <w:sz w:val="15"/>
                <w:szCs w:val="15"/>
                <w:color w:val="auto"/>
                <w:w w:val="95"/>
              </w:rPr>
              <w:t>carryforwards.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8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increase</w:t>
            </w:r>
          </w:p>
        </w:tc>
        <w:tc>
          <w:tcPr>
            <w:tcW w:w="4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in</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effective tax</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rate</w:t>
            </w: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resulted primarily from</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4720" w:type="dxa"/>
            <w:vAlign w:val="bottom"/>
            <w:gridSpan w:val="10"/>
          </w:tcPr>
          <w:p>
            <w:pPr>
              <w:ind w:left="60"/>
              <w:spacing w:after="0"/>
              <w:rPr>
                <w:sz w:val="20"/>
                <w:szCs w:val="20"/>
                <w:color w:val="auto"/>
              </w:rPr>
            </w:pPr>
            <w:r>
              <w:rPr>
                <w:rFonts w:ascii="Courier New" w:cs="Courier New" w:eastAsia="Courier New" w:hAnsi="Courier New"/>
                <w:sz w:val="15"/>
                <w:szCs w:val="15"/>
                <w:color w:val="auto"/>
                <w:w w:val="97"/>
              </w:rPr>
              <w:t>Company's expectation that it would fully utilize all</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federal net operating</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loss</w:t>
            </w:r>
          </w:p>
        </w:tc>
        <w:tc>
          <w:tcPr>
            <w:tcW w:w="1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carryforwards</w:t>
            </w:r>
          </w:p>
        </w:tc>
        <w:tc>
          <w:tcPr>
            <w:tcW w:w="12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available to</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benefit the income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tax</w:t>
            </w: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provision. No provision</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was</w:t>
            </w:r>
          </w:p>
        </w:tc>
        <w:tc>
          <w:tcPr>
            <w:tcW w:w="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recorded</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as</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Company</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incurred</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losses.</w:t>
            </w:r>
          </w:p>
        </w:tc>
      </w:tr>
    </w:tbl>
    <w:p>
      <w:pPr>
        <w:spacing w:after="0" w:line="169" w:lineRule="exact"/>
        <w:rPr>
          <w:sz w:val="20"/>
          <w:szCs w:val="20"/>
          <w:color w:val="auto"/>
        </w:rPr>
      </w:pPr>
    </w:p>
    <w:p>
      <w:pPr>
        <w:spacing w:after="0"/>
        <w:tabs>
          <w:tab w:leader="none" w:pos="940" w:val="left"/>
          <w:tab w:leader="none" w:pos="1380" w:val="left"/>
          <w:tab w:leader="none" w:pos="2180" w:val="left"/>
        </w:tabs>
        <w:rPr>
          <w:sz w:val="20"/>
          <w:szCs w:val="20"/>
          <w:color w:val="auto"/>
        </w:rPr>
      </w:pPr>
      <w:r>
        <w:rPr>
          <w:rFonts w:ascii="Courier New" w:cs="Courier New" w:eastAsia="Courier New" w:hAnsi="Courier New"/>
          <w:sz w:val="15"/>
          <w:szCs w:val="15"/>
          <w:color w:val="auto"/>
        </w:rPr>
        <w:t>LIQUIDITY</w:t>
        <w:tab/>
        <w:t>AND</w:t>
        <w:tab/>
        <w:t>CAPITAL</w:t>
      </w:r>
      <w:r>
        <w:rPr>
          <w:sz w:val="20"/>
          <w:szCs w:val="20"/>
          <w:color w:val="auto"/>
        </w:rPr>
        <w:tab/>
      </w:r>
      <w:r>
        <w:rPr>
          <w:rFonts w:ascii="Courier New" w:cs="Courier New" w:eastAsia="Courier New" w:hAnsi="Courier New"/>
          <w:sz w:val="14"/>
          <w:szCs w:val="14"/>
          <w:color w:val="auto"/>
        </w:rPr>
        <w:t>RESOURCES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As of December 31, 1998, the Company had $111.2 million in cash, cash equivalents and marketable securities, compared to $113.1 million, excluding restricted cash, as of December 31, 1997. The Company has classified all of its marketable securities as short-term, as the Company may not hold its marketable securities until maturity in order to take advantage of favorable market conditions. Available cash is invested in accordance with the Company's investment policy's primary objectives of liquidity, safety of principal and diversity of investments.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Net cash provided by operating activities was $36.2 million for the year ended December 31, 1998, compared to $18.0 million and $18.5 million for the years ended December 31, 1997 and 1996. The increase in net cash provided by operating activities in 1998 was primarily due to the increase in net income before non-cash charges and the decrease in accounts receivable, partially offset by the increase in prepaid and other assets and the decrease in deferred revenues. The decrease in net cash provided by operating activities in 1997 resulted primarily from increases in accounts receivable partially offset by the change from net loss to net income, increases in accrued and other liabilities and increases in deferred revenue due to the prepayment of database collaboration fees. Due to the significant investment in the Company's genomic sequencing, mapping and SNP discovery programs, the Company does not expect to generate positive cash flows from operations in 1999.</w:t>
      </w:r>
    </w:p>
    <w:p>
      <w:pPr>
        <w:spacing w:after="0" w:line="183"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Company's investing activities, other than purchases, sales and maturities of marketable securities, have consisted predominantly of capital expenditures and purchases of long-term investments. Capital expenditures for the years ended December 31, 1998, 1997, and 1996 were $30.7 million, $27.2 million, and $20.5 million, respectively. Capital expenditures increased in 1998 and 1997 primarily due to investments in computer and laboratory equipment as well as leasehold improvements related to the expansion of the Company's facilities. Long-term investments in companies with which the Company has research and development agreements were $7.1 million for the year ended December 31, 1998 compared to $8.5 million and $0.3 million for the years ended December 31, 1997 and 1996, respectively. In 1998, the Company paid $4.0 million, net of cash received, in connection with the purchase of Hexagen and in 1997 transferred $6.0 million to restricted cash for disbursement to diaDexus in accordance with the diaDexus joint venture agreement. In the future, net cash used by investing activities may fluctuate significantly from period to period due to the timing of strategic equity investments, capital expenditures and maturity/sales and purchases of marketable securities.</w:t>
      </w:r>
    </w:p>
    <w:p>
      <w:pPr>
        <w:spacing w:after="0" w:line="16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Net cash provided by financing activities was $4.0 million, $94.8 million, and $1.5 million for the years ended December 31, 1998, 1997, and 1996, respectively. Net cash provided by financing activities in 1997 was primarily due to proceeds from follow-on public stock offerings in August 1997, while net cash provided by financing activities in 1998 and 1996 was due to issuances of common stock upon exercise of stock options.</w:t>
      </w:r>
    </w:p>
    <w:p>
      <w:pPr>
        <w:spacing w:after="0" w:line="17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 expects its cash requirements to increase significantly in 1999 as it: invests in its genomic sequencing, mapping and SNP discovery programs; invests in data-processing-related computer hardware in order to support its existing and new database products; continues to seek access to technologies through investments, research and development alliances, license agreements and/or acquisitions; and addresses its needs for larger facilities and/or improvements in existing facilities. The Company has entered into a multi-year lease with respect to a 95,000 square foot building being constructed adjacent to the Company's Palo Alto headquarters. The Company's share of tenant improvements is estimated to be between $10.0 million and $15.0 million, of which approximately $6.8 million has been expended through December 31, 1998.</w:t>
      </w:r>
    </w:p>
    <w:p>
      <w:pPr>
        <w:spacing w:after="0" w:line="166"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Based upon its current plans, the Company believes that its existing resources and anticipated cash flow from operations will be adequate to satisfy its capital needs at least through the next twelve months. However, the Company may be unable to obtain additional collaborators or retain existing collaborators for its databases, and its products and services may not produce revenues which, together with the Company's cash, cash equivalents, and marketable securities, would be adequate to fund the Company's cash requirements. The Company's cash requirements depend on numerous factors, including the ability of the Company to attract and retain collaborators for its databases and other products and services; the cost required to complete the genomic sequencing and human genome mapping programs; expenditures in connection with alliances, license agreements and acquisitions of and investments in complementary technologies and businesses; competing technological and market developments; the cost of filing, prosecuting, defending and enforcing patent claims and other intellectual property rights; the purchase of additional capital equipment, including capital equipment necessary to ensure the Company's sequencing and microarray operations remain competitive; capital expenditures required to expand the Company's facilities; and costs associated with the integration of new operations assumed through mergers and acquisitions. Changes in the Company's research and development plans or other changes affecting the Company's operating expenses may result in changes in the timing and amount of expenditures of the Company's capital resources.</w:t>
      </w:r>
    </w:p>
    <w:p>
      <w:pPr>
        <w:spacing w:after="0" w:line="340" w:lineRule="exact"/>
        <w:rPr>
          <w:sz w:val="20"/>
          <w:szCs w:val="20"/>
          <w:color w:val="auto"/>
        </w:rPr>
      </w:pPr>
    </w:p>
    <w:p>
      <w:pPr>
        <w:ind w:left="440"/>
        <w:spacing w:after="0"/>
        <w:tabs>
          <w:tab w:leader="none" w:pos="860" w:val="left"/>
          <w:tab w:leader="none" w:pos="1640" w:val="left"/>
          <w:tab w:leader="none" w:pos="2440" w:val="left"/>
          <w:tab w:leader="none" w:pos="2800" w:val="left"/>
        </w:tabs>
        <w:rPr>
          <w:sz w:val="20"/>
          <w:szCs w:val="20"/>
          <w:color w:val="auto"/>
        </w:rPr>
      </w:pPr>
      <w:r>
        <w:rPr>
          <w:rFonts w:ascii="Courier New" w:cs="Courier New" w:eastAsia="Courier New" w:hAnsi="Courier New"/>
          <w:sz w:val="15"/>
          <w:szCs w:val="15"/>
          <w:color w:val="auto"/>
        </w:rPr>
        <w:t>The</w:t>
        <w:tab/>
        <w:t>Company</w:t>
        <w:tab/>
        <w:t>expects</w:t>
        <w:tab/>
        <w:t>to</w:t>
      </w:r>
      <w:r>
        <w:rPr>
          <w:sz w:val="20"/>
          <w:szCs w:val="20"/>
          <w:color w:val="auto"/>
        </w:rPr>
        <w:tab/>
      </w:r>
      <w:r>
        <w:rPr>
          <w:rFonts w:ascii="Courier New" w:cs="Courier New" w:eastAsia="Courier New" w:hAnsi="Courier New"/>
          <w:sz w:val="14"/>
          <w:szCs w:val="14"/>
          <w:color w:val="auto"/>
        </w:rPr>
        <w:t>continue to fund future operations with revenues</w:t>
      </w:r>
    </w:p>
    <w:p>
      <w:pPr>
        <w:sectPr>
          <w:pgSz w:w="11900" w:h="16838" w:orient="portrait"/>
          <w:cols w:equalWidth="0" w:num="1">
            <w:col w:w="10219"/>
          </w:cols>
          <w:pgMar w:left="240" w:top="452" w:right="1440" w:bottom="0" w:gutter="0" w:footer="0" w:header="0"/>
        </w:sectPr>
      </w:pPr>
    </w:p>
    <w:bookmarkStart w:id="23" w:name="page24"/>
    <w:bookmarkEnd w:id="23"/>
    <w:p>
      <w:pPr>
        <w:jc w:val="both"/>
        <w:ind w:right="3179"/>
        <w:spacing w:after="0" w:line="257" w:lineRule="auto"/>
        <w:rPr>
          <w:sz w:val="20"/>
          <w:szCs w:val="20"/>
          <w:color w:val="auto"/>
        </w:rPr>
      </w:pPr>
      <w:r>
        <w:rPr>
          <w:rFonts w:ascii="Courier New" w:cs="Courier New" w:eastAsia="Courier New" w:hAnsi="Courier New"/>
          <w:sz w:val="14"/>
          <w:szCs w:val="14"/>
          <w:color w:val="auto"/>
        </w:rPr>
        <w:t>from database products and services; with its current cash, cash equivalents, and marketable securities. Additional funding, if necessary, may not be available on favorable terms, if at all. If adequate funds are not available through the public markets and/or other sources, the Company may be required to curtail operations significantly or to obtain funds by entering into collaborative arrangements that may require the Company to relinquish rights to certain of its technologies, product candidates, products or potential markets.</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EURO</w:t>
      </w:r>
      <w:r>
        <w:rPr>
          <w:sz w:val="20"/>
          <w:szCs w:val="20"/>
          <w:color w:val="auto"/>
        </w:rPr>
        <w:tab/>
      </w:r>
      <w:r>
        <w:rPr>
          <w:rFonts w:ascii="Courier New" w:cs="Courier New" w:eastAsia="Courier New" w:hAnsi="Courier New"/>
          <w:sz w:val="14"/>
          <w:szCs w:val="14"/>
          <w:color w:val="auto"/>
        </w:rPr>
        <w:t>CONVERSION</w:t>
      </w:r>
    </w:p>
    <w:p>
      <w:pPr>
        <w:spacing w:after="0" w:line="175" w:lineRule="exact"/>
        <w:rPr>
          <w:sz w:val="20"/>
          <w:szCs w:val="20"/>
          <w:color w:val="auto"/>
        </w:rPr>
      </w:pPr>
    </w:p>
    <w:p>
      <w:pPr>
        <w:jc w:val="both"/>
        <w:ind w:right="3179" w:firstLine="431"/>
        <w:spacing w:after="0" w:line="238" w:lineRule="auto"/>
        <w:tabs>
          <w:tab w:leader="none" w:pos="70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single currency called the euro was introduced in Europe on January 1, 1999. Eleven of the fifteen member countries of the European Union agreed to adopt the euro as their common legal currency on that date. Fixed conversion rates between these participating countries' existing currencies (the "legacy currencies") and the euro were established as of that date. The legacy currencies are scheduled to remain legal tender as denominations of the euro until at least January 1, 2002, but not later than July 1, 2002. During this transition period, parties may settle transactions using either the euro or a participating country's legal currency. The Company will evaluate the impact of the euro conversion on its computer and financial systems, business processes, market risk, and price competition. The Company does not expect this conversion to have a material impact on its results of operations, financial position or cash flows.</w:t>
      </w:r>
    </w:p>
    <w:p>
      <w:pPr>
        <w:sectPr>
          <w:pgSz w:w="11900" w:h="16838" w:orient="portrait"/>
          <w:cols w:equalWidth="0" w:num="1">
            <w:col w:w="10219"/>
          </w:cols>
          <w:pgMar w:left="240" w:top="141" w:right="1440" w:bottom="1440" w:gutter="0" w:footer="0" w:header="0"/>
        </w:sectPr>
      </w:pPr>
    </w:p>
    <w:bookmarkStart w:id="24" w:name="page25"/>
    <w:bookmarkEnd w:id="24"/>
    <w:p>
      <w:pPr>
        <w:spacing w:after="0"/>
        <w:tabs>
          <w:tab w:leader="none" w:pos="500" w:val="left"/>
        </w:tabs>
        <w:rPr>
          <w:sz w:val="20"/>
          <w:szCs w:val="20"/>
          <w:color w:val="auto"/>
        </w:rPr>
      </w:pPr>
      <w:r>
        <w:rPr>
          <w:rFonts w:ascii="Courier New" w:cs="Courier New" w:eastAsia="Courier New" w:hAnsi="Courier New"/>
          <w:sz w:val="15"/>
          <w:szCs w:val="15"/>
          <w:color w:val="auto"/>
        </w:rPr>
        <w:t>YEAR</w:t>
        <w:tab/>
        <w:t>2000</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As a result of computer programs being written using two digits, rather than four, to represent year dates, the performance of the Company's computer systems and those of its suppliers and customers in the Year 2000 is uncertain. Any computer programs that have time-sensitive software may recognize a date using "00" as the year 1900 rather than the year 2000. This could result in a system failure or miscalculations causing disruptions of operations, including, among other things, a temporary inability to process transactions, send invoices, or engage in other normal business activities.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is in the process of evaluating the Year 2000 readiness of the software products sold by the Company ("Products"), the information technology systems used in its operations ("IT Systems"), and its non-IT Systems, such as building security, voice mail, and other systems. The Company currently anticipates that this project will consist of the following phases: (i) identification of all Products, IT Systems, and non-IT Systems; (ii) assessment of repair or replacement requirements; (iii) repair or replacement; (iv) testing; (v) implementation; and (vi) creation of contingency plans in the event of Year 2000 failures.</w:t>
      </w:r>
    </w:p>
    <w:p>
      <w:pPr>
        <w:spacing w:after="0" w:line="179"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 will initiate an assessment of all current versions of its Products and believes that this will be completed in the first half of 1999. Even so, whether a complete system or device in which a Product is embedded will operate correctly for an end-user depends in large part on the Year 2000 compliance of the system's other components, most of which are supplied by parties other than the Company. The supplier of the Company's current financial and accounting software has informed the Company that such software is Year 2000 compliant. The Company relies, both domestically and internationally, upon various vendors, government agencies, utility companies, telecommunications service companies, delivery service companies, and other service providers who are outside of the Company's control. There is no assurance that such parties will not suffer a Year 2000 business disruption, which could have a material adverse effect on the Company's financial condition and results of operations.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The</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relies</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for</w:t>
            </w:r>
          </w:p>
        </w:tc>
        <w:tc>
          <w:tcPr>
            <w:tcW w:w="4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its successful operation upon goods and services</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purchased</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from certain</w:t>
            </w:r>
          </w:p>
        </w:tc>
        <w:tc>
          <w:tcPr>
            <w:tcW w:w="50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vendors. If these vendors fail to adequately address the</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Year  2000</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such</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that</w:t>
            </w:r>
          </w:p>
        </w:tc>
        <w:tc>
          <w:tcPr>
            <w:tcW w:w="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their</w:t>
            </w:r>
          </w:p>
        </w:tc>
        <w:tc>
          <w:tcPr>
            <w:tcW w:w="4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delivery  of goods and services to the Company is</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materially</w:t>
            </w:r>
          </w:p>
        </w:tc>
        <w:tc>
          <w:tcPr>
            <w:tcW w:w="1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impaired,</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it</w:t>
            </w:r>
          </w:p>
        </w:tc>
        <w:tc>
          <w:tcPr>
            <w:tcW w:w="3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could have a material adverse impact on</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the Company's</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operations</w:t>
            </w:r>
          </w:p>
        </w:tc>
        <w:tc>
          <w:tcPr>
            <w:tcW w:w="498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and  financial  results.  The  Company  is  preparing</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to survey its</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w w:val="95"/>
              </w:rPr>
              <w:t>vendors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w:t>
            </w:r>
          </w:p>
        </w:tc>
        <w:tc>
          <w:tcPr>
            <w:tcW w:w="3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assess the effect the Year 2000 issue will</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have on their</w:t>
            </w:r>
          </w:p>
        </w:tc>
      </w:tr>
    </w:tbl>
    <w:p>
      <w:pPr>
        <w:spacing w:after="0" w:line="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ability to supply their goods and services without material interruption, and at this time the Company cannot determine or predict the outcome of this effort. Contingency plans will be developed and executed with respect to vendors who will not be Year 2000 ready in a timely manner where such lack of readiness is expected to have a material adverse impact on the Company's operations. However, because the Company cannot be certain that its vendors will be able to supply material goods and services without material interruption, and because the Company cannot be certain that execution of its contingency plans will be capable of implementation or result in a continuous and adequate supply of such goods and services, the Company can give no assurance that these matters will not have a material adverse effect on the Company's future consolidated financial position, results of operations, or cash flows.</w:t>
      </w:r>
    </w:p>
    <w:p>
      <w:pPr>
        <w:spacing w:after="0" w:line="16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If the Company's customers fail to achieve an adequate state of Year 2000 readiness in their own operations, or if their Year 2000 readiness efforts consume significant resources, their ability to purchase the Company's products may be impaired. This could adversely affect demand for the Company's products and, therefore, the Company's future revenues. The Company plans to develop a contingency plan for Year 2000 noncompliant customers and at this time cannot determine the impact it will have, if any.</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To date, the Company has not incurred any material expenditures in connection with identifying or evaluating Year 2000 compliance issues. Most of its expenses have related to the opportunity cost of time spent by employees of the Company evaluating its financial and accounting software, its products, and general Year 2000 compliance matters. Absent a significant Year 2000 compliance deficiency, management currently estimates that the cost to complete its Year 2000 compliance programs will be between $1.0 million and $1.5 million, approximately 8%-12% of the total 1999 IT budget, which will be expensed as incurred. The Company has not deferred any IT projects due to its efforts to ensure Year 2000 compliance. The Company believes that available cash will be sufficient to cover the projected costs associated with these activities. `</w:t>
      </w:r>
    </w:p>
    <w:p>
      <w:pPr>
        <w:spacing w:after="0" w:line="12"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 is focusing on identifying and addressing all aspects of its operations that may be affected by the Year 2000 issue and is addressing the most critical applications first. The Company intends to develop and implement, if necessary, appropriate contingency plans to mitigate to the extent possible the effects of any Year 2000 noncompliance, and expects to have such plans completed in the second half of 1999. As part of the development of a contingency plan, the Company will evaluate its worst case scenario in the event of Year 2000 noncompliance. Although the full consequences are unknown, the failure of either the Company's critical systems or those of its material third parties to be Year 2000 compliant would result in the interruption of the Company's business, which could have a material adverse effect on the Company's business, financial condition and results of operations.</w:t>
      </w:r>
    </w:p>
    <w:p>
      <w:pPr>
        <w:sectPr>
          <w:pgSz w:w="11900" w:h="16838" w:orient="portrait"/>
          <w:cols w:equalWidth="0" w:num="1">
            <w:col w:w="10219"/>
          </w:cols>
          <w:pgMar w:left="240" w:top="452" w:right="1440" w:bottom="1440" w:gutter="0" w:footer="0" w:header="0"/>
        </w:sectPr>
      </w:pPr>
    </w:p>
    <w:bookmarkStart w:id="25" w:name="page26"/>
    <w:bookmarkEnd w:id="25"/>
    <w:p>
      <w:pPr>
        <w:spacing w:after="0"/>
        <w:tabs>
          <w:tab w:leader="none" w:pos="760" w:val="left"/>
          <w:tab w:leader="none" w:pos="1300" w:val="left"/>
          <w:tab w:leader="none" w:pos="1740" w:val="left"/>
          <w:tab w:leader="none" w:pos="2440" w:val="left"/>
        </w:tabs>
        <w:rPr>
          <w:sz w:val="20"/>
          <w:szCs w:val="20"/>
          <w:color w:val="auto"/>
        </w:rPr>
      </w:pPr>
      <w:r>
        <w:rPr>
          <w:rFonts w:ascii="Courier New" w:cs="Courier New" w:eastAsia="Courier New" w:hAnsi="Courier New"/>
          <w:sz w:val="15"/>
          <w:szCs w:val="15"/>
          <w:color w:val="auto"/>
        </w:rPr>
        <w:t>FACTORS</w:t>
        <w:tab/>
        <w:t>THAT</w:t>
        <w:tab/>
        <w:t>MAY</w:t>
        <w:tab/>
        <w:t>AFFECT</w:t>
      </w:r>
      <w:r>
        <w:rPr>
          <w:sz w:val="20"/>
          <w:szCs w:val="20"/>
          <w:color w:val="auto"/>
        </w:rPr>
        <w:tab/>
      </w:r>
      <w:r>
        <w:rPr>
          <w:rFonts w:ascii="Courier New" w:cs="Courier New" w:eastAsia="Courier New" w:hAnsi="Courier New"/>
          <w:sz w:val="14"/>
          <w:szCs w:val="14"/>
          <w:color w:val="auto"/>
        </w:rPr>
        <w:t>RESULTS</w:t>
      </w:r>
    </w:p>
    <w:p>
      <w:pPr>
        <w:spacing w:after="0" w:line="175"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All references to "we," "us," "our," or the "Company" in this section mean Incyte Pharmaceuticals, Inc. and its subsidiaries, except where it is made clear that the term means only the parent company. All references to "Incyte" in this section mean Incyte Pharmaceuticals, Inc., the parent company.</w:t>
      </w:r>
    </w:p>
    <w:p>
      <w:pPr>
        <w:spacing w:after="0" w:line="163"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risks and uncertainties described below are not the only ones facing our company. Additional risks and uncertainties not presently known to us or that we currently deem immaterial may also impair our business operations.</w:t>
      </w:r>
    </w:p>
    <w:p>
      <w:pPr>
        <w:spacing w:after="0" w:line="175" w:lineRule="exact"/>
        <w:rPr>
          <w:sz w:val="20"/>
          <w:szCs w:val="20"/>
          <w:color w:val="auto"/>
        </w:rPr>
      </w:pPr>
    </w:p>
    <w:p>
      <w:pPr>
        <w:jc w:val="both"/>
        <w:ind w:right="3179" w:firstLine="441"/>
        <w:spacing w:after="0" w:line="265" w:lineRule="auto"/>
        <w:rPr>
          <w:sz w:val="20"/>
          <w:szCs w:val="20"/>
          <w:color w:val="auto"/>
        </w:rPr>
      </w:pPr>
      <w:r>
        <w:rPr>
          <w:rFonts w:ascii="Courier New" w:cs="Courier New" w:eastAsia="Courier New" w:hAnsi="Courier New"/>
          <w:sz w:val="14"/>
          <w:szCs w:val="14"/>
          <w:color w:val="auto"/>
        </w:rPr>
        <w:t>If any of the following risks actually occur, our business, financial condition and results of operations could be materially and adversely affected.</w:t>
      </w:r>
    </w:p>
    <w:p>
      <w:pPr>
        <w:spacing w:after="0" w:line="158"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WE HAVE HAD ONLY LIMITED PERIODS OF PROFITABILITY, AND WE EXPECT TO INCUR LOSSES IN THE FUTURE AND MAY NOT RETURN TO PROFITABILITY</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had net losses each year from inception in 1991 through 1996, and reported net income in 1997 and 1998. However, because of those prior year losses, we had an accumulated deficit of $28.4 million as of December 31, 1998. Because we intend to make a significant investment in the programs formerly associated with the Incyte Genetics business unit over the next 12 to 24 months, we expect to report a net loss for 1999 and possibly 2000. We may report net losses in future periods as well.</w:t>
      </w:r>
    </w:p>
    <w:p>
      <w:pPr>
        <w:spacing w:after="0" w:line="171" w:lineRule="exact"/>
        <w:rPr>
          <w:sz w:val="20"/>
          <w:szCs w:val="20"/>
          <w:color w:val="auto"/>
        </w:rPr>
      </w:pPr>
    </w:p>
    <w:p>
      <w:pPr>
        <w:ind w:left="440"/>
        <w:spacing w:after="0"/>
        <w:tabs>
          <w:tab w:leader="none" w:pos="760" w:val="left"/>
        </w:tabs>
        <w:rPr>
          <w:sz w:val="20"/>
          <w:szCs w:val="20"/>
          <w:color w:val="auto"/>
        </w:rPr>
      </w:pPr>
      <w:r>
        <w:rPr>
          <w:rFonts w:ascii="Courier New" w:cs="Courier New" w:eastAsia="Courier New" w:hAnsi="Courier New"/>
          <w:sz w:val="15"/>
          <w:szCs w:val="15"/>
          <w:color w:val="auto"/>
        </w:rPr>
        <w:t>We</w:t>
      </w:r>
      <w:r>
        <w:rPr>
          <w:sz w:val="20"/>
          <w:szCs w:val="20"/>
          <w:color w:val="auto"/>
        </w:rPr>
        <w:tab/>
      </w:r>
      <w:r>
        <w:rPr>
          <w:rFonts w:ascii="Courier New" w:cs="Courier New" w:eastAsia="Courier New" w:hAnsi="Courier New"/>
          <w:sz w:val="14"/>
          <w:szCs w:val="14"/>
          <w:color w:val="auto"/>
        </w:rPr>
        <w:t>expect that our expenditures will continue to increase, due in part to:</w:t>
      </w:r>
    </w:p>
    <w:p>
      <w:pPr>
        <w:spacing w:after="0" w:line="175" w:lineRule="exact"/>
        <w:rPr>
          <w:sz w:val="20"/>
          <w:szCs w:val="20"/>
          <w:color w:val="auto"/>
        </w:rPr>
      </w:pPr>
    </w:p>
    <w:p>
      <w:pPr>
        <w:jc w:val="both"/>
        <w:ind w:right="3179" w:firstLine="431"/>
        <w:spacing w:after="0" w:line="237" w:lineRule="auto"/>
        <w:tabs>
          <w:tab w:leader="none" w:pos="9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continued investment in new product and technology development, including the ramp-up of our genomic sequencing, mapping and SNP-discovery programs,</w:t>
      </w:r>
    </w:p>
    <w:p>
      <w:pPr>
        <w:spacing w:after="0" w:line="174" w:lineRule="exact"/>
        <w:rPr>
          <w:rFonts w:ascii="Courier New" w:cs="Courier New" w:eastAsia="Courier New" w:hAnsi="Courier New"/>
          <w:sz w:val="15"/>
          <w:szCs w:val="15"/>
          <w:color w:val="auto"/>
        </w:rPr>
      </w:pPr>
    </w:p>
    <w:p>
      <w:pPr>
        <w:ind w:right="3179" w:firstLine="431"/>
        <w:spacing w:after="0" w:line="235" w:lineRule="auto"/>
        <w:tabs>
          <w:tab w:leader="none" w:pos="9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under existing and future research and development alliances, and</w:t>
      </w:r>
    </w:p>
    <w:p>
      <w:pPr>
        <w:spacing w:after="0" w:line="175" w:lineRule="exact"/>
        <w:rPr>
          <w:rFonts w:ascii="Courier New" w:cs="Courier New" w:eastAsia="Courier New" w:hAnsi="Courier New"/>
          <w:sz w:val="15"/>
          <w:szCs w:val="15"/>
          <w:color w:val="auto"/>
        </w:rPr>
      </w:pPr>
    </w:p>
    <w:p>
      <w:pPr>
        <w:ind w:left="960" w:hanging="529"/>
        <w:spacing w:after="0"/>
        <w:tabs>
          <w:tab w:leader="none" w:pos="9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increasing  investment in marketing, sales and customer service.</w:t>
      </w:r>
    </w:p>
    <w:p>
      <w:pPr>
        <w:spacing w:after="0" w:line="175" w:lineRule="exact"/>
        <w:rPr>
          <w:sz w:val="20"/>
          <w:szCs w:val="20"/>
          <w:color w:val="auto"/>
        </w:rPr>
      </w:pPr>
    </w:p>
    <w:p>
      <w:pPr>
        <w:ind w:left="440"/>
        <w:spacing w:after="0"/>
        <w:tabs>
          <w:tab w:leader="none" w:pos="860" w:val="left"/>
          <w:tab w:leader="none" w:pos="2180" w:val="left"/>
          <w:tab w:leader="none" w:pos="2960" w:val="left"/>
          <w:tab w:leader="none" w:pos="3320" w:val="left"/>
          <w:tab w:leader="none" w:pos="3760" w:val="left"/>
          <w:tab w:leader="none" w:pos="4560" w:val="left"/>
          <w:tab w:leader="none" w:pos="4900" w:val="left"/>
          <w:tab w:leader="none" w:pos="5780" w:val="left"/>
          <w:tab w:leader="none" w:pos="6220" w:val="left"/>
        </w:tabs>
        <w:rPr>
          <w:sz w:val="20"/>
          <w:szCs w:val="20"/>
          <w:color w:val="auto"/>
        </w:rPr>
      </w:pPr>
      <w:r>
        <w:rPr>
          <w:rFonts w:ascii="Courier New" w:cs="Courier New" w:eastAsia="Courier New" w:hAnsi="Courier New"/>
          <w:sz w:val="15"/>
          <w:szCs w:val="15"/>
          <w:color w:val="auto"/>
        </w:rPr>
        <w:t>Our</w:t>
        <w:tab/>
        <w:t>profitability</w:t>
        <w:tab/>
        <w:t>depends</w:t>
        <w:tab/>
        <w:t>on</w:t>
        <w:tab/>
        <w:t>our</w:t>
        <w:tab/>
        <w:t>ability</w:t>
        <w:tab/>
        <w:t>to</w:t>
        <w:tab/>
        <w:t>increase</w:t>
        <w:tab/>
        <w:t>our</w:t>
      </w:r>
      <w:r>
        <w:rPr>
          <w:sz w:val="20"/>
          <w:szCs w:val="20"/>
          <w:color w:val="auto"/>
        </w:rPr>
        <w:tab/>
      </w:r>
      <w:r>
        <w:rPr>
          <w:rFonts w:ascii="Courier New" w:cs="Courier New" w:eastAsia="Courier New" w:hAnsi="Courier New"/>
          <w:sz w:val="14"/>
          <w:szCs w:val="14"/>
          <w:color w:val="auto"/>
        </w:rPr>
        <w:t>revenues: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TO GENERATE SIGNIFICANT REVENUES, WE MUST OBTAIN ADDITIONAL DATABASE COLLABORATORS AND RETAIN EXISTING COLLABORATORS. While we had 22 database agreements as of December 31, 1998, we may be unable to enter into any additional agreements. Our database agreements typically have a term of three years, and we cannot assure you that any will be renewed upon expiration. Our database revenues are also affected by the extent to which existing collaborators expand their agreements with us to include our new database products. Some of our database agreements require us to meet performance obligations. A database collaborator can terminate its agreement before the end of its scheduled term if we breach the agreement and fail to cure the breach within a specified period.</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REVENUES AND PROFITABILITY WILL ALSO DEPEND ON OUR ABILITY TO EXPAND OUR CUSTOMER BASE FOR MICROARRAY SERVICES. We acquired Synteni, Inc. in January 1998 primarily for this purpose. Synteni's contribution to our operating results will depend on whether we can obtain high-volume customers for microarray services and the costs associated with increasing our microarray production capacity. Before we acquired Synteni, its microarray service agreements consisted of small volume pilot or feasibility agreements.</w:t>
      </w:r>
    </w:p>
    <w:p>
      <w:pPr>
        <w:sectPr>
          <w:pgSz w:w="11900" w:h="16838" w:orient="portrait"/>
          <w:cols w:equalWidth="0" w:num="1">
            <w:col w:w="10219"/>
          </w:cols>
          <w:pgMar w:left="240" w:top="452" w:right="1440" w:bottom="1440" w:gutter="0" w:footer="0" w:header="0"/>
        </w:sectPr>
      </w:pPr>
    </w:p>
    <w:bookmarkStart w:id="26" w:name="page27"/>
    <w:bookmarkEnd w:id="26"/>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DO NOT EXPECT MILESTONE OR ROYALTY PAYMENTS TO CONTRIBUTE TO REVENUES FOR A SUBSTANTIAL PERIOD OF TIME. Part of our strategy is to license to database collaborators our know how and patent rights associated with the gene sequences and related information in our proprietary databases, for use in the discovery and development of potential pharmaceutical, diagnostic or other products. Any potential product that is the subject of such a license will require several years of further development, clinical testing and regulatory approval before commercialization. Accordingly, we do not expect to receive any milestone or royalty payments from any of these licenses for a substantial period of time, if at all.</w:t>
      </w:r>
    </w:p>
    <w:p>
      <w:pPr>
        <w:spacing w:after="0" w:line="174" w:lineRule="exact"/>
        <w:rPr>
          <w:sz w:val="20"/>
          <w:szCs w:val="20"/>
          <w:color w:val="auto"/>
        </w:rPr>
      </w:pPr>
    </w:p>
    <w:p>
      <w:pPr>
        <w:spacing w:after="0"/>
        <w:tabs>
          <w:tab w:leader="none" w:pos="420" w:val="left"/>
          <w:tab w:leader="none" w:pos="1380" w:val="left"/>
          <w:tab w:leader="none" w:pos="2180" w:val="left"/>
          <w:tab w:leader="none" w:pos="2620" w:val="left"/>
          <w:tab w:leader="none" w:pos="3580" w:val="left"/>
        </w:tabs>
        <w:rPr>
          <w:sz w:val="20"/>
          <w:szCs w:val="20"/>
          <w:color w:val="auto"/>
        </w:rPr>
      </w:pPr>
      <w:r>
        <w:rPr>
          <w:rFonts w:ascii="Courier New" w:cs="Courier New" w:eastAsia="Courier New" w:hAnsi="Courier New"/>
          <w:sz w:val="15"/>
          <w:szCs w:val="15"/>
          <w:color w:val="auto"/>
        </w:rPr>
        <w:t>OUR</w:t>
        <w:tab/>
        <w:t>OPERATING</w:t>
        <w:tab/>
        <w:t>RESULTS</w:t>
        <w:tab/>
        <w:t>MAY</w:t>
        <w:tab/>
        <w:t>FLUCTUATE</w:t>
      </w:r>
      <w:r>
        <w:rPr>
          <w:sz w:val="20"/>
          <w:szCs w:val="20"/>
          <w:color w:val="auto"/>
        </w:rPr>
        <w:tab/>
      </w:r>
      <w:r>
        <w:rPr>
          <w:rFonts w:ascii="Courier New" w:cs="Courier New" w:eastAsia="Courier New" w:hAnsi="Courier New"/>
          <w:sz w:val="14"/>
          <w:szCs w:val="14"/>
          <w:color w:val="auto"/>
        </w:rPr>
        <w:t>SIGNIFICANTLY</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Our operating results are unpredictable and may fluctuate significantly from period to period due to a variety of factors, including:</w:t>
      </w:r>
    </w:p>
    <w:p>
      <w:pPr>
        <w:spacing w:after="0" w:line="170" w:lineRule="exact"/>
        <w:rPr>
          <w:sz w:val="20"/>
          <w:szCs w:val="20"/>
          <w:color w:val="auto"/>
        </w:rPr>
      </w:pPr>
    </w:p>
    <w:p>
      <w:pPr>
        <w:ind w:left="440"/>
        <w:spacing w:after="0"/>
        <w:tabs>
          <w:tab w:leader="none" w:pos="940" w:val="left"/>
          <w:tab w:leader="none" w:pos="1740" w:val="left"/>
          <w:tab w:leader="none" w:pos="2080" w:val="left"/>
          <w:tab w:leader="none" w:pos="2520" w:val="left"/>
          <w:tab w:leader="none" w:pos="3240" w:val="left"/>
          <w:tab w:leader="none" w:pos="3680" w:val="left"/>
          <w:tab w:leader="none" w:pos="4120" w:val="left"/>
          <w:tab w:leader="none" w:pos="5000" w:val="left"/>
          <w:tab w:leader="none" w:pos="5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changes</w:t>
        <w:tab/>
        <w:t>in</w:t>
        <w:tab/>
        <w:t>the</w:t>
        <w:tab/>
        <w:t>demand</w:t>
        <w:tab/>
        <w:t>for</w:t>
        <w:tab/>
        <w:t>our</w:t>
        <w:tab/>
        <w:t>products</w:t>
        <w:tab/>
        <w:t>and</w:t>
      </w:r>
      <w:r>
        <w:rPr>
          <w:sz w:val="20"/>
          <w:szCs w:val="20"/>
          <w:color w:val="auto"/>
        </w:rPr>
        <w:tab/>
      </w:r>
      <w:r>
        <w:rPr>
          <w:rFonts w:ascii="Courier New" w:cs="Courier New" w:eastAsia="Courier New" w:hAnsi="Courier New"/>
          <w:sz w:val="14"/>
          <w:szCs w:val="14"/>
          <w:color w:val="auto"/>
        </w:rPr>
        <w:t>services;</w:t>
      </w:r>
    </w:p>
    <w:p>
      <w:pPr>
        <w:spacing w:after="0" w:line="169" w:lineRule="exact"/>
        <w:rPr>
          <w:sz w:val="20"/>
          <w:szCs w:val="20"/>
          <w:color w:val="auto"/>
        </w:rPr>
      </w:pPr>
    </w:p>
    <w:p>
      <w:pPr>
        <w:ind w:left="440"/>
        <w:spacing w:after="0"/>
        <w:tabs>
          <w:tab w:leader="none" w:pos="940" w:val="left"/>
          <w:tab w:leader="none" w:pos="1380" w:val="left"/>
          <w:tab w:leader="none" w:pos="2620" w:val="left"/>
          <w:tab w:leader="none" w:pos="2960" w:val="left"/>
          <w:tab w:leader="none" w:pos="4120" w:val="left"/>
          <w:tab w:leader="none" w:pos="5080" w:val="left"/>
          <w:tab w:leader="none" w:pos="5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the</w:t>
        <w:tab/>
        <w:t>introduction</w:t>
        <w:tab/>
        <w:t>of</w:t>
        <w:tab/>
        <w:t>competitive</w:t>
        <w:tab/>
        <w:t>databases</w:t>
        <w:tab/>
        <w:t>or</w:t>
      </w:r>
      <w:r>
        <w:rPr>
          <w:sz w:val="20"/>
          <w:szCs w:val="20"/>
          <w:color w:val="auto"/>
        </w:rPr>
        <w:tab/>
      </w:r>
      <w:r>
        <w:rPr>
          <w:rFonts w:ascii="Courier New" w:cs="Courier New" w:eastAsia="Courier New" w:hAnsi="Courier New"/>
          <w:sz w:val="14"/>
          <w:szCs w:val="14"/>
          <w:color w:val="auto"/>
        </w:rPr>
        <w:t>services;</w:t>
      </w:r>
    </w:p>
    <w:p>
      <w:pPr>
        <w:spacing w:after="0" w:line="169" w:lineRule="exact"/>
        <w:rPr>
          <w:sz w:val="20"/>
          <w:szCs w:val="20"/>
          <w:color w:val="auto"/>
        </w:rPr>
      </w:pPr>
    </w:p>
    <w:p>
      <w:pPr>
        <w:ind w:left="440"/>
        <w:spacing w:after="0"/>
        <w:tabs>
          <w:tab w:leader="none" w:pos="940" w:val="left"/>
          <w:tab w:leader="none" w:pos="1380" w:val="left"/>
          <w:tab w:leader="none" w:pos="2180" w:val="left"/>
          <w:tab w:leader="none" w:pos="2520" w:val="left"/>
          <w:tab w:leader="none" w:pos="3240" w:val="left"/>
          <w:tab w:leader="none" w:pos="3580" w:val="left"/>
          <w:tab w:leader="none" w:pos="4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the</w:t>
        <w:tab/>
        <w:t>pricing</w:t>
        <w:tab/>
        <w:t>of</w:t>
        <w:tab/>
        <w:t>access</w:t>
        <w:tab/>
        <w:t>to</w:t>
        <w:tab/>
        <w:t>our</w:t>
      </w:r>
      <w:r>
        <w:rPr>
          <w:sz w:val="20"/>
          <w:szCs w:val="20"/>
          <w:color w:val="auto"/>
        </w:rPr>
        <w:tab/>
      </w:r>
      <w:r>
        <w:rPr>
          <w:rFonts w:ascii="Courier New" w:cs="Courier New" w:eastAsia="Courier New" w:hAnsi="Courier New"/>
          <w:sz w:val="14"/>
          <w:szCs w:val="14"/>
          <w:color w:val="auto"/>
        </w:rPr>
        <w:t>databases;</w:t>
      </w:r>
    </w:p>
    <w:p>
      <w:pPr>
        <w:spacing w:after="0" w:line="175" w:lineRule="exact"/>
        <w:rPr>
          <w:sz w:val="20"/>
          <w:szCs w:val="20"/>
          <w:color w:val="auto"/>
        </w:rPr>
      </w:pPr>
    </w:p>
    <w:p>
      <w:pPr>
        <w:ind w:left="960" w:hanging="529"/>
        <w:spacing w:after="0"/>
        <w:tabs>
          <w:tab w:leader="none" w:pos="9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nature,  pricing  and  timing  of  other  products  and services</w:t>
      </w:r>
    </w:p>
    <w:p>
      <w:pPr>
        <w:spacing w:after="0" w:line="5" w:lineRule="exact"/>
        <w:rPr>
          <w:sz w:val="20"/>
          <w:szCs w:val="20"/>
          <w:color w:val="auto"/>
        </w:rPr>
      </w:pPr>
    </w:p>
    <w:p>
      <w:pPr>
        <w:spacing w:after="0"/>
        <w:tabs>
          <w:tab w:leader="none" w:pos="860" w:val="left"/>
          <w:tab w:leader="none" w:pos="1200" w:val="left"/>
          <w:tab w:leader="none" w:pos="1640" w:val="left"/>
        </w:tabs>
        <w:rPr>
          <w:sz w:val="20"/>
          <w:szCs w:val="20"/>
          <w:color w:val="auto"/>
        </w:rPr>
      </w:pPr>
      <w:r>
        <w:rPr>
          <w:rFonts w:ascii="Courier New" w:cs="Courier New" w:eastAsia="Courier New" w:hAnsi="Courier New"/>
          <w:sz w:val="15"/>
          <w:szCs w:val="15"/>
          <w:color w:val="auto"/>
        </w:rPr>
        <w:t>provided</w:t>
        <w:tab/>
        <w:t>to</w:t>
        <w:tab/>
        <w:t>our</w:t>
      </w:r>
      <w:r>
        <w:rPr>
          <w:sz w:val="20"/>
          <w:szCs w:val="20"/>
          <w:color w:val="auto"/>
        </w:rPr>
        <w:tab/>
      </w:r>
      <w:r>
        <w:rPr>
          <w:rFonts w:ascii="Courier New" w:cs="Courier New" w:eastAsia="Courier New" w:hAnsi="Courier New"/>
          <w:sz w:val="14"/>
          <w:szCs w:val="14"/>
          <w:color w:val="auto"/>
        </w:rPr>
        <w:t>collaborators;</w:t>
      </w:r>
    </w:p>
    <w:p>
      <w:pPr>
        <w:spacing w:after="0" w:line="175" w:lineRule="exact"/>
        <w:rPr>
          <w:sz w:val="20"/>
          <w:szCs w:val="20"/>
          <w:color w:val="auto"/>
        </w:rPr>
      </w:pPr>
    </w:p>
    <w:p>
      <w:pPr>
        <w:ind w:left="960" w:hanging="529"/>
        <w:spacing w:after="0"/>
        <w:tabs>
          <w:tab w:leader="none" w:pos="9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research and development budgets of our collaborators</w:t>
      </w:r>
    </w:p>
    <w:p>
      <w:pPr>
        <w:spacing w:after="0" w:line="5" w:lineRule="exact"/>
        <w:rPr>
          <w:sz w:val="20"/>
          <w:szCs w:val="20"/>
          <w:color w:val="auto"/>
        </w:rPr>
      </w:pPr>
    </w:p>
    <w:p>
      <w:pPr>
        <w:spacing w:after="0"/>
        <w:tabs>
          <w:tab w:leader="none" w:pos="420" w:val="left"/>
          <w:tab w:leader="none" w:pos="1380" w:val="left"/>
        </w:tabs>
        <w:rPr>
          <w:sz w:val="20"/>
          <w:szCs w:val="20"/>
          <w:color w:val="auto"/>
        </w:rPr>
      </w:pPr>
      <w:r>
        <w:rPr>
          <w:rFonts w:ascii="Courier New" w:cs="Courier New" w:eastAsia="Courier New" w:hAnsi="Courier New"/>
          <w:sz w:val="15"/>
          <w:szCs w:val="15"/>
          <w:color w:val="auto"/>
        </w:rPr>
        <w:t>and</w:t>
        <w:tab/>
        <w:t>potential</w:t>
      </w:r>
      <w:r>
        <w:rPr>
          <w:sz w:val="20"/>
          <w:szCs w:val="20"/>
          <w:color w:val="auto"/>
        </w:rPr>
        <w:tab/>
      </w:r>
      <w:r>
        <w:rPr>
          <w:rFonts w:ascii="Courier New" w:cs="Courier New" w:eastAsia="Courier New" w:hAnsi="Courier New"/>
          <w:sz w:val="14"/>
          <w:szCs w:val="14"/>
          <w:color w:val="auto"/>
        </w:rPr>
        <w:t>collaborators;</w:t>
      </w:r>
    </w:p>
    <w:p>
      <w:pPr>
        <w:spacing w:after="0" w:line="169" w:lineRule="exact"/>
        <w:rPr>
          <w:sz w:val="20"/>
          <w:szCs w:val="20"/>
          <w:color w:val="auto"/>
        </w:rPr>
      </w:pPr>
    </w:p>
    <w:p>
      <w:pPr>
        <w:ind w:left="440"/>
        <w:spacing w:after="0"/>
        <w:tabs>
          <w:tab w:leader="none" w:pos="940" w:val="left"/>
          <w:tab w:leader="none" w:pos="2180" w:val="left"/>
          <w:tab w:leader="none" w:pos="2960" w:val="left"/>
          <w:tab w:leader="none" w:pos="3500" w:val="left"/>
          <w:tab w:leader="none" w:pos="4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depreciation</w:t>
        <w:tab/>
        <w:t>expense</w:t>
        <w:tab/>
        <w:t>from</w:t>
        <w:tab/>
        <w:t>capital</w:t>
      </w:r>
      <w:r>
        <w:rPr>
          <w:sz w:val="20"/>
          <w:szCs w:val="20"/>
          <w:color w:val="auto"/>
        </w:rPr>
        <w:tab/>
      </w:r>
      <w:r>
        <w:rPr>
          <w:rFonts w:ascii="Courier New" w:cs="Courier New" w:eastAsia="Courier New" w:hAnsi="Courier New"/>
          <w:sz w:val="14"/>
          <w:szCs w:val="14"/>
          <w:color w:val="auto"/>
        </w:rPr>
        <w:t>expenditures;</w:t>
      </w:r>
    </w:p>
    <w:p>
      <w:pPr>
        <w:spacing w:after="0" w:line="175" w:lineRule="exact"/>
        <w:rPr>
          <w:sz w:val="20"/>
          <w:szCs w:val="20"/>
          <w:color w:val="auto"/>
        </w:rPr>
      </w:pPr>
    </w:p>
    <w:p>
      <w:pPr>
        <w:jc w:val="both"/>
        <w:ind w:right="3179" w:firstLine="431"/>
        <w:spacing w:after="0" w:line="235" w:lineRule="auto"/>
        <w:tabs>
          <w:tab w:leader="none" w:pos="9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licensing and other costs related to the expansion of our operations, including operating losses of acquired businesses such as</w:t>
      </w:r>
    </w:p>
    <w:p>
      <w:pPr>
        <w:spacing w:after="0" w:line="1" w:lineRule="exact"/>
        <w:rPr>
          <w:sz w:val="20"/>
          <w:szCs w:val="20"/>
          <w:color w:val="auto"/>
        </w:rPr>
      </w:pPr>
    </w:p>
    <w:p>
      <w:pPr>
        <w:spacing w:after="0"/>
        <w:tabs>
          <w:tab w:leader="none" w:pos="760" w:val="left"/>
          <w:tab w:leader="none" w:pos="1200" w:val="left"/>
          <w:tab w:leader="none" w:pos="2000" w:val="left"/>
        </w:tabs>
        <w:rPr>
          <w:sz w:val="20"/>
          <w:szCs w:val="20"/>
          <w:color w:val="auto"/>
        </w:rPr>
      </w:pPr>
      <w:r>
        <w:rPr>
          <w:rFonts w:ascii="Courier New" w:cs="Courier New" w:eastAsia="Courier New" w:hAnsi="Courier New"/>
          <w:sz w:val="15"/>
          <w:szCs w:val="15"/>
          <w:color w:val="auto"/>
        </w:rPr>
        <w:t>Synteni</w:t>
        <w:tab/>
        <w:t>and</w:t>
        <w:tab/>
        <w:t>Hexagen</w:t>
      </w:r>
      <w:r>
        <w:rPr>
          <w:sz w:val="20"/>
          <w:szCs w:val="20"/>
          <w:color w:val="auto"/>
        </w:rPr>
        <w:tab/>
      </w:r>
      <w:r>
        <w:rPr>
          <w:rFonts w:ascii="Courier New" w:cs="Courier New" w:eastAsia="Courier New" w:hAnsi="Courier New"/>
          <w:sz w:val="14"/>
          <w:szCs w:val="14"/>
          <w:color w:val="auto"/>
        </w:rPr>
        <w:t>Limited;</w:t>
      </w:r>
    </w:p>
    <w:p>
      <w:pPr>
        <w:spacing w:after="0" w:line="175" w:lineRule="exact"/>
        <w:rPr>
          <w:sz w:val="20"/>
          <w:szCs w:val="20"/>
          <w:color w:val="auto"/>
        </w:rPr>
      </w:pPr>
    </w:p>
    <w:p>
      <w:pPr>
        <w:jc w:val="both"/>
        <w:ind w:right="3179" w:firstLine="431"/>
        <w:spacing w:after="0" w:line="235" w:lineRule="auto"/>
        <w:tabs>
          <w:tab w:leader="none" w:pos="9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losses and expenses related to our investments in joint ventures and businesses, including our proportionate share of operating losses of our</w:t>
      </w:r>
    </w:p>
    <w:p>
      <w:pPr>
        <w:spacing w:after="0" w:line="1" w:lineRule="exact"/>
        <w:rPr>
          <w:sz w:val="20"/>
          <w:szCs w:val="20"/>
          <w:color w:val="auto"/>
        </w:rPr>
      </w:pPr>
    </w:p>
    <w:p>
      <w:pPr>
        <w:spacing w:after="0"/>
        <w:tabs>
          <w:tab w:leader="none" w:pos="940" w:val="left"/>
          <w:tab w:leader="none" w:pos="1460" w:val="left"/>
          <w:tab w:leader="none" w:pos="2080" w:val="left"/>
          <w:tab w:leader="none" w:pos="2880" w:val="left"/>
          <w:tab w:leader="none" w:pos="3400" w:val="left"/>
          <w:tab w:leader="none" w:pos="4460" w:val="left"/>
          <w:tab w:leader="none" w:pos="5260" w:val="left"/>
        </w:tabs>
        <w:rPr>
          <w:sz w:val="20"/>
          <w:szCs w:val="20"/>
          <w:color w:val="auto"/>
        </w:rPr>
      </w:pPr>
      <w:r>
        <w:rPr>
          <w:rFonts w:ascii="Courier New" w:cs="Courier New" w:eastAsia="Courier New" w:hAnsi="Courier New"/>
          <w:sz w:val="15"/>
          <w:szCs w:val="15"/>
          <w:color w:val="auto"/>
        </w:rPr>
        <w:t>diaDexus,</w:t>
        <w:tab/>
        <w:t>LLC,</w:t>
        <w:tab/>
        <w:t>joint</w:t>
        <w:tab/>
        <w:t>venture</w:t>
        <w:tab/>
        <w:t>with</w:t>
        <w:tab/>
        <w:t>SmithKline</w:t>
        <w:tab/>
        <w:t>Beecham</w:t>
      </w:r>
      <w:r>
        <w:rPr>
          <w:sz w:val="20"/>
          <w:szCs w:val="20"/>
          <w:color w:val="auto"/>
        </w:rPr>
        <w:tab/>
      </w:r>
      <w:r>
        <w:rPr>
          <w:rFonts w:ascii="Courier New" w:cs="Courier New" w:eastAsia="Courier New" w:hAnsi="Courier New"/>
          <w:sz w:val="14"/>
          <w:szCs w:val="14"/>
          <w:color w:val="auto"/>
        </w:rPr>
        <w:t>Corporation;</w:t>
      </w:r>
    </w:p>
    <w:p>
      <w:pPr>
        <w:spacing w:after="0" w:line="175" w:lineRule="exact"/>
        <w:rPr>
          <w:sz w:val="20"/>
          <w:szCs w:val="20"/>
          <w:color w:val="auto"/>
        </w:rPr>
      </w:pPr>
    </w:p>
    <w:p>
      <w:pPr>
        <w:ind w:left="960" w:hanging="529"/>
        <w:spacing w:after="0"/>
        <w:tabs>
          <w:tab w:leader="none" w:pos="9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milestones, license fees or research payments under the</w:t>
      </w:r>
    </w:p>
    <w:p>
      <w:pPr>
        <w:spacing w:after="0" w:line="5" w:lineRule="exact"/>
        <w:rPr>
          <w:sz w:val="20"/>
          <w:szCs w:val="20"/>
          <w:color w:val="auto"/>
        </w:rPr>
      </w:pPr>
    </w:p>
    <w:p>
      <w:pPr>
        <w:spacing w:after="0"/>
        <w:tabs>
          <w:tab w:leader="none" w:pos="580" w:val="left"/>
          <w:tab w:leader="none" w:pos="940" w:val="left"/>
          <w:tab w:leader="none" w:pos="1380" w:val="left"/>
          <w:tab w:leader="none" w:pos="2440" w:val="left"/>
          <w:tab w:leader="none" w:pos="3140" w:val="left"/>
          <w:tab w:leader="none" w:pos="3500" w:val="left"/>
          <w:tab w:leader="none" w:pos="4380" w:val="left"/>
          <w:tab w:leader="none" w:pos="5440" w:val="left"/>
        </w:tabs>
        <w:rPr>
          <w:sz w:val="20"/>
          <w:szCs w:val="20"/>
          <w:color w:val="auto"/>
        </w:rPr>
      </w:pPr>
      <w:r>
        <w:rPr>
          <w:rFonts w:ascii="Courier New" w:cs="Courier New" w:eastAsia="Courier New" w:hAnsi="Courier New"/>
          <w:sz w:val="15"/>
          <w:szCs w:val="15"/>
          <w:color w:val="auto"/>
        </w:rPr>
        <w:t>terms</w:t>
        <w:tab/>
        <w:t>of</w:t>
        <w:tab/>
        <w:t>our</w:t>
        <w:tab/>
        <w:t>increasing</w:t>
        <w:tab/>
        <w:t>number</w:t>
        <w:tab/>
        <w:t>of</w:t>
        <w:tab/>
        <w:t>external</w:t>
        <w:tab/>
        <w:t>alliances;</w:t>
      </w:r>
      <w:r>
        <w:rPr>
          <w:sz w:val="20"/>
          <w:szCs w:val="20"/>
          <w:color w:val="auto"/>
        </w:rPr>
        <w:tab/>
      </w:r>
      <w:r>
        <w:rPr>
          <w:rFonts w:ascii="Courier New" w:cs="Courier New" w:eastAsia="Courier New" w:hAnsi="Courier New"/>
          <w:sz w:val="14"/>
          <w:szCs w:val="14"/>
          <w:color w:val="auto"/>
        </w:rPr>
        <w:t>and</w:t>
      </w:r>
    </w:p>
    <w:p>
      <w:pPr>
        <w:spacing w:after="0" w:line="175" w:lineRule="exact"/>
        <w:rPr>
          <w:sz w:val="20"/>
          <w:szCs w:val="20"/>
          <w:color w:val="auto"/>
        </w:rPr>
      </w:pPr>
    </w:p>
    <w:p>
      <w:pPr>
        <w:jc w:val="both"/>
        <w:ind w:right="3179" w:firstLine="431"/>
        <w:spacing w:after="0" w:line="235" w:lineRule="auto"/>
        <w:tabs>
          <w:tab w:leader="none" w:pos="97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related to, and the results of, litigation and other proceedings relating to intellectual property rights (including the lawsuits</w:t>
      </w:r>
    </w:p>
    <w:p>
      <w:pPr>
        <w:spacing w:after="0" w:line="1" w:lineRule="exact"/>
        <w:rPr>
          <w:sz w:val="20"/>
          <w:szCs w:val="20"/>
          <w:color w:val="auto"/>
        </w:rPr>
      </w:pPr>
    </w:p>
    <w:p>
      <w:pPr>
        <w:spacing w:after="0"/>
        <w:tabs>
          <w:tab w:leader="none" w:pos="580" w:val="left"/>
          <w:tab w:leader="none" w:pos="940" w:val="left"/>
          <w:tab w:leader="none" w:pos="2080" w:val="left"/>
          <w:tab w:leader="none" w:pos="2620" w:val="left"/>
          <w:tab w:leader="none" w:pos="3580" w:val="left"/>
        </w:tabs>
        <w:rPr>
          <w:sz w:val="20"/>
          <w:szCs w:val="20"/>
          <w:color w:val="auto"/>
        </w:rPr>
      </w:pPr>
      <w:r>
        <w:rPr>
          <w:rFonts w:ascii="Courier New" w:cs="Courier New" w:eastAsia="Courier New" w:hAnsi="Courier New"/>
          <w:sz w:val="15"/>
          <w:szCs w:val="15"/>
          <w:color w:val="auto"/>
        </w:rPr>
        <w:t>filed</w:t>
        <w:tab/>
        <w:t>by</w:t>
        <w:tab/>
        <w:t>Affymetrix,</w:t>
        <w:tab/>
        <w:t>Inc.</w:t>
        <w:tab/>
        <w:t>described</w:t>
      </w:r>
      <w:r>
        <w:rPr>
          <w:sz w:val="20"/>
          <w:szCs w:val="20"/>
          <w:color w:val="auto"/>
        </w:rPr>
        <w:tab/>
      </w:r>
      <w:r>
        <w:rPr>
          <w:rFonts w:ascii="Courier New" w:cs="Courier New" w:eastAsia="Courier New" w:hAnsi="Courier New"/>
          <w:sz w:val="14"/>
          <w:szCs w:val="14"/>
          <w:color w:val="auto"/>
        </w:rPr>
        <w:t>below).</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In particular, revenues from our database business are unpredictable because:</w:t>
      </w:r>
    </w:p>
    <w:p>
      <w:pPr>
        <w:spacing w:after="0" w:line="176" w:lineRule="exact"/>
        <w:rPr>
          <w:sz w:val="20"/>
          <w:szCs w:val="20"/>
          <w:color w:val="auto"/>
        </w:rPr>
      </w:pPr>
    </w:p>
    <w:p>
      <w:pPr>
        <w:ind w:right="3179" w:firstLine="431"/>
        <w:spacing w:after="0" w:line="235" w:lineRule="auto"/>
        <w:tabs>
          <w:tab w:leader="none" w:pos="9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our database installations is determined by our collaborators,</w:t>
      </w:r>
    </w:p>
    <w:p>
      <w:pPr>
        <w:spacing w:after="0" w:line="170" w:lineRule="exact"/>
        <w:rPr>
          <w:sz w:val="20"/>
          <w:szCs w:val="20"/>
          <w:color w:val="auto"/>
        </w:rPr>
      </w:pPr>
    </w:p>
    <w:p>
      <w:pPr>
        <w:ind w:left="440"/>
        <w:spacing w:after="0"/>
        <w:tabs>
          <w:tab w:leader="none" w:pos="940" w:val="left"/>
          <w:tab w:leader="none" w:pos="1380" w:val="left"/>
          <w:tab w:leader="none" w:pos="2000" w:val="left"/>
          <w:tab w:leader="none" w:pos="2620" w:val="left"/>
          <w:tab w:leader="none" w:pos="3060" w:val="left"/>
          <w:tab w:leader="none" w:pos="3500" w:val="left"/>
          <w:tab w:leader="none" w:pos="4380" w:val="left"/>
          <w:tab w:leader="none" w:pos="5260" w:val="left"/>
          <w:tab w:leader="none" w:pos="5620" w:val="left"/>
          <w:tab w:leader="none" w:pos="6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the</w:t>
        <w:tab/>
        <w:t>sales</w:t>
        <w:tab/>
        <w:t>cycle</w:t>
        <w:tab/>
        <w:t>for</w:t>
        <w:tab/>
        <w:t>our</w:t>
        <w:tab/>
        <w:t>database</w:t>
        <w:tab/>
        <w:t>products</w:t>
        <w:tab/>
        <w:t>is</w:t>
        <w:tab/>
        <w:t>lengthy,</w:t>
      </w:r>
      <w:r>
        <w:rPr>
          <w:sz w:val="20"/>
          <w:szCs w:val="20"/>
          <w:color w:val="auto"/>
        </w:rPr>
        <w:tab/>
      </w:r>
      <w:r>
        <w:rPr>
          <w:rFonts w:ascii="Courier New" w:cs="Courier New" w:eastAsia="Courier New" w:hAnsi="Courier New"/>
          <w:sz w:val="14"/>
          <w:szCs w:val="14"/>
          <w:color w:val="auto"/>
        </w:rPr>
        <w:t>and</w:t>
      </w:r>
    </w:p>
    <w:p>
      <w:pPr>
        <w:spacing w:after="0" w:line="175" w:lineRule="exact"/>
        <w:rPr>
          <w:sz w:val="20"/>
          <w:szCs w:val="20"/>
          <w:color w:val="auto"/>
        </w:rPr>
      </w:pPr>
    </w:p>
    <w:p>
      <w:pPr>
        <w:ind w:left="960" w:hanging="529"/>
        <w:spacing w:after="0"/>
        <w:tabs>
          <w:tab w:leader="none" w:pos="9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time  required to complete custom orders can vary significantly.</w:t>
      </w:r>
    </w:p>
    <w:p>
      <w:pPr>
        <w:spacing w:after="0" w:line="180"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expect our microarray services to represent an increasing amount of our revenues. Revenues from these sources depend on volume of usage by our collaborators, and can therefore fluctuate significantly.</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are investing in a number of new areas to try to broaden our business. These areas include genomic sequencing and mapping, SNP discovery, molecular diagnostics, and proteomics, or the large scale, high-throughput analysis of protein expression. Because many of these address new markets or involve untested technologies, they may not generate any revenues or provide an adequate return on our investment. In these cases, we may have to recognize expenses or losses.</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have significant fixed expenses, due in part to our need to continue to invest in product development and extensive support for our database collaborators. We may be unable to adjust our expenditures if revenues in a particular period fail to meet our expectations, which would adversely affect our operating results for that period. Forecasting operating and integration expenses for acquired businesses may be particularly difficult, especially where the acquired business focuses on technologies that do not have an established market.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ind w:left="440"/>
              <w:spacing w:after="0"/>
              <w:rPr>
                <w:sz w:val="20"/>
                <w:szCs w:val="20"/>
                <w:color w:val="auto"/>
              </w:rPr>
            </w:pPr>
            <w:r>
              <w:rPr>
                <w:rFonts w:ascii="Courier New" w:cs="Courier New" w:eastAsia="Courier New" w:hAnsi="Courier New"/>
                <w:sz w:val="15"/>
                <w:szCs w:val="15"/>
                <w:color w:val="auto"/>
                <w:w w:val="77"/>
              </w:rPr>
              <w:t>We</w:t>
            </w:r>
          </w:p>
        </w:tc>
        <w:tc>
          <w:tcPr>
            <w:tcW w:w="27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believe that period-to-period</w:t>
            </w:r>
          </w:p>
        </w:tc>
        <w:tc>
          <w:tcPr>
            <w:tcW w:w="36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comparisons of our financial results will</w:t>
            </w:r>
          </w:p>
        </w:tc>
      </w:tr>
      <w:tr>
        <w:trPr>
          <w:trHeight w:val="170"/>
        </w:trPr>
        <w:tc>
          <w:tcPr>
            <w:tcW w:w="1400" w:type="dxa"/>
            <w:vAlign w:val="bottom"/>
            <w:gridSpan w:val="3"/>
          </w:tcPr>
          <w:p>
            <w:pPr>
              <w:spacing w:after="0"/>
              <w:rPr>
                <w:sz w:val="20"/>
                <w:szCs w:val="20"/>
                <w:color w:val="auto"/>
              </w:rPr>
            </w:pPr>
            <w:r>
              <w:rPr>
                <w:rFonts w:ascii="Courier New" w:cs="Courier New" w:eastAsia="Courier New" w:hAnsi="Courier New"/>
                <w:sz w:val="15"/>
                <w:szCs w:val="15"/>
                <w:color w:val="auto"/>
                <w:w w:val="95"/>
              </w:rPr>
              <w:t>not  necessarily</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be</w:t>
            </w: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meaningful. You should</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not</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w w:val="98"/>
              </w:rPr>
              <w:t>rely on these comparisons as an</w:t>
            </w: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indication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our</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future</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performance. If</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our</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w w:val="98"/>
              </w:rPr>
              <w:t>operating results in any future</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fall</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below</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expectations</w:t>
            </w:r>
          </w:p>
        </w:tc>
        <w:tc>
          <w:tcPr>
            <w:tcW w:w="36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of securities analysts and investors, our</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price</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will</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likely</w:t>
            </w:r>
          </w:p>
        </w:tc>
        <w:tc>
          <w:tcPr>
            <w:tcW w:w="15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fall,  possibly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278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9"/>
              </w:rPr>
              <w:t>a  significant  amount.</w:t>
            </w:r>
          </w:p>
        </w:tc>
      </w:tr>
    </w:tbl>
    <w:p>
      <w:pPr>
        <w:spacing w:after="0" w:line="169" w:lineRule="exact"/>
        <w:rPr>
          <w:sz w:val="20"/>
          <w:szCs w:val="20"/>
          <w:color w:val="auto"/>
        </w:rPr>
      </w:pPr>
    </w:p>
    <w:p>
      <w:pPr>
        <w:spacing w:after="0"/>
        <w:tabs>
          <w:tab w:leader="none" w:pos="320" w:val="left"/>
          <w:tab w:leader="none" w:pos="1380" w:val="left"/>
          <w:tab w:leader="none" w:pos="2180" w:val="left"/>
          <w:tab w:leader="none" w:pos="3320" w:val="left"/>
          <w:tab w:leader="none" w:pos="3760" w:val="left"/>
          <w:tab w:leader="none" w:pos="4380" w:val="left"/>
          <w:tab w:leader="none" w:pos="5700" w:val="left"/>
        </w:tabs>
        <w:rPr>
          <w:sz w:val="20"/>
          <w:szCs w:val="20"/>
          <w:color w:val="auto"/>
        </w:rPr>
      </w:pPr>
      <w:r>
        <w:rPr>
          <w:rFonts w:ascii="Courier New" w:cs="Courier New" w:eastAsia="Courier New" w:hAnsi="Courier New"/>
          <w:sz w:val="15"/>
          <w:szCs w:val="15"/>
          <w:color w:val="auto"/>
        </w:rPr>
        <w:t>WE</w:t>
        <w:tab/>
        <w:t>EXPERIENCE</w:t>
        <w:tab/>
        <w:t>INTENSE</w:t>
        <w:tab/>
        <w:t>COMPETITION</w:t>
        <w:tab/>
        <w:t>AND</w:t>
        <w:tab/>
        <w:t>RAPID</w:t>
        <w:tab/>
        <w:t>TECHNOLOGICAL</w:t>
      </w:r>
      <w:r>
        <w:rPr>
          <w:sz w:val="20"/>
          <w:szCs w:val="20"/>
          <w:color w:val="auto"/>
        </w:rPr>
        <w:tab/>
      </w:r>
      <w:r>
        <w:rPr>
          <w:rFonts w:ascii="Courier New" w:cs="Courier New" w:eastAsia="Courier New" w:hAnsi="Courier New"/>
          <w:sz w:val="14"/>
          <w:szCs w:val="14"/>
          <w:color w:val="auto"/>
        </w:rPr>
        <w:t>CHANGE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GENOMIC BUSINESSES ARE INTENSELY COMPETITIVE The human genome contains a finite number of genes. Our competitors may seek to identify, sequence and determine the biological function of numerous genes in order to obtain a proprietary position with respect to new genes. We believe that the first company to sequence all, or the commercially relevant portion, of the human genome should have a competitive advantage. A number of companies, other institutions and government-financed entities are engaged in gene sequencing, gene discovery, gene expression analysis, positional cloning, the study of genetic variation, and other genomic service businesses. Many of these companies, institutions and entities have greater financial and human resources than we do.</w:t>
      </w:r>
    </w:p>
    <w:p>
      <w:pPr>
        <w:sectPr>
          <w:pgSz w:w="11900" w:h="16838" w:orient="portrait"/>
          <w:cols w:equalWidth="0" w:num="1">
            <w:col w:w="10219"/>
          </w:cols>
          <w:pgMar w:left="240" w:top="458" w:right="1440" w:bottom="0" w:gutter="0" w:footer="0" w:header="0"/>
        </w:sectPr>
      </w:pPr>
    </w:p>
    <w:bookmarkStart w:id="27" w:name="page28"/>
    <w:bookmarkEnd w:id="27"/>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Some of our competitors have developed databases containing gene sequence, gene expression, genetic variation or other genomic information and are marketing or plan to market their data to pharmaceutical companies. Additional competitors may attempt to establish databases containing this information in the future. We expect that competition in our industry will continue to intensify. We also believe that some pharmaceutical companies are discussing the possibility of working together to discover SNPs and share SNP-related data among themselves. The formation of this sort of consortium could reduce the prospective customer base for our SNP-related business.</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PATENT POSITIONS OR PUBLIC DISCLOSURES MAY REDUCE THE VALUE OF OUR DATABASES. Competitors may discover and establish patent positions with respect to gene sequences in our databases. Further, certain entities engaged in gene sequencing have made the results of their sequencing efforts publicly available. The Celera Genomics Group of The Perkin-Elmer Corporation has announced plans to sequence the entire human genome within three years and to make the basic human sequence data publicly available. The public availability of gene sequences or resulting patent positions covering substantial portions of the human genome or microbial or plant genomes could reduce the potential value of our databases to our collaborators. It could also impair our ability to realize royalties or other revenue from any commercialized products based on this genetic information.</w:t>
      </w:r>
    </w:p>
    <w:p>
      <w:pPr>
        <w:spacing w:after="0" w:line="182"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COMPETITORS MAY DEVELOP SUPERIOR TECHNOLOGY. The gene sequencing machines used in our computer-aided sequencing operations are commercially available and are being used by at least one competitor. In addition, some of our competitors and potential competitors are developing proprietary sequencing technologies that may be more advanced than ours. Perkin-Elmer has announced that it has begun commercial shipments of a new gel-based sequencing machine, and that a large number of these machines will be provided to Celera. We may be unable to obtain access to these machines on acceptable terms.</w:t>
      </w:r>
    </w:p>
    <w:p>
      <w:pPr>
        <w:sectPr>
          <w:pgSz w:w="11900" w:h="16838" w:orient="portrait"/>
          <w:cols w:equalWidth="0" w:num="1">
            <w:col w:w="10219"/>
          </w:cols>
          <w:pgMar w:left="240" w:top="311" w:right="1440" w:bottom="1440" w:gutter="0" w:footer="0" w:header="0"/>
        </w:sectPr>
      </w:pPr>
    </w:p>
    <w:bookmarkStart w:id="28" w:name="page29"/>
    <w:bookmarkEnd w:id="28"/>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addition, a number of companies are pursuing alternative methods for generating gene expression information, including microarray technologies. These advanced sequencing or gene expression technologies may not be commercially available for us to purchase or license on reasonable terms, if at all. At least one other company currently offers microarray-based services that might be competitive with ours.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Our SNP discovery platform represents a modification of a process that is in the public domain. We are seeking patent protection for these improvements, but have not yet received any patents. Other companies could make similar or superior improvements to this process without infringing our rights, and we may not have access to those improvements. The discovery of SNPs is a competitive area. Other companies may develop or obtain access to different SNP discovery platforms, to which we may not have access, that may make our technology obsolete.</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also face competition from providers of software. A number of companies have announced their intent to develop and market software to assist pharmaceutical companies and academic researchers in managing and analyzing their own genomic data and publicly available data. Some of these entities have access to significantly greater resources than we do, and their products may achieve greater market acceptance than ours.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MUST CONTINUE TO INVEST IN NEW TECHNOLOGIES. The genomics industry is characterized by extensive research efforts, resulting in rapid technological progress. To remain competitive, we must continue to expand our databases, improve our software, and invest in new technologies. New developments are expected to continue, and discoveries by others may render our services and potential products noncompetitive.</w:t>
      </w:r>
    </w:p>
    <w:p>
      <w:pPr>
        <w:spacing w:after="0" w:line="170" w:lineRule="exact"/>
        <w:rPr>
          <w:sz w:val="20"/>
          <w:szCs w:val="20"/>
          <w:color w:val="auto"/>
        </w:rPr>
      </w:pPr>
    </w:p>
    <w:p>
      <w:pPr>
        <w:spacing w:after="0"/>
        <w:tabs>
          <w:tab w:leader="none" w:pos="320" w:val="left"/>
          <w:tab w:leader="none" w:pos="760" w:val="left"/>
          <w:tab w:leader="none" w:pos="1640" w:val="left"/>
          <w:tab w:leader="none" w:pos="2000" w:val="left"/>
          <w:tab w:leader="none" w:pos="2700" w:val="left"/>
        </w:tabs>
        <w:rPr>
          <w:sz w:val="20"/>
          <w:szCs w:val="20"/>
          <w:color w:val="auto"/>
        </w:rPr>
      </w:pPr>
      <w:r>
        <w:rPr>
          <w:rFonts w:ascii="Courier New" w:cs="Courier New" w:eastAsia="Courier New" w:hAnsi="Courier New"/>
          <w:sz w:val="15"/>
          <w:szCs w:val="15"/>
          <w:color w:val="auto"/>
        </w:rPr>
        <w:t>WE</w:t>
        <w:tab/>
        <w:t>ARE</w:t>
        <w:tab/>
        <w:t>INVOLVED</w:t>
        <w:tab/>
        <w:t>IN</w:t>
        <w:tab/>
        <w:t>PATENT</w:t>
      </w:r>
      <w:r>
        <w:rPr>
          <w:sz w:val="20"/>
          <w:szCs w:val="20"/>
          <w:color w:val="auto"/>
        </w:rPr>
        <w:tab/>
      </w:r>
      <w:r>
        <w:rPr>
          <w:rFonts w:ascii="Courier New" w:cs="Courier New" w:eastAsia="Courier New" w:hAnsi="Courier New"/>
          <w:sz w:val="14"/>
          <w:szCs w:val="14"/>
          <w:color w:val="auto"/>
        </w:rPr>
        <w:t>LITIGATION</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January 1998, Affymetrix filed a lawsuit in federal court alleging infringement of U.S. patent number 5,445,934 by both Synteni and Incyte. The complaint alleges that the '934 patent has been infringed by Synteni's and Incyte's making, using, selling, importing, distributing or offering to sell high density arrays in the United States and that this infringement was willful. Affymetrix seeks a permanent injunction enjoining Synteni and Incyte from further infringement of the '934 patent and seeks damages, costs, attorneys' fees and interest. Affymetrix also requests triple damages based on allegedly willful infringement.</w:t>
      </w:r>
    </w:p>
    <w:p>
      <w:pPr>
        <w:spacing w:after="0" w:line="179"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In September 1998, Affymetrix filed an additional lawsuit alleging infringement of U.S. patent numbers 5,744,305 and 5,800,992 by Synteni and Incyte. The complaint alleges that the '305 patent has been infringed by Synteni's and Incyte's making, using, selling, importing, distributing or offering to sell high density arrays in the United States. It also alleges that the '992 patent has been infringed by the use of Synteni's and Incyte's GEM microarray technology to conduct gene expression monitoring using two-color labeling and that this infringement was willful. Affymetrix seeks a preliminary injunction enjoining Synteni and Incyte from using GEM microarray technology to conduct this kind of gene expression monitoring, and a permanent injunction enjoining Synteni and Incyte from further infringing the '305 and '992 patents.</w:t>
      </w:r>
    </w:p>
    <w:p>
      <w:pPr>
        <w:spacing w:after="0" w:line="16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lawsuits were initially filed in the United States District Court for the District of Delaware. In November 1998, the court granted Incyte's motion to transfer the suits to the United States District Court for the Northern District of California. A hearing on Affymetrix's request for a preliminary injunction is scheduled for April 30, 1999. No date has been set regarding the trial of any of Affymetrix's other allegations.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January 1999, the United States Patent and Trademark Office notified Incyte of the patentability of claims directed to two-color hybridization licensed exclusively to Incyte. The USPTO examiner has agreed with Incyte that certain claims overlap with those of the '992 patent. Therefore, the USPTO has recommended that the Board of Patent Appeals and Interferences declare an interference between Incyte's two-color hybridization claims and the corresponding claims in the '992 patent.</w:t>
      </w:r>
    </w:p>
    <w:p>
      <w:pPr>
        <w:sectPr>
          <w:pgSz w:w="11900" w:h="16838" w:orient="portrait"/>
          <w:cols w:equalWidth="0" w:num="1">
            <w:col w:w="10219"/>
          </w:cols>
          <w:pgMar w:left="240" w:top="458" w:right="1440" w:bottom="1440" w:gutter="0" w:footer="0" w:header="0"/>
        </w:sectPr>
      </w:pPr>
    </w:p>
    <w:bookmarkStart w:id="29" w:name="page30"/>
    <w:bookmarkEnd w:id="29"/>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believe we have meritorious defenses and intend to defend these suits vigorously. However, our defense may be unsuccessful. At this time, we cannot reasonably estimate the possible range of any loss resulting from these suits due to uncertainty about the ultimate outcome. We have spent and expect to continue to spend a significant amount of money and management time on this litigation. Also, if we are required to license any technology as a result of these suits, we do not know whether we will be able to do so on commercially acceptable terms, if at all.</w:t>
      </w:r>
    </w:p>
    <w:p>
      <w:pPr>
        <w:spacing w:after="0" w:line="178"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WE ARE SPENDING A LOT OF MONEY ON NEW AND UNCERTAIN BUSINESSES AND DEMAND FOR OUR PRODUCTS AND SERVICES MAY BE INSUFFICIENT TO COVER OUR COSTS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There is no precedent for our microarray-based gene expression service business or the use of SNP-based genetic variation information. The usefulness of the information generated by these businesses is unproven. Our collaborators and potential collaborators may determine that our databases, software tools and microarray-related services are not useful or cost-effective. Due to the nature and price of the products and services we offer, only a limited number of companies are potential collaborators for our products and services. If we do not develop these new products and services in time to meet market demand or if there is insufficient demand for these products and services, we may not be able to cover our costs of developing these products and services or earn a sufficient return on our investment.</w:t>
      </w:r>
    </w:p>
    <w:p>
      <w:pPr>
        <w:spacing w:after="0" w:line="181"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Additional factors that may affect demand for our products and services include:</w:t>
      </w:r>
    </w:p>
    <w:p>
      <w:pPr>
        <w:spacing w:after="0" w:line="176" w:lineRule="exact"/>
        <w:rPr>
          <w:sz w:val="20"/>
          <w:szCs w:val="20"/>
          <w:color w:val="auto"/>
        </w:rPr>
      </w:pPr>
    </w:p>
    <w:p>
      <w:pPr>
        <w:ind w:left="960" w:hanging="529"/>
        <w:spacing w:after="0"/>
        <w:tabs>
          <w:tab w:leader="none" w:pos="9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extent  to  which  pharmaceutical  and  biotechnology  companies</w:t>
      </w:r>
    </w:p>
    <w:p>
      <w:pPr>
        <w:spacing w:after="0" w:line="5" w:lineRule="exact"/>
        <w:rPr>
          <w:sz w:val="20"/>
          <w:szCs w:val="20"/>
          <w:color w:val="auto"/>
        </w:rPr>
      </w:pPr>
    </w:p>
    <w:p>
      <w:pPr>
        <w:spacing w:after="0"/>
        <w:tabs>
          <w:tab w:leader="none" w:pos="760" w:val="left"/>
          <w:tab w:leader="none" w:pos="1380" w:val="left"/>
          <w:tab w:leader="none" w:pos="2440" w:val="left"/>
          <w:tab w:leader="none" w:pos="3320" w:val="left"/>
          <w:tab w:leader="none" w:pos="3680" w:val="left"/>
          <w:tab w:leader="none" w:pos="4460" w:val="left"/>
          <w:tab w:leader="none" w:pos="5340" w:val="left"/>
        </w:tabs>
        <w:rPr>
          <w:sz w:val="20"/>
          <w:szCs w:val="20"/>
          <w:color w:val="auto"/>
        </w:rPr>
      </w:pPr>
      <w:r>
        <w:rPr>
          <w:rFonts w:ascii="Courier New" w:cs="Courier New" w:eastAsia="Courier New" w:hAnsi="Courier New"/>
          <w:sz w:val="15"/>
          <w:szCs w:val="15"/>
          <w:color w:val="auto"/>
        </w:rPr>
        <w:t>conduct</w:t>
        <w:tab/>
        <w:t>these</w:t>
        <w:tab/>
        <w:t>activities</w:t>
        <w:tab/>
        <w:t>in-house</w:t>
        <w:tab/>
        <w:t>or</w:t>
        <w:tab/>
        <w:t>through</w:t>
        <w:tab/>
        <w:t>industry</w:t>
      </w:r>
      <w:r>
        <w:rPr>
          <w:sz w:val="20"/>
          <w:szCs w:val="20"/>
          <w:color w:val="auto"/>
        </w:rPr>
        <w:tab/>
      </w:r>
      <w:r>
        <w:rPr>
          <w:rFonts w:ascii="Courier New" w:cs="Courier New" w:eastAsia="Courier New" w:hAnsi="Courier New"/>
          <w:sz w:val="14"/>
          <w:szCs w:val="14"/>
          <w:color w:val="auto"/>
        </w:rPr>
        <w:t>consortia;</w:t>
      </w:r>
    </w:p>
    <w:p>
      <w:pPr>
        <w:spacing w:after="0" w:line="175" w:lineRule="exact"/>
        <w:rPr>
          <w:sz w:val="20"/>
          <w:szCs w:val="20"/>
          <w:color w:val="auto"/>
        </w:rPr>
      </w:pPr>
    </w:p>
    <w:p>
      <w:pPr>
        <w:ind w:left="960" w:hanging="529"/>
        <w:spacing w:after="0"/>
        <w:tabs>
          <w:tab w:leader="none" w:pos="9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emergence of competitors offering similar services at competitive</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prices;</w:t>
      </w:r>
    </w:p>
    <w:p>
      <w:pPr>
        <w:spacing w:after="0" w:line="174" w:lineRule="exact"/>
        <w:rPr>
          <w:rFonts w:ascii="Courier New" w:cs="Courier New" w:eastAsia="Courier New" w:hAnsi="Courier New"/>
          <w:sz w:val="14"/>
          <w:szCs w:val="14"/>
          <w:color w:val="auto"/>
        </w:rPr>
      </w:pPr>
    </w:p>
    <w:p>
      <w:pPr>
        <w:ind w:left="960" w:hanging="529"/>
        <w:spacing w:after="0"/>
        <w:tabs>
          <w:tab w:leader="none" w:pos="9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extent  to which the information in our databases is made public</w:t>
      </w:r>
    </w:p>
    <w:p>
      <w:pPr>
        <w:spacing w:after="0" w:line="5" w:lineRule="exact"/>
        <w:rPr>
          <w:sz w:val="20"/>
          <w:szCs w:val="20"/>
          <w:color w:val="auto"/>
        </w:rPr>
      </w:pPr>
    </w:p>
    <w:p>
      <w:pPr>
        <w:spacing w:after="0"/>
        <w:tabs>
          <w:tab w:leader="none" w:pos="320" w:val="left"/>
          <w:tab w:leader="none" w:pos="680" w:val="left"/>
          <w:tab w:leader="none" w:pos="1460" w:val="left"/>
          <w:tab w:leader="none" w:pos="1820" w:val="left"/>
          <w:tab w:leader="none" w:pos="2620" w:val="left"/>
        </w:tabs>
        <w:rPr>
          <w:sz w:val="20"/>
          <w:szCs w:val="20"/>
          <w:color w:val="auto"/>
        </w:rPr>
      </w:pPr>
      <w:r>
        <w:rPr>
          <w:rFonts w:ascii="Courier New" w:cs="Courier New" w:eastAsia="Courier New" w:hAnsi="Courier New"/>
          <w:sz w:val="15"/>
          <w:szCs w:val="15"/>
          <w:color w:val="auto"/>
        </w:rPr>
        <w:t>or</w:t>
        <w:tab/>
        <w:t>is</w:t>
        <w:tab/>
        <w:t>covered</w:t>
        <w:tab/>
        <w:t>by</w:t>
        <w:tab/>
        <w:t>others'</w:t>
      </w:r>
      <w:r>
        <w:rPr>
          <w:sz w:val="20"/>
          <w:szCs w:val="20"/>
          <w:color w:val="auto"/>
        </w:rPr>
        <w:tab/>
      </w:r>
      <w:r>
        <w:rPr>
          <w:rFonts w:ascii="Courier New" w:cs="Courier New" w:eastAsia="Courier New" w:hAnsi="Courier New"/>
          <w:sz w:val="14"/>
          <w:szCs w:val="14"/>
          <w:color w:val="auto"/>
        </w:rPr>
        <w:t>patents;</w:t>
      </w:r>
    </w:p>
    <w:p>
      <w:pPr>
        <w:spacing w:after="0" w:line="175" w:lineRule="exact"/>
        <w:rPr>
          <w:sz w:val="20"/>
          <w:szCs w:val="20"/>
          <w:color w:val="auto"/>
        </w:rPr>
      </w:pPr>
    </w:p>
    <w:p>
      <w:pPr>
        <w:ind w:left="960" w:hanging="529"/>
        <w:spacing w:after="0"/>
        <w:tabs>
          <w:tab w:leader="none" w:pos="9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establish  and  enforce  proprietary  rights to our</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products;</w:t>
      </w:r>
    </w:p>
    <w:p>
      <w:pPr>
        <w:spacing w:after="0" w:line="174" w:lineRule="exact"/>
        <w:rPr>
          <w:rFonts w:ascii="Courier New" w:cs="Courier New" w:eastAsia="Courier New" w:hAnsi="Courier New"/>
          <w:sz w:val="14"/>
          <w:szCs w:val="14"/>
          <w:color w:val="auto"/>
        </w:rPr>
      </w:pPr>
    </w:p>
    <w:p>
      <w:pPr>
        <w:jc w:val="both"/>
        <w:ind w:right="3179" w:firstLine="431"/>
        <w:spacing w:after="0" w:line="256" w:lineRule="auto"/>
        <w:tabs>
          <w:tab w:leader="none" w:pos="97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developments or changes in public perceptions relating to the use of genetic information and the diagnosis and treatment of disease based</w:t>
      </w:r>
    </w:p>
    <w:p>
      <w:pPr>
        <w:spacing w:after="0"/>
        <w:tabs>
          <w:tab w:leader="none" w:pos="320" w:val="left"/>
          <w:tab w:leader="none" w:pos="1120" w:val="left"/>
          <w:tab w:leader="none" w:pos="2360" w:val="left"/>
        </w:tabs>
        <w:rPr>
          <w:sz w:val="20"/>
          <w:szCs w:val="20"/>
          <w:color w:val="auto"/>
        </w:rPr>
      </w:pPr>
      <w:r>
        <w:rPr>
          <w:rFonts w:ascii="Courier New" w:cs="Courier New" w:eastAsia="Courier New" w:hAnsi="Courier New"/>
          <w:sz w:val="15"/>
          <w:szCs w:val="15"/>
          <w:color w:val="auto"/>
        </w:rPr>
        <w:t>on</w:t>
        <w:tab/>
        <w:t>genetic</w:t>
        <w:tab/>
        <w:t>information;</w:t>
      </w:r>
      <w:r>
        <w:rPr>
          <w:sz w:val="20"/>
          <w:szCs w:val="20"/>
          <w:color w:val="auto"/>
        </w:rPr>
        <w:tab/>
      </w:r>
      <w:r>
        <w:rPr>
          <w:rFonts w:ascii="Courier New" w:cs="Courier New" w:eastAsia="Courier New" w:hAnsi="Courier New"/>
          <w:sz w:val="14"/>
          <w:szCs w:val="14"/>
          <w:color w:val="auto"/>
        </w:rPr>
        <w:t>and</w:t>
      </w:r>
    </w:p>
    <w:p>
      <w:pPr>
        <w:spacing w:after="0" w:line="169" w:lineRule="exact"/>
        <w:rPr>
          <w:sz w:val="20"/>
          <w:szCs w:val="20"/>
          <w:color w:val="auto"/>
        </w:rPr>
      </w:pPr>
    </w:p>
    <w:p>
      <w:pPr>
        <w:ind w:left="960" w:hanging="529"/>
        <w:spacing w:after="0"/>
        <w:tabs>
          <w:tab w:leader="none" w:pos="9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innovations  that  are  more  advanced  than  the</w:t>
      </w:r>
    </w:p>
    <w:p>
      <w:pPr>
        <w:sectPr>
          <w:pgSz w:w="11900" w:h="16838" w:orient="portrait"/>
          <w:cols w:equalWidth="0" w:num="1">
            <w:col w:w="10219"/>
          </w:cols>
          <w:pgMar w:left="240" w:top="458" w:right="1440" w:bottom="1440" w:gutter="0" w:footer="0" w:header="0"/>
        </w:sectPr>
      </w:pPr>
    </w:p>
    <w:p>
      <w:pPr>
        <w:spacing w:after="0"/>
        <w:tabs>
          <w:tab w:leader="none" w:pos="1200" w:val="left"/>
          <w:tab w:leader="none" w:pos="1740" w:val="left"/>
        </w:tabs>
        <w:rPr>
          <w:sz w:val="20"/>
          <w:szCs w:val="20"/>
          <w:color w:val="auto"/>
        </w:rPr>
      </w:pPr>
      <w:r>
        <w:rPr>
          <w:rFonts w:ascii="Courier New" w:cs="Courier New" w:eastAsia="Courier New" w:hAnsi="Courier New"/>
          <w:sz w:val="15"/>
          <w:szCs w:val="15"/>
          <w:color w:val="auto"/>
        </w:rPr>
        <w:t>technologies</w:t>
        <w:tab/>
        <w:t>that</w:t>
      </w:r>
      <w:r>
        <w:rPr>
          <w:sz w:val="20"/>
          <w:szCs w:val="20"/>
          <w:color w:val="auto"/>
        </w:rPr>
        <w:tab/>
      </w:r>
      <w:r>
        <w:rPr>
          <w:rFonts w:ascii="Courier New" w:cs="Courier New" w:eastAsia="Courier New" w:hAnsi="Courier New"/>
          <w:sz w:val="13"/>
          <w:szCs w:val="13"/>
          <w:color w:val="auto"/>
        </w:rPr>
        <w:t>we</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Courier New" w:cs="Courier New" w:eastAsia="Courier New" w:hAnsi="Courier New"/>
          <w:sz w:val="15"/>
          <w:szCs w:val="15"/>
          <w:color w:val="auto"/>
        </w:rPr>
        <w:t>have</w:t>
      </w:r>
      <w:r>
        <w:rPr>
          <w:sz w:val="20"/>
          <w:szCs w:val="20"/>
          <w:color w:val="auto"/>
        </w:rPr>
        <w:tab/>
      </w:r>
      <w:r>
        <w:rPr>
          <w:rFonts w:ascii="Courier New" w:cs="Courier New" w:eastAsia="Courier New" w:hAnsi="Courier New"/>
          <w:sz w:val="14"/>
          <w:szCs w:val="14"/>
          <w:color w:val="auto"/>
        </w:rPr>
        <w:t>developed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that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available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us.</w:t>
      </w:r>
    </w:p>
    <w:p>
      <w:pPr>
        <w:spacing w:after="0" w:line="169" w:lineRule="exact"/>
        <w:rPr>
          <w:sz w:val="20"/>
          <w:szCs w:val="20"/>
          <w:color w:val="auto"/>
        </w:rPr>
      </w:pPr>
    </w:p>
    <w:p>
      <w:pPr>
        <w:sectPr>
          <w:pgSz w:w="11900" w:h="16838" w:orient="portrait"/>
          <w:cols w:equalWidth="0" w:num="8">
            <w:col w:w="1920" w:space="180"/>
            <w:col w:w="1320" w:space="180"/>
            <w:col w:w="180" w:space="180"/>
            <w:col w:w="340" w:space="180"/>
            <w:col w:w="280" w:space="160"/>
            <w:col w:w="800" w:space="180"/>
            <w:col w:w="180" w:space="160"/>
            <w:col w:w="3979"/>
          </w:cols>
          <w:pgMar w:left="240" w:top="458"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these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factors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beyond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control.</w:t>
      </w:r>
    </w:p>
    <w:p>
      <w:pPr>
        <w:spacing w:after="0" w:line="175" w:lineRule="exact"/>
        <w:rPr>
          <w:sz w:val="20"/>
          <w:szCs w:val="20"/>
          <w:color w:val="auto"/>
        </w:rPr>
      </w:pPr>
    </w:p>
    <w:p>
      <w:pPr>
        <w:sectPr>
          <w:pgSz w:w="11900" w:h="16838" w:orient="portrait"/>
          <w:cols w:equalWidth="0" w:num="8">
            <w:col w:w="340" w:space="180"/>
            <w:col w:w="180" w:space="180"/>
            <w:col w:w="440" w:space="160"/>
            <w:col w:w="620" w:space="180"/>
            <w:col w:w="260" w:space="180"/>
            <w:col w:w="540" w:space="160"/>
            <w:col w:w="280" w:space="160"/>
            <w:col w:w="6359"/>
          </w:cols>
          <w:pgMar w:left="240" w:top="458" w:right="1440" w:bottom="1440" w:gutter="0" w:footer="0" w:header="0"/>
          <w:type w:val="continuous"/>
        </w:sectPr>
      </w:pPr>
    </w:p>
    <w:p>
      <w:pPr>
        <w:jc w:val="both"/>
        <w:ind w:right="3179"/>
        <w:spacing w:after="0" w:line="235" w:lineRule="auto"/>
        <w:rPr>
          <w:sz w:val="20"/>
          <w:szCs w:val="20"/>
          <w:color w:val="auto"/>
        </w:rPr>
      </w:pPr>
      <w:r>
        <w:rPr>
          <w:rFonts w:ascii="Courier New" w:cs="Courier New" w:eastAsia="Courier New" w:hAnsi="Courier New"/>
          <w:sz w:val="15"/>
          <w:szCs w:val="15"/>
          <w:color w:val="auto"/>
        </w:rPr>
        <w:t>OUR NEW PROGRAMS RELATING TO THE ROLE OF GENETIC VARIATION IN DISEASE AND DRUG RESPONSE ARE RISKY</w:t>
      </w:r>
    </w:p>
    <w:p>
      <w:pPr>
        <w:spacing w:after="0" w:line="17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We recently began to focus part of our business on developing databases and other products and services to assist pharmaceutical companies in a new and unproven area: the identification and correlation of genetic variation to disease and drug response. Hexagen, which will be an important part of this business, was founded in 1996 and has generated no revenues to date. We will incur significant costs over the next several years in expanding our research and development in this area. These increased costs will include costs resulting from hiring a substantial number of new employees and reagent costs associated with our genomic sequencing, gene mapping and SNP discovery programs. These activities may never generate significant revenues or profitable operations.</w:t>
      </w:r>
    </w:p>
    <w:p>
      <w:pPr>
        <w:sectPr>
          <w:pgSz w:w="11900" w:h="16838" w:orient="portrait"/>
          <w:cols w:equalWidth="0" w:num="1">
            <w:col w:w="10219"/>
          </w:cols>
          <w:pgMar w:left="240" w:top="458" w:right="1440" w:bottom="1440" w:gutter="0" w:footer="0" w:header="0"/>
          <w:type w:val="continuous"/>
        </w:sectPr>
      </w:pPr>
    </w:p>
    <w:bookmarkStart w:id="30" w:name="page31"/>
    <w:bookmarkEnd w:id="30"/>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This new aspect of our business will focus on SNPs, one type of genetic variation. The role of SNPs in disease and drug response is not fully understood, and relatively few, if any, therapeutic or diagnostic products based on SNPs have been developed and commercialized. Among other things, demand in this area may be adversely affected by ethical and social concerns about the confidentiality of patient-specific genetic information and about the use of genetic testing for diagnostic purposes.</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Except for a few anecdotal examples, there is no proof that SNPs have any correlation to diseases or a patient's response to a particular drug or class of drug. Identifying statistically significant correlations is time-consuming and could involve the collection and screening of a large number of patient samples. We do not know if the SNPs we have discovered to date are suitable for these correlation studies. Nor do we currently have access to the patient samples needed or technology allowing us to rapidly and cost-effectively identify pre-determined SNPs in large numbers of patients.</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Most SNPs may occur too infrequently to warrant their use in analyzing patients' genetic variation. We may have trouble identifying SNPs that both correlate with diseases or drug responses and occur frequently enough to justify their use by pharmaceutical companies.</w:t>
      </w:r>
    </w:p>
    <w:p>
      <w:pPr>
        <w:spacing w:after="0" w:line="17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Our success will also depend upon our ability to develop, use and enhance new and relatively unproven technologies. Our strategy of using high-throughput mutation detection processes and sequencing to identify SNPs and genes rapidly is unproven. Among other things, we will need to improve the throughput of our SNP-discovery technology. We may not be able to achieve these necessary improvements, and other factors may impair our ability to develop our SNP-related products and services in time to be competitively available.</w:t>
      </w:r>
    </w:p>
    <w:p>
      <w:pPr>
        <w:spacing w:after="0" w:line="162" w:lineRule="exact"/>
        <w:rPr>
          <w:sz w:val="20"/>
          <w:szCs w:val="20"/>
          <w:color w:val="auto"/>
        </w:rPr>
      </w:pPr>
    </w:p>
    <w:p>
      <w:pPr>
        <w:spacing w:after="0"/>
        <w:tabs>
          <w:tab w:leader="none" w:pos="420" w:val="left"/>
          <w:tab w:leader="none" w:pos="1380" w:val="left"/>
          <w:tab w:leader="none" w:pos="2520" w:val="left"/>
          <w:tab w:leader="none" w:pos="2960" w:val="left"/>
          <w:tab w:leader="none" w:pos="3680" w:val="left"/>
          <w:tab w:leader="none" w:pos="4020" w:val="left"/>
          <w:tab w:leader="none" w:pos="4740" w:val="left"/>
          <w:tab w:leader="none" w:pos="5180" w:val="left"/>
        </w:tabs>
        <w:rPr>
          <w:sz w:val="20"/>
          <w:szCs w:val="20"/>
          <w:color w:val="auto"/>
        </w:rPr>
      </w:pPr>
      <w:r>
        <w:rPr>
          <w:rFonts w:ascii="Courier New" w:cs="Courier New" w:eastAsia="Courier New" w:hAnsi="Courier New"/>
          <w:sz w:val="15"/>
          <w:szCs w:val="15"/>
          <w:color w:val="auto"/>
        </w:rPr>
        <w:t>OUR</w:t>
        <w:tab/>
        <w:t>STRATEGIC</w:t>
        <w:tab/>
        <w:t>INVESTMENTS</w:t>
        <w:tab/>
        <w:t>MAY</w:t>
        <w:tab/>
        <w:t>RESULT</w:t>
        <w:tab/>
        <w:t>IN</w:t>
        <w:tab/>
        <w:t>LOSSES</w:t>
        <w:tab/>
        <w:t>AND</w:t>
      </w:r>
      <w:r>
        <w:rPr>
          <w:sz w:val="20"/>
          <w:szCs w:val="20"/>
          <w:color w:val="auto"/>
        </w:rPr>
        <w:tab/>
      </w:r>
      <w:r>
        <w:rPr>
          <w:rFonts w:ascii="Courier New" w:cs="Courier New" w:eastAsia="Courier New" w:hAnsi="Courier New"/>
          <w:sz w:val="14"/>
          <w:szCs w:val="14"/>
          <w:color w:val="auto"/>
        </w:rPr>
        <w:t>OTHER ADVERSE EFFECTS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make strategic investments in joint ventures or businesses that complement our business. These investments, such as our investment in diaDexus, may:</w:t>
      </w:r>
    </w:p>
    <w:p>
      <w:pPr>
        <w:spacing w:after="0" w:line="175" w:lineRule="exact"/>
        <w:rPr>
          <w:sz w:val="20"/>
          <w:szCs w:val="20"/>
          <w:color w:val="auto"/>
        </w:rPr>
      </w:pPr>
    </w:p>
    <w:p>
      <w:pPr>
        <w:jc w:val="both"/>
        <w:ind w:right="3179" w:firstLine="431"/>
        <w:spacing w:after="0" w:line="256" w:lineRule="auto"/>
        <w:tabs>
          <w:tab w:leader="none" w:pos="97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often be made in securities lacking a public trading market or subject to trading restrictions, either of which increases our risk and reduces</w:t>
      </w:r>
    </w:p>
    <w:p>
      <w:pPr>
        <w:spacing w:after="0"/>
        <w:tabs>
          <w:tab w:leader="none" w:pos="420" w:val="left"/>
          <w:tab w:leader="none" w:pos="1380" w:val="left"/>
          <w:tab w:leader="none" w:pos="1740" w:val="left"/>
          <w:tab w:leader="none" w:pos="2180" w:val="left"/>
        </w:tabs>
        <w:rPr>
          <w:sz w:val="20"/>
          <w:szCs w:val="20"/>
          <w:color w:val="auto"/>
        </w:rPr>
      </w:pPr>
      <w:r>
        <w:rPr>
          <w:rFonts w:ascii="Courier New" w:cs="Courier New" w:eastAsia="Courier New" w:hAnsi="Courier New"/>
          <w:sz w:val="15"/>
          <w:szCs w:val="15"/>
          <w:color w:val="auto"/>
        </w:rPr>
        <w:t>the</w:t>
        <w:tab/>
        <w:t>liquidity</w:t>
        <w:tab/>
        <w:t>of</w:t>
        <w:tab/>
        <w:t>our</w:t>
      </w:r>
      <w:r>
        <w:rPr>
          <w:sz w:val="20"/>
          <w:szCs w:val="20"/>
          <w:color w:val="auto"/>
        </w:rPr>
        <w:tab/>
      </w:r>
      <w:r>
        <w:rPr>
          <w:rFonts w:ascii="Courier New" w:cs="Courier New" w:eastAsia="Courier New" w:hAnsi="Courier New"/>
          <w:sz w:val="14"/>
          <w:szCs w:val="14"/>
          <w:color w:val="auto"/>
        </w:rPr>
        <w:t>investment,</w:t>
      </w:r>
    </w:p>
    <w:p>
      <w:pPr>
        <w:spacing w:after="0" w:line="175" w:lineRule="exact"/>
        <w:rPr>
          <w:sz w:val="20"/>
          <w:szCs w:val="20"/>
          <w:color w:val="auto"/>
        </w:rPr>
      </w:pPr>
    </w:p>
    <w:p>
      <w:pPr>
        <w:ind w:left="960" w:hanging="529"/>
        <w:spacing w:after="0"/>
        <w:tabs>
          <w:tab w:leader="none" w:pos="9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us  to  record  losses and expenses related to our ownership</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interest,</w:t>
      </w:r>
    </w:p>
    <w:p>
      <w:pPr>
        <w:spacing w:after="0" w:line="174" w:lineRule="exact"/>
        <w:rPr>
          <w:rFonts w:ascii="Courier New" w:cs="Courier New" w:eastAsia="Courier New" w:hAnsi="Courier New"/>
          <w:sz w:val="14"/>
          <w:szCs w:val="14"/>
          <w:color w:val="auto"/>
        </w:rPr>
      </w:pPr>
    </w:p>
    <w:p>
      <w:pPr>
        <w:jc w:val="both"/>
        <w:ind w:right="3179" w:firstLine="431"/>
        <w:spacing w:after="0" w:line="237" w:lineRule="auto"/>
        <w:tabs>
          <w:tab w:leader="none" w:pos="97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record charges related to the acquisition of in-process technologies or for the impairment in the value of the securities underlying our investment, and</w:t>
      </w:r>
    </w:p>
    <w:p>
      <w:pPr>
        <w:spacing w:after="0" w:line="174" w:lineRule="exact"/>
        <w:rPr>
          <w:rFonts w:ascii="Courier New" w:cs="Courier New" w:eastAsia="Courier New" w:hAnsi="Courier New"/>
          <w:sz w:val="15"/>
          <w:szCs w:val="15"/>
          <w:color w:val="auto"/>
        </w:rPr>
      </w:pPr>
    </w:p>
    <w:p>
      <w:pPr>
        <w:jc w:val="both"/>
        <w:ind w:right="3179" w:firstLine="431"/>
        <w:spacing w:after="0" w:line="237" w:lineRule="auto"/>
        <w:tabs>
          <w:tab w:leader="none" w:pos="97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invest greater amounts than anticipated or to devote substantial management time to the management of research and development relationships and joint ventures.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market values of many of these investments fluctuate significantly. We evaluate our long-term equity investments for impairment of their values on a quarterly basis. Impairment could result in future charges to our earnings. These losses and expenses may exceed the amounts that we anticipated. In addition, as part of our collaborative agreement with Oxford GlycoSciences plc relating to the joint development of a proteomics database, we agreed to reimburse Oxford GlycoSciences up to $5.0 million in 1999 if their revenues are insufficient to offset their expenses for services rendered.</w:t>
      </w:r>
    </w:p>
    <w:p>
      <w:pPr>
        <w:sectPr>
          <w:pgSz w:w="11900" w:h="16838" w:orient="portrait"/>
          <w:cols w:equalWidth="0" w:num="1">
            <w:col w:w="10219"/>
          </w:cols>
          <w:pgMar w:left="240" w:top="458" w:right="1440" w:bottom="1440" w:gutter="0" w:footer="0" w:header="0"/>
        </w:sectPr>
      </w:pPr>
    </w:p>
    <w:bookmarkStart w:id="31" w:name="page32"/>
    <w:bookmarkEnd w:id="31"/>
    <w:p>
      <w:pPr>
        <w:spacing w:after="0"/>
        <w:tabs>
          <w:tab w:leader="none" w:pos="420" w:val="left"/>
          <w:tab w:leader="none" w:pos="1020" w:val="left"/>
          <w:tab w:leader="none" w:pos="1640" w:val="left"/>
          <w:tab w:leader="none" w:pos="2000" w:val="left"/>
        </w:tabs>
        <w:rPr>
          <w:sz w:val="20"/>
          <w:szCs w:val="20"/>
          <w:color w:val="auto"/>
        </w:rPr>
      </w:pPr>
      <w:r>
        <w:rPr>
          <w:rFonts w:ascii="Courier New" w:cs="Courier New" w:eastAsia="Courier New" w:hAnsi="Courier New"/>
          <w:sz w:val="15"/>
          <w:szCs w:val="15"/>
          <w:color w:val="auto"/>
        </w:rPr>
        <w:t>OUR</w:t>
        <w:tab/>
        <w:t>SALES</w:t>
        <w:tab/>
        <w:t>CYCLE</w:t>
        <w:tab/>
        <w:t>IS</w:t>
      </w:r>
      <w:r>
        <w:rPr>
          <w:sz w:val="20"/>
          <w:szCs w:val="20"/>
          <w:color w:val="auto"/>
        </w:rPr>
        <w:tab/>
      </w:r>
      <w:r>
        <w:rPr>
          <w:rFonts w:ascii="Courier New" w:cs="Courier New" w:eastAsia="Courier New" w:hAnsi="Courier New"/>
          <w:sz w:val="14"/>
          <w:szCs w:val="14"/>
          <w:color w:val="auto"/>
        </w:rPr>
        <w:t>LENGTHY</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Our ability to obtain new subscribers for our databases, software tools and microarray and other services depends upon prospective subscribers' perceptions that our products and services can help accelerate drug discovery efforts. Our sales cycle is typically lengthy because we need to educate our potential subscribers and sell the benefits of our tools and services to a variety of constituencies within potential subscriber companies. In addition, each database subscription and microarray services agreement involves the negotiation of unique terms. We may expend substantial funds and management effort with no assurance that a subscription or services agreement will result. Actual and proposed consolidations of pharmaceutical companies have affected the timing and progress of our sales efforts. We expect that future proposed consolidations will have similar effects.</w:t>
      </w:r>
    </w:p>
    <w:p>
      <w:pPr>
        <w:spacing w:after="0" w:line="176" w:lineRule="exact"/>
        <w:rPr>
          <w:sz w:val="20"/>
          <w:szCs w:val="20"/>
          <w:color w:val="auto"/>
        </w:rPr>
      </w:pPr>
    </w:p>
    <w:p>
      <w:pPr>
        <w:spacing w:after="0"/>
        <w:tabs>
          <w:tab w:leader="none" w:pos="760" w:val="left"/>
          <w:tab w:leader="none" w:pos="1200" w:val="left"/>
          <w:tab w:leader="none" w:pos="1820" w:val="left"/>
          <w:tab w:leader="none" w:pos="2960" w:val="left"/>
          <w:tab w:leader="none" w:pos="3680" w:val="left"/>
          <w:tab w:leader="none" w:pos="4460" w:val="left"/>
          <w:tab w:leader="none" w:pos="5440" w:val="left"/>
        </w:tabs>
        <w:rPr>
          <w:sz w:val="20"/>
          <w:szCs w:val="20"/>
          <w:color w:val="auto"/>
        </w:rPr>
      </w:pPr>
      <w:r>
        <w:rPr>
          <w:rFonts w:ascii="Courier New" w:cs="Courier New" w:eastAsia="Courier New" w:hAnsi="Courier New"/>
          <w:sz w:val="15"/>
          <w:szCs w:val="15"/>
          <w:color w:val="auto"/>
        </w:rPr>
        <w:t>PATENTS</w:t>
        <w:tab/>
        <w:t>AND</w:t>
        <w:tab/>
        <w:t>OTHER</w:t>
        <w:tab/>
        <w:t>PROPRIETARY</w:t>
        <w:tab/>
        <w:t>RIGHTS</w:t>
        <w:tab/>
        <w:t>PROVIDE</w:t>
        <w:tab/>
        <w:t>UNCERTAIN</w:t>
      </w:r>
      <w:r>
        <w:rPr>
          <w:sz w:val="20"/>
          <w:szCs w:val="20"/>
          <w:color w:val="auto"/>
        </w:rPr>
        <w:tab/>
      </w:r>
      <w:r>
        <w:rPr>
          <w:rFonts w:ascii="Courier New" w:cs="Courier New" w:eastAsia="Courier New" w:hAnsi="Courier New"/>
          <w:sz w:val="14"/>
          <w:szCs w:val="14"/>
          <w:color w:val="auto"/>
        </w:rPr>
        <w:t>PROTECTION</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MAY BE UNABLE TO PROTECT OUR PROPRIETARY INFORMATION. Our business and competitive position depend upon our ability to protect our proprietary database information and software technology, but our strategy of obtaining proprietary rights in as many genes and SNPs as possible is unproven. Despite our efforts to protect this information and technology, unauthorized parties may attempt to obtain and use information that we regard as proprietary. Although our database subscription agreements require our subscribers to control access to our databases, policing unauthorized use of our databases and software may be difficult.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We</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have been issued</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a number</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patents with respect to the gene sequences</w:t>
            </w:r>
          </w:p>
        </w:tc>
      </w:tr>
      <w:tr>
        <w:trPr>
          <w:trHeight w:val="170"/>
        </w:trPr>
        <w:tc>
          <w:tcPr>
            <w:tcW w:w="3340" w:type="dxa"/>
            <w:vAlign w:val="bottom"/>
            <w:gridSpan w:val="5"/>
          </w:tcPr>
          <w:p>
            <w:pPr>
              <w:spacing w:after="0"/>
              <w:rPr>
                <w:sz w:val="20"/>
                <w:szCs w:val="20"/>
                <w:color w:val="auto"/>
              </w:rPr>
            </w:pPr>
            <w:r>
              <w:rPr>
                <w:rFonts w:ascii="Courier New" w:cs="Courier New" w:eastAsia="Courier New" w:hAnsi="Courier New"/>
                <w:sz w:val="15"/>
                <w:szCs w:val="15"/>
                <w:color w:val="auto"/>
              </w:rPr>
              <w:t>in  our  databases  and  have  filed</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for  patents  on</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selected features of our</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software.</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However, as of</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the date</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this prospectus, we have no issued patents</w:t>
            </w:r>
          </w:p>
        </w:tc>
      </w:tr>
      <w:tr>
        <w:trPr>
          <w:trHeight w:val="170"/>
        </w:trPr>
        <w:tc>
          <w:tcPr>
            <w:tcW w:w="3340" w:type="dxa"/>
            <w:vAlign w:val="bottom"/>
            <w:gridSpan w:val="5"/>
          </w:tcPr>
          <w:p>
            <w:pPr>
              <w:spacing w:after="0"/>
              <w:rPr>
                <w:sz w:val="20"/>
                <w:szCs w:val="20"/>
                <w:color w:val="auto"/>
              </w:rPr>
            </w:pPr>
            <w:r>
              <w:rPr>
                <w:rFonts w:ascii="Courier New" w:cs="Courier New" w:eastAsia="Courier New" w:hAnsi="Courier New"/>
                <w:sz w:val="15"/>
                <w:szCs w:val="15"/>
                <w:color w:val="auto"/>
                <w:w w:val="99"/>
              </w:rPr>
              <w:t>or  registered  copyrights  for  that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8"/>
              </w:rPr>
              <w:t>software.</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We</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w w:val="96"/>
              </w:rPr>
              <w:t>cannot prevent others from</w:t>
            </w: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independently</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developing</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software</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that might be</w:t>
            </w: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covered by copyrights issued to</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us,  and</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trade</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secret</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laws  do</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not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8"/>
              </w:rPr>
              <w:t>prevent</w:t>
            </w:r>
          </w:p>
        </w:tc>
        <w:tc>
          <w:tcPr>
            <w:tcW w:w="27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9"/>
              </w:rPr>
              <w:t>independent  development.</w:t>
            </w:r>
          </w:p>
        </w:tc>
      </w:tr>
    </w:tbl>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w:t>
      </w:r>
    </w:p>
    <w:p>
      <w:pPr>
        <w:spacing w:after="0" w:line="178"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Our means of protecting our proprietary rights may not be adequate and our competitors may:</w:t>
      </w:r>
    </w:p>
    <w:p>
      <w:pPr>
        <w:spacing w:after="0" w:line="170" w:lineRule="exact"/>
        <w:rPr>
          <w:sz w:val="20"/>
          <w:szCs w:val="20"/>
          <w:color w:val="auto"/>
        </w:rPr>
      </w:pPr>
    </w:p>
    <w:p>
      <w:pPr>
        <w:ind w:left="960" w:hanging="529"/>
        <w:spacing w:after="0"/>
        <w:tabs>
          <w:tab w:leader="none" w:pos="9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independently  develop  substantially  equivalent  proprietary</w:t>
      </w:r>
    </w:p>
    <w:p>
      <w:pPr>
        <w:spacing w:after="0"/>
        <w:tabs>
          <w:tab w:leader="none" w:pos="1120" w:val="left"/>
          <w:tab w:leader="none" w:pos="1560" w:val="left"/>
        </w:tabs>
        <w:rPr>
          <w:sz w:val="20"/>
          <w:szCs w:val="20"/>
          <w:color w:val="auto"/>
        </w:rPr>
      </w:pPr>
      <w:r>
        <w:rPr>
          <w:rFonts w:ascii="Courier New" w:cs="Courier New" w:eastAsia="Courier New" w:hAnsi="Courier New"/>
          <w:sz w:val="15"/>
          <w:szCs w:val="15"/>
          <w:color w:val="auto"/>
        </w:rPr>
        <w:t>information</w:t>
        <w:tab/>
        <w:t>and</w:t>
      </w:r>
      <w:r>
        <w:rPr>
          <w:sz w:val="20"/>
          <w:szCs w:val="20"/>
          <w:color w:val="auto"/>
        </w:rPr>
        <w:tab/>
      </w:r>
      <w:r>
        <w:rPr>
          <w:rFonts w:ascii="Courier New" w:cs="Courier New" w:eastAsia="Courier New" w:hAnsi="Courier New"/>
          <w:sz w:val="14"/>
          <w:szCs w:val="14"/>
          <w:color w:val="auto"/>
        </w:rPr>
        <w:t>techniques,</w:t>
      </w:r>
    </w:p>
    <w:p>
      <w:pPr>
        <w:spacing w:after="0" w:line="169" w:lineRule="exact"/>
        <w:rPr>
          <w:sz w:val="20"/>
          <w:szCs w:val="20"/>
          <w:color w:val="auto"/>
        </w:rPr>
      </w:pPr>
    </w:p>
    <w:p>
      <w:pPr>
        <w:ind w:left="440"/>
        <w:spacing w:after="0"/>
        <w:tabs>
          <w:tab w:leader="none" w:pos="940" w:val="left"/>
          <w:tab w:leader="none" w:pos="1900" w:val="left"/>
          <w:tab w:leader="none" w:pos="2440" w:val="left"/>
          <w:tab w:leader="none" w:pos="3140" w:val="left"/>
          <w:tab w:leader="none" w:pos="3500" w:val="left"/>
          <w:tab w:leader="none" w:pos="3940" w:val="left"/>
          <w:tab w:leader="none" w:pos="5080" w:val="left"/>
          <w:tab w:leader="none" w:pos="6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otherwise</w:t>
        <w:tab/>
        <w:t>gain</w:t>
        <w:tab/>
        <w:t>access</w:t>
        <w:tab/>
        <w:t>to</w:t>
        <w:tab/>
        <w:t>our</w:t>
        <w:tab/>
        <w:t>proprietary</w:t>
        <w:tab/>
        <w:t>information,</w:t>
        <w:tab/>
        <w:t>or</w:t>
      </w:r>
    </w:p>
    <w:p>
      <w:pPr>
        <w:spacing w:after="0" w:line="175" w:lineRule="exact"/>
        <w:rPr>
          <w:sz w:val="20"/>
          <w:szCs w:val="20"/>
          <w:color w:val="auto"/>
        </w:rPr>
      </w:pPr>
    </w:p>
    <w:p>
      <w:pPr>
        <w:ind w:left="960" w:hanging="529"/>
        <w:spacing w:after="0"/>
        <w:tabs>
          <w:tab w:leader="none" w:pos="9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  around  patents  issued  to  us  or  our  other  intellectual</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property.</w:t>
      </w:r>
    </w:p>
    <w:p>
      <w:pPr>
        <w:spacing w:after="0" w:line="174"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OUR PATENT APPLICATIONS MAY CONFLICT WITH OTHERS. Our current policy is to file patent applications on what we believe to be novel full-length and partial gene sequences obtained through our gene sequencing efforts. We have filed U.S. patent applications in which we have claimed certain partial gene sequences. We have also applied for patents in the U.S. and other countries claiming full-length gene sequences associated with cells and tissues involved in our gene sequencing program. We hold a number of issued U.S. patents on full-length genes and one issued U.S. patent claiming multiple partial gene sequences. A number of entities make certain gene sequences publicly available, which may adversely affect our ability to obtain patents on those genes.</w:t>
      </w:r>
    </w:p>
    <w:p>
      <w:pPr>
        <w:spacing w:after="0" w:line="16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believe that some of our patent applications claim genes that may also be claimed in patent applications filed by others. In some or all of these applications, a determination of priority of inventorship may need to be decided in an interference before the United States Patent and Trademark Office ("USPTO").</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USPTO has recommended that the Board of Patent Appeals and Interferences declare an interference with respect to a patent application directed to technology licensed exclusively to us and an Affymetrix patent that is the subject of our litigation with Affymetrix. The Board of Patent Appeals has also declared two interferences involving applications covering Incyte full-length genes, and has advised us of approximately 15 additional interferences that might be declared. We cannot predict whether any of the interferences would be resolved in our favor. Regardless of the outcome, interferences could be expensive and time-consuming.</w:t>
      </w:r>
    </w:p>
    <w:p>
      <w:pPr>
        <w:spacing w:after="0" w:line="179"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ENFORCEMENT OF GENE PATENTS IS UNCERTAIN. One of our strategies is to obtain proprietary rights in as many genes (including partial gene sequences) and SNPs as possible. While the USPTO has issued patents covering full-length genes, partial gene sequences and SNPs, we do not know whether or how courts may enforce those patents, if that becomes necessary. If a court finds these types of inventions to be unpatentable, or interprets them narrowly, the benefits of our strategy may not materialize.</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MAY DECIDE TO ABANDON PATENT APPLICATIONS. The USPTO has had a substantial backlog of biotechnology patent applications, particularly those claiming gene sequences. In 1996, the USPTO issued guidelines limiting the number of partial gene sequences that can be examined within a single patent application. Many of our patent applications contain more partial sequences than the maximum number allowed under these guidelines. Due to the resources needed to comply with the guidelines, we may decide to abandon patent applications for some of our partial gene sequences.</w:t>
      </w:r>
    </w:p>
    <w:p>
      <w:pPr>
        <w:sectPr>
          <w:pgSz w:w="11900" w:h="16838" w:orient="portrait"/>
          <w:cols w:equalWidth="0" w:num="1">
            <w:col w:w="10219"/>
          </w:cols>
          <w:pgMar w:left="240" w:top="452" w:right="1440"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0"/>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Because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filing</w:t>
            </w: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large numbers</w:t>
            </w:r>
          </w:p>
        </w:tc>
        <w:tc>
          <w:tcPr>
            <w:tcW w:w="23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6"/>
              </w:rPr>
              <w:t>of patent applications and</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6"/>
              </w:rPr>
              <w:t>maintaining issued</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w w:val="95"/>
              </w:rPr>
              <w:t>patents can be</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very costly,</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we may</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choose not to</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pursue every</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6"/>
              </w:rPr>
              <w:t>application. If we</w:t>
            </w:r>
          </w:p>
        </w:tc>
      </w:tr>
      <w:tr>
        <w:trPr>
          <w:trHeight w:val="170"/>
        </w:trPr>
        <w:tc>
          <w:tcPr>
            <w:tcW w:w="3080" w:type="dxa"/>
            <w:vAlign w:val="bottom"/>
            <w:gridSpan w:val="4"/>
          </w:tcPr>
          <w:p>
            <w:pPr>
              <w:spacing w:after="0"/>
              <w:rPr>
                <w:sz w:val="20"/>
                <w:szCs w:val="20"/>
                <w:color w:val="auto"/>
              </w:rPr>
            </w:pPr>
            <w:r>
              <w:rPr>
                <w:rFonts w:ascii="Courier New" w:cs="Courier New" w:eastAsia="Courier New" w:hAnsi="Courier New"/>
                <w:sz w:val="15"/>
                <w:szCs w:val="15"/>
                <w:color w:val="auto"/>
                <w:w w:val="97"/>
              </w:rPr>
              <w:t>do  not  pursue  patent  protection</w:t>
            </w:r>
          </w:p>
        </w:tc>
        <w:tc>
          <w:tcPr>
            <w:tcW w:w="180" w:type="dxa"/>
            <w:vAlign w:val="bottom"/>
          </w:tcPr>
          <w:p>
            <w:pPr>
              <w:spacing w:after="0"/>
              <w:rPr>
                <w:sz w:val="14"/>
                <w:szCs w:val="14"/>
                <w:color w:val="auto"/>
              </w:rPr>
            </w:pPr>
          </w:p>
        </w:tc>
        <w:tc>
          <w:tcPr>
            <w:tcW w:w="3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for all of our full-length and partial gene</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w w:val="95"/>
              </w:rPr>
              <w:t>sequences, the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value</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of our</w:t>
            </w:r>
          </w:p>
        </w:tc>
        <w:tc>
          <w:tcPr>
            <w:tcW w:w="46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intellectual property portfolio could be diminished.</w:t>
            </w:r>
          </w:p>
        </w:tc>
      </w:tr>
      <w:tr>
        <w:trPr>
          <w:trHeight w:val="170"/>
        </w:trPr>
        <w:tc>
          <w:tcPr>
            <w:tcW w:w="2420" w:type="dxa"/>
            <w:vAlign w:val="bottom"/>
            <w:gridSpan w:val="3"/>
          </w:tcPr>
          <w:p>
            <w:pPr>
              <w:spacing w:after="0"/>
              <w:rPr>
                <w:sz w:val="20"/>
                <w:szCs w:val="20"/>
                <w:color w:val="auto"/>
              </w:rPr>
            </w:pPr>
            <w:r>
              <w:rPr>
                <w:rFonts w:ascii="Courier New" w:cs="Courier New" w:eastAsia="Courier New" w:hAnsi="Courier New"/>
                <w:sz w:val="15"/>
                <w:szCs w:val="15"/>
                <w:color w:val="auto"/>
              </w:rPr>
              <w:t>Because  of  the  possible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delay</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in</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obtaining</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allowance of</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6"/>
              </w:rPr>
              <w:t>some of our patent</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applications,</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and</w:t>
            </w:r>
          </w:p>
        </w:tc>
        <w:tc>
          <w:tcPr>
            <w:tcW w:w="52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the  secrecy of patent applications, we do not know if other</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applications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having</w:t>
            </w:r>
          </w:p>
        </w:tc>
        <w:tc>
          <w:tcPr>
            <w:tcW w:w="15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priority  over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ours  have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been  filed.</w:t>
            </w:r>
          </w:p>
        </w:tc>
        <w:tc>
          <w:tcPr>
            <w:tcW w:w="1580" w:type="dxa"/>
            <w:vAlign w:val="bottom"/>
          </w:tcPr>
          <w:p>
            <w:pPr>
              <w:spacing w:after="0"/>
              <w:rPr>
                <w:sz w:val="14"/>
                <w:szCs w:val="14"/>
                <w:color w:val="auto"/>
              </w:rPr>
            </w:pPr>
          </w:p>
        </w:tc>
      </w:tr>
    </w:tbl>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WE MAY NEED TO REFILE SOME OF OUR PATENT APPLICATIONS, AND THE PERIOD OF PATENT PROTECTION HAS BEEN SHORTENED. The value of our patents depends in part on their duration. The U.S. patent laws were amended in 1995 to change the term of patent protection from 17 years from patent issuance to 20 years from the earliest effective filing date of the application. Because the average time from filing to issuance of biotechnology applications is at least one year and may be more than three years depending on the subject matter, a 20-year patent term from the filing date may result in substantially shorter patent protection, which may adversely affect our rights under any patents that obtain. We may need to refile applications claiming large numbers of gene sequences and, in these situations, the patent term will be measured from the date of the earliest priority application. This would shorten our period of patent exclusivity.</w:t>
      </w:r>
    </w:p>
    <w:p>
      <w:pPr>
        <w:spacing w:after="0" w:line="16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INTERNATIONAL PATENT PROTECTION IS PARTICULARLY UNCERTAIN. Biotechnology patent law outside the United States is even more uncertain and is currently undergoing review and revision in many countries. Further, the laws of some foreign countries may not protect our intellectual property rights to the same extent as U.S. laws. We may participate in opposition proceedings to determine the validity of our or our competitors' foreign patents, which could result in substantial costs and diversion of our efforts.</w:t>
      </w:r>
    </w:p>
    <w:p>
      <w:pPr>
        <w:spacing w:after="0" w:line="171" w:lineRule="exact"/>
        <w:rPr>
          <w:sz w:val="20"/>
          <w:szCs w:val="20"/>
          <w:color w:val="auto"/>
        </w:rPr>
      </w:pPr>
    </w:p>
    <w:p>
      <w:pPr>
        <w:spacing w:after="0"/>
        <w:tabs>
          <w:tab w:leader="none" w:pos="320" w:val="left"/>
          <w:tab w:leader="none" w:pos="760" w:val="left"/>
          <w:tab w:leader="none" w:pos="1120" w:val="left"/>
          <w:tab w:leader="none" w:pos="1900" w:val="left"/>
          <w:tab w:leader="none" w:pos="2260" w:val="left"/>
          <w:tab w:leader="none" w:pos="3320" w:val="left"/>
          <w:tab w:leader="none" w:pos="4380" w:val="left"/>
          <w:tab w:leader="none" w:pos="4820" w:val="left"/>
          <w:tab w:leader="none" w:pos="6060" w:val="left"/>
        </w:tabs>
        <w:rPr>
          <w:sz w:val="20"/>
          <w:szCs w:val="20"/>
          <w:color w:val="auto"/>
        </w:rPr>
      </w:pPr>
      <w:r>
        <w:rPr>
          <w:rFonts w:ascii="Courier New" w:cs="Courier New" w:eastAsia="Courier New" w:hAnsi="Courier New"/>
          <w:sz w:val="15"/>
          <w:szCs w:val="15"/>
          <w:color w:val="auto"/>
        </w:rPr>
        <w:t>WE</w:t>
        <w:tab/>
        <w:t>MAY</w:t>
        <w:tab/>
        <w:t>BE</w:t>
        <w:tab/>
        <w:t>SUBJECT</w:t>
        <w:tab/>
        <w:t>TO</w:t>
        <w:tab/>
        <w:t>ADDITIONAL</w:t>
        <w:tab/>
        <w:t>LITIGATION</w:t>
        <w:tab/>
        <w:t>AND</w:t>
        <w:tab/>
        <w:t>INFRINGEMENT</w:t>
      </w:r>
      <w:r>
        <w:rPr>
          <w:sz w:val="20"/>
          <w:szCs w:val="20"/>
          <w:color w:val="auto"/>
        </w:rPr>
        <w:tab/>
      </w:r>
      <w:r>
        <w:rPr>
          <w:rFonts w:ascii="Courier New" w:cs="Courier New" w:eastAsia="Courier New" w:hAnsi="Courier New"/>
          <w:sz w:val="14"/>
          <w:szCs w:val="14"/>
          <w:color w:val="auto"/>
        </w:rPr>
        <w:t>CLAIMS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technology that we use to develop our products, and those that we incorporate in our products, may be subject to claims that they infringe the patents or proprietary rights of others. The risk of this occurring will tend to increase as the genomics, biotechnology and software industries expand, more patents are issued and other companies attempt to discover genes and SNPs and engage in other genomic-related businesses.</w:t>
      </w:r>
    </w:p>
    <w:p>
      <w:pPr>
        <w:sectPr>
          <w:pgSz w:w="11900" w:h="16838" w:orient="portrait"/>
          <w:cols w:equalWidth="0" w:num="1">
            <w:col w:w="10219"/>
          </w:cols>
          <w:pgMar w:left="240" w:top="136" w:right="1440" w:bottom="1440" w:gutter="0" w:footer="0" w:header="0"/>
        </w:sectPr>
      </w:pPr>
    </w:p>
    <w:bookmarkStart w:id="33" w:name="page34"/>
    <w:bookmarkEnd w:id="33"/>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As is typical in the genomics, biotechnology and software industries, we have received, and we will probably receive in the future, notices from third parties alleging patent infringement. We believe that we are not infringing the patent rights of any such third party. Except for Affymetrix, no third party has filed a patent lawsuit against us.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may, however, be involved in future lawsuits alleging patent infringement or other intellectual property rights violations. In addition, litigation may be necessary to:</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assert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claims</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of</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infringement,</w:t>
            </w:r>
          </w:p>
        </w:tc>
      </w:tr>
      <w:tr>
        <w:trPr>
          <w:trHeight w:val="33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enforce</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our</w:t>
            </w:r>
          </w:p>
        </w:tc>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patents,</w:t>
            </w:r>
          </w:p>
        </w:tc>
      </w:tr>
      <w:tr>
        <w:trPr>
          <w:trHeight w:val="339"/>
        </w:trPr>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protect</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our</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trade</w:t>
            </w: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w w:val="96"/>
              </w:rPr>
              <w:t>secrets  or  know-how,  or</w:t>
            </w:r>
          </w:p>
        </w:tc>
      </w:tr>
    </w:tbl>
    <w:p>
      <w:pPr>
        <w:spacing w:after="0" w:line="175" w:lineRule="exact"/>
        <w:rPr>
          <w:sz w:val="20"/>
          <w:szCs w:val="20"/>
          <w:color w:val="auto"/>
        </w:rPr>
      </w:pPr>
    </w:p>
    <w:p>
      <w:pPr>
        <w:ind w:right="3179" w:firstLine="431"/>
        <w:spacing w:after="0" w:line="235" w:lineRule="auto"/>
        <w:tabs>
          <w:tab w:leader="none" w:pos="97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enforceability, scope and validity of the proprietary rights of others.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We</w:t>
            </w:r>
          </w:p>
        </w:tc>
        <w:tc>
          <w:tcPr>
            <w:tcW w:w="29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8"/>
              </w:rPr>
              <w:t>may be unsuccessful in defending</w:t>
            </w: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8"/>
              </w:rPr>
              <w:t>or pursuing these lawsuits. Regardless</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the</w:t>
            </w:r>
          </w:p>
        </w:tc>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outcome,</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litigation</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can</w:t>
            </w:r>
          </w:p>
        </w:tc>
        <w:tc>
          <w:tcPr>
            <w:tcW w:w="4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  very  costly and can divert management's</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efforts.</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w w:val="77"/>
              </w:rPr>
              <w:t>An</w:t>
            </w:r>
          </w:p>
        </w:tc>
        <w:tc>
          <w:tcPr>
            <w:tcW w:w="60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adverse determination may subject us to significant liabilities or</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require</w:t>
            </w:r>
          </w:p>
        </w:tc>
        <w:tc>
          <w:tcPr>
            <w:tcW w:w="6340" w:type="dxa"/>
            <w:vAlign w:val="bottom"/>
            <w:gridSpan w:val="7"/>
          </w:tcPr>
          <w:p>
            <w:pPr>
              <w:ind w:left="80"/>
              <w:spacing w:after="0"/>
              <w:rPr>
                <w:sz w:val="20"/>
                <w:szCs w:val="20"/>
                <w:color w:val="auto"/>
              </w:rPr>
            </w:pPr>
            <w:r>
              <w:rPr>
                <w:rFonts w:ascii="Courier New" w:cs="Courier New" w:eastAsia="Courier New" w:hAnsi="Courier New"/>
                <w:sz w:val="15"/>
                <w:szCs w:val="15"/>
                <w:color w:val="auto"/>
                <w:w w:val="97"/>
              </w:rPr>
              <w:t>us to seek licenses to other parties' patents or proprietary rights. We</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may</w:t>
            </w:r>
          </w:p>
        </w:tc>
        <w:tc>
          <w:tcPr>
            <w:tcW w:w="17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8"/>
              </w:rPr>
              <w:t>also be restricted</w:t>
            </w:r>
          </w:p>
        </w:tc>
        <w:tc>
          <w:tcPr>
            <w:tcW w:w="15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or prevented from</w:t>
            </w: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8"/>
              </w:rPr>
              <w:t>manufacturing or selling our products.</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Further,</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w w:val="77"/>
              </w:rPr>
              <w:t>we</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may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not</w:t>
            </w:r>
          </w:p>
        </w:tc>
        <w:tc>
          <w:tcPr>
            <w:tcW w:w="9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be  able</w:t>
            </w:r>
          </w:p>
        </w:tc>
        <w:tc>
          <w:tcPr>
            <w:tcW w:w="4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to obtain the necessary licenses on acceptable</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terms,</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if</w:t>
            </w: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at  all.</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WE</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MAY</w:t>
            </w:r>
          </w:p>
        </w:tc>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ENCOUNTER</w:t>
            </w:r>
          </w:p>
        </w:tc>
        <w:tc>
          <w:tcPr>
            <w:tcW w:w="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PROBLEMS</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MEETING</w:t>
            </w:r>
          </w:p>
        </w:tc>
        <w:tc>
          <w:tcPr>
            <w:tcW w:w="34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CUSTOMERS'  SOFTWARE  NEEDS</w:t>
            </w:r>
          </w:p>
        </w:tc>
      </w:tr>
    </w:tbl>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Our databases also require extensive software support and will need to incorporate features determined by database collaborators. If we experience delays or difficulties in implementing our database software or collaborator-requested features, we may be unable to service our collaborators.</w:t>
      </w:r>
    </w:p>
    <w:p>
      <w:pPr>
        <w:spacing w:after="0" w:line="171" w:lineRule="exact"/>
        <w:rPr>
          <w:sz w:val="20"/>
          <w:szCs w:val="20"/>
          <w:color w:val="auto"/>
        </w:rPr>
      </w:pPr>
    </w:p>
    <w:p>
      <w:pPr>
        <w:spacing w:after="0"/>
        <w:tabs>
          <w:tab w:leader="none" w:pos="420" w:val="left"/>
          <w:tab w:leader="none" w:pos="1120" w:val="left"/>
          <w:tab w:leader="none" w:pos="2360" w:val="left"/>
          <w:tab w:leader="none" w:pos="3140" w:val="left"/>
          <w:tab w:leader="none" w:pos="3940" w:val="left"/>
        </w:tabs>
        <w:rPr>
          <w:sz w:val="20"/>
          <w:szCs w:val="20"/>
          <w:color w:val="auto"/>
        </w:rPr>
      </w:pPr>
      <w:r>
        <w:rPr>
          <w:rFonts w:ascii="Courier New" w:cs="Courier New" w:eastAsia="Courier New" w:hAnsi="Courier New"/>
          <w:sz w:val="15"/>
          <w:szCs w:val="15"/>
          <w:color w:val="auto"/>
        </w:rPr>
        <w:t>OUR</w:t>
        <w:tab/>
        <w:t>RECENT</w:t>
        <w:tab/>
        <w:t>ACQUISITIONS</w:t>
        <w:tab/>
        <w:t>INVOLVE</w:t>
        <w:tab/>
        <w:t>SEVERAL</w:t>
      </w:r>
      <w:r>
        <w:rPr>
          <w:sz w:val="20"/>
          <w:szCs w:val="20"/>
          <w:color w:val="auto"/>
        </w:rPr>
        <w:tab/>
      </w:r>
      <w:r>
        <w:rPr>
          <w:rFonts w:ascii="Courier New" w:cs="Courier New" w:eastAsia="Courier New" w:hAnsi="Courier New"/>
          <w:sz w:val="14"/>
          <w:szCs w:val="14"/>
          <w:color w:val="auto"/>
        </w:rPr>
        <w:t>RISKS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Our recent acquisitions of Synteni and Hexagen involve several potential operating and business risks, including potential problems and costs associated with integrating Synteni's and Hexagen's businesses, technologies and management with ours. Our integration efforts may also result in the loss of efficiency or employees.</w:t>
      </w:r>
    </w:p>
    <w:p>
      <w:pPr>
        <w:spacing w:after="0" w:line="178"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combined companies may not realize any revenue enhancements or cost savings. Increases in other expenses and operating losses, including losses due to problems in integrating the acquired companies with ours, may offset any cost savings. Our combined operating results and financial condition may not be superior to what we could have achieved without these acquisitions, even if we integrate the acquired business efficiently, effectively and quickly. The combination of these businesses with ours may also take longer than expected.</w:t>
      </w:r>
    </w:p>
    <w:p>
      <w:pPr>
        <w:spacing w:after="0" w:line="167"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In particular, we began our integration of Hexagen recently. We will need to integrate Hexagen's technology with our existing technology and improve its throughput, in order to develop a SNP database. We may be unable to achieve the necessary improvements, which could slow our efforts to develop a SNP-related business. Also, since Hexagen is located in England, we may experience difficulties in integrating their operations with our U.S.-based operations. We may also incur an expense if the goodwill and other intangible assets associated with the Hexagen purchase are determined to be impaired in the future.</w:t>
      </w:r>
    </w:p>
    <w:p>
      <w:pPr>
        <w:sectPr>
          <w:pgSz w:w="11900" w:h="16838" w:orient="portrait"/>
          <w:cols w:equalWidth="0" w:num="1">
            <w:col w:w="10219"/>
          </w:cols>
          <w:pgMar w:left="240" w:top="458" w:right="1440" w:bottom="1440" w:gutter="0" w:footer="0" w:header="0"/>
        </w:sectPr>
      </w:pPr>
    </w:p>
    <w:bookmarkStart w:id="34" w:name="page35"/>
    <w:bookmarkEnd w:id="34"/>
    <w:p>
      <w:pPr>
        <w:spacing w:after="0"/>
        <w:tabs>
          <w:tab w:leader="none" w:pos="680" w:val="left"/>
          <w:tab w:leader="none" w:pos="1900" w:val="left"/>
          <w:tab w:leader="none" w:pos="2440" w:val="left"/>
          <w:tab w:leader="none" w:pos="3140" w:val="left"/>
          <w:tab w:leader="none" w:pos="3760" w:val="left"/>
          <w:tab w:leader="none" w:pos="4200" w:val="left"/>
        </w:tabs>
        <w:rPr>
          <w:sz w:val="20"/>
          <w:szCs w:val="20"/>
          <w:color w:val="auto"/>
        </w:rPr>
      </w:pPr>
      <w:r>
        <w:rPr>
          <w:rFonts w:ascii="Courier New" w:cs="Courier New" w:eastAsia="Courier New" w:hAnsi="Courier New"/>
          <w:sz w:val="15"/>
          <w:szCs w:val="15"/>
          <w:color w:val="auto"/>
        </w:rPr>
        <w:t>FUTURE</w:t>
        <w:tab/>
        <w:t>ACQUISITIONS</w:t>
        <w:tab/>
        <w:t>WILL</w:t>
        <w:tab/>
        <w:t>CREATE</w:t>
        <w:tab/>
        <w:t>RISKS</w:t>
        <w:tab/>
        <w:t>AND</w:t>
      </w:r>
      <w:r>
        <w:rPr>
          <w:sz w:val="20"/>
          <w:szCs w:val="20"/>
          <w:color w:val="auto"/>
        </w:rPr>
        <w:tab/>
      </w:r>
      <w:r>
        <w:rPr>
          <w:rFonts w:ascii="Courier New" w:cs="Courier New" w:eastAsia="Courier New" w:hAnsi="Courier New"/>
          <w:sz w:val="14"/>
          <w:szCs w:val="14"/>
          <w:color w:val="auto"/>
        </w:rPr>
        <w:t>UNCERTAINTIES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As part of our business strategy, we may acquire other assets, technologies and businesses. We acquired two companies in 1996, Synteni in January 1998, and Hexagen in September 1998.</w:t>
      </w:r>
    </w:p>
    <w:p>
      <w:pPr>
        <w:spacing w:after="0" w:line="169" w:lineRule="exact"/>
        <w:rPr>
          <w:sz w:val="20"/>
          <w:szCs w:val="20"/>
          <w:color w:val="auto"/>
        </w:rPr>
      </w:pPr>
    </w:p>
    <w:p>
      <w:pPr>
        <w:ind w:left="440"/>
        <w:spacing w:after="0"/>
        <w:tabs>
          <w:tab w:leader="none" w:pos="1020" w:val="left"/>
          <w:tab w:leader="none" w:pos="1460" w:val="left"/>
          <w:tab w:leader="none" w:pos="1900" w:val="left"/>
          <w:tab w:leader="none" w:pos="2620" w:val="left"/>
          <w:tab w:leader="none" w:pos="3840" w:val="left"/>
        </w:tabs>
        <w:rPr>
          <w:sz w:val="20"/>
          <w:szCs w:val="20"/>
          <w:color w:val="auto"/>
        </w:rPr>
      </w:pPr>
      <w:r>
        <w:rPr>
          <w:rFonts w:ascii="Courier New" w:cs="Courier New" w:eastAsia="Courier New" w:hAnsi="Courier New"/>
          <w:sz w:val="15"/>
          <w:szCs w:val="15"/>
          <w:color w:val="auto"/>
        </w:rPr>
        <w:t>These</w:t>
        <w:tab/>
        <w:t>and</w:t>
        <w:tab/>
        <w:t>any</w:t>
        <w:tab/>
        <w:t>future</w:t>
        <w:tab/>
        <w:t>acquisitions</w:t>
      </w:r>
      <w:r>
        <w:rPr>
          <w:sz w:val="20"/>
          <w:szCs w:val="20"/>
          <w:color w:val="auto"/>
        </w:rPr>
        <w:tab/>
      </w:r>
      <w:r>
        <w:rPr>
          <w:rFonts w:ascii="Courier New" w:cs="Courier New" w:eastAsia="Courier New" w:hAnsi="Courier New"/>
          <w:sz w:val="14"/>
          <w:szCs w:val="14"/>
          <w:color w:val="auto"/>
        </w:rPr>
        <w:t>involve risks such as the following:</w:t>
      </w:r>
    </w:p>
    <w:p>
      <w:pPr>
        <w:spacing w:after="0" w:line="169" w:lineRule="exact"/>
        <w:rPr>
          <w:sz w:val="20"/>
          <w:szCs w:val="20"/>
          <w:color w:val="auto"/>
        </w:rPr>
      </w:pPr>
    </w:p>
    <w:p>
      <w:pPr>
        <w:ind w:left="440"/>
        <w:spacing w:after="0"/>
        <w:tabs>
          <w:tab w:leader="none" w:pos="940" w:val="left"/>
          <w:tab w:leader="none" w:pos="1300" w:val="left"/>
          <w:tab w:leader="none" w:pos="1740" w:val="left"/>
          <w:tab w:leader="none" w:pos="2080" w:val="left"/>
          <w:tab w:leader="none" w:pos="2880" w:val="left"/>
          <w:tab w:leader="none" w:pos="3240" w:val="left"/>
          <w:tab w:leader="none" w:pos="4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we</w:t>
        <w:tab/>
        <w:t>may</w:t>
        <w:tab/>
        <w:t>be</w:t>
        <w:tab/>
        <w:t>exposed</w:t>
        <w:tab/>
        <w:t>to</w:t>
        <w:tab/>
        <w:t>unknown</w:t>
      </w:r>
      <w:r>
        <w:rPr>
          <w:sz w:val="20"/>
          <w:szCs w:val="20"/>
          <w:color w:val="auto"/>
        </w:rPr>
        <w:tab/>
      </w:r>
      <w:r>
        <w:rPr>
          <w:rFonts w:ascii="Courier New" w:cs="Courier New" w:eastAsia="Courier New" w:hAnsi="Courier New"/>
          <w:sz w:val="14"/>
          <w:szCs w:val="14"/>
          <w:color w:val="auto"/>
        </w:rPr>
        <w:t>liabilities of acquired companies;</w:t>
      </w:r>
    </w:p>
    <w:p>
      <w:pPr>
        <w:spacing w:after="0" w:line="175" w:lineRule="exact"/>
        <w:rPr>
          <w:sz w:val="20"/>
          <w:szCs w:val="20"/>
          <w:color w:val="auto"/>
        </w:rPr>
      </w:pPr>
    </w:p>
    <w:p>
      <w:pPr>
        <w:ind w:right="3179" w:firstLine="431"/>
        <w:spacing w:after="0" w:line="237" w:lineRule="auto"/>
        <w:tabs>
          <w:tab w:leader="none" w:pos="97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acquisition and integration costs may be higher than we anticipated and may cause our quarterly and annual operating results to fluctuate;</w:t>
      </w:r>
    </w:p>
    <w:p>
      <w:pPr>
        <w:spacing w:after="0" w:line="174" w:lineRule="exact"/>
        <w:rPr>
          <w:rFonts w:ascii="Courier New" w:cs="Courier New" w:eastAsia="Courier New" w:hAnsi="Courier New"/>
          <w:sz w:val="15"/>
          <w:szCs w:val="15"/>
          <w:color w:val="auto"/>
        </w:rPr>
      </w:pPr>
    </w:p>
    <w:p>
      <w:pPr>
        <w:ind w:right="3179" w:firstLine="431"/>
        <w:spacing w:after="0" w:line="256" w:lineRule="auto"/>
        <w:tabs>
          <w:tab w:leader="none" w:pos="97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experience difficulty and expense in assimilating the operations and personnel of the acquired businesses, disrupting our business and</w:t>
      </w:r>
    </w:p>
    <w:p>
      <w:pPr>
        <w:spacing w:after="0"/>
        <w:tabs>
          <w:tab w:leader="none" w:pos="940" w:val="left"/>
          <w:tab w:leader="none" w:pos="2180" w:val="left"/>
          <w:tab w:leader="none" w:pos="2700" w:val="left"/>
          <w:tab w:leader="none" w:pos="3140" w:val="left"/>
        </w:tabs>
        <w:rPr>
          <w:sz w:val="20"/>
          <w:szCs w:val="20"/>
          <w:color w:val="auto"/>
        </w:rPr>
      </w:pPr>
      <w:r>
        <w:rPr>
          <w:rFonts w:ascii="Courier New" w:cs="Courier New" w:eastAsia="Courier New" w:hAnsi="Courier New"/>
          <w:sz w:val="15"/>
          <w:szCs w:val="15"/>
          <w:color w:val="auto"/>
        </w:rPr>
        <w:t>diverting</w:t>
        <w:tab/>
        <w:t>management's</w:t>
        <w:tab/>
        <w:t>time</w:t>
        <w:tab/>
        <w:t>and</w:t>
      </w:r>
      <w:r>
        <w:rPr>
          <w:sz w:val="20"/>
          <w:szCs w:val="20"/>
          <w:color w:val="auto"/>
        </w:rPr>
        <w:tab/>
      </w:r>
      <w:r>
        <w:rPr>
          <w:rFonts w:ascii="Courier New" w:cs="Courier New" w:eastAsia="Courier New" w:hAnsi="Courier New"/>
          <w:sz w:val="14"/>
          <w:szCs w:val="14"/>
          <w:color w:val="auto"/>
        </w:rPr>
        <w:t>attention;</w:t>
      </w:r>
    </w:p>
    <w:p>
      <w:pPr>
        <w:spacing w:after="0" w:line="175" w:lineRule="exact"/>
        <w:rPr>
          <w:sz w:val="20"/>
          <w:szCs w:val="20"/>
          <w:color w:val="auto"/>
        </w:rPr>
      </w:pPr>
    </w:p>
    <w:p>
      <w:pPr>
        <w:ind w:left="960" w:hanging="529"/>
        <w:spacing w:after="0"/>
        <w:tabs>
          <w:tab w:leader="none" w:pos="9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unable  to  integrate  or  complete  the development and</w:t>
      </w:r>
    </w:p>
    <w:p>
      <w:pPr>
        <w:spacing w:after="0" w:line="5" w:lineRule="exact"/>
        <w:rPr>
          <w:sz w:val="20"/>
          <w:szCs w:val="20"/>
          <w:color w:val="auto"/>
        </w:rPr>
      </w:pPr>
    </w:p>
    <w:p>
      <w:pPr>
        <w:spacing w:after="0"/>
        <w:tabs>
          <w:tab w:leader="none" w:pos="1120" w:val="left"/>
          <w:tab w:leader="none" w:pos="1460" w:val="left"/>
          <w:tab w:leader="none" w:pos="2360" w:val="left"/>
        </w:tabs>
        <w:rPr>
          <w:sz w:val="20"/>
          <w:szCs w:val="20"/>
          <w:color w:val="auto"/>
        </w:rPr>
      </w:pPr>
      <w:r>
        <w:rPr>
          <w:rFonts w:ascii="Courier New" w:cs="Courier New" w:eastAsia="Courier New" w:hAnsi="Courier New"/>
          <w:sz w:val="15"/>
          <w:szCs w:val="15"/>
          <w:color w:val="auto"/>
        </w:rPr>
        <w:t>application</w:t>
        <w:tab/>
        <w:t>of</w:t>
        <w:tab/>
        <w:t>acquired</w:t>
      </w:r>
      <w:r>
        <w:rPr>
          <w:sz w:val="20"/>
          <w:szCs w:val="20"/>
          <w:color w:val="auto"/>
        </w:rPr>
        <w:tab/>
      </w:r>
      <w:r>
        <w:rPr>
          <w:rFonts w:ascii="Courier New" w:cs="Courier New" w:eastAsia="Courier New" w:hAnsi="Courier New"/>
          <w:sz w:val="14"/>
          <w:szCs w:val="14"/>
          <w:color w:val="auto"/>
        </w:rPr>
        <w:t>technology;</w:t>
      </w:r>
    </w:p>
    <w:p>
      <w:pPr>
        <w:spacing w:after="0" w:line="175" w:lineRule="exact"/>
        <w:rPr>
          <w:sz w:val="20"/>
          <w:szCs w:val="20"/>
          <w:color w:val="auto"/>
        </w:rPr>
      </w:pPr>
    </w:p>
    <w:p>
      <w:pPr>
        <w:ind w:left="960" w:hanging="529"/>
        <w:spacing w:after="0"/>
        <w:tabs>
          <w:tab w:leader="none" w:pos="9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experience  difficulties  in  establishing  and  maintaining</w:t>
      </w:r>
    </w:p>
    <w:p>
      <w:pPr>
        <w:spacing w:after="0" w:line="5" w:lineRule="exact"/>
        <w:rPr>
          <w:sz w:val="20"/>
          <w:szCs w:val="20"/>
          <w:color w:val="auto"/>
        </w:rPr>
      </w:pPr>
    </w:p>
    <w:p>
      <w:pPr>
        <w:spacing w:after="0"/>
        <w:tabs>
          <w:tab w:leader="none" w:pos="760" w:val="left"/>
          <w:tab w:leader="none" w:pos="1820" w:val="left"/>
          <w:tab w:leader="none" w:pos="2800" w:val="left"/>
          <w:tab w:leader="none" w:pos="3840" w:val="left"/>
          <w:tab w:leader="none" w:pos="4280" w:val="left"/>
        </w:tabs>
        <w:rPr>
          <w:sz w:val="20"/>
          <w:szCs w:val="20"/>
          <w:color w:val="auto"/>
        </w:rPr>
      </w:pPr>
      <w:r>
        <w:rPr>
          <w:rFonts w:ascii="Courier New" w:cs="Courier New" w:eastAsia="Courier New" w:hAnsi="Courier New"/>
          <w:sz w:val="15"/>
          <w:szCs w:val="15"/>
          <w:color w:val="auto"/>
        </w:rPr>
        <w:t>uniform</w:t>
        <w:tab/>
        <w:t>standards,</w:t>
        <w:tab/>
        <w:t>controls,</w:t>
        <w:tab/>
        <w:t>procedures</w:t>
        <w:tab/>
        <w:t>and</w:t>
      </w:r>
      <w:r>
        <w:rPr>
          <w:sz w:val="20"/>
          <w:szCs w:val="20"/>
          <w:color w:val="auto"/>
        </w:rPr>
        <w:tab/>
      </w:r>
      <w:r>
        <w:rPr>
          <w:rFonts w:ascii="Courier New" w:cs="Courier New" w:eastAsia="Courier New" w:hAnsi="Courier New"/>
          <w:sz w:val="14"/>
          <w:szCs w:val="14"/>
          <w:color w:val="auto"/>
        </w:rPr>
        <w:t>policies;</w:t>
      </w:r>
    </w:p>
    <w:p>
      <w:pPr>
        <w:spacing w:after="0" w:line="175" w:lineRule="exact"/>
        <w:rPr>
          <w:sz w:val="20"/>
          <w:szCs w:val="20"/>
          <w:color w:val="auto"/>
        </w:rPr>
      </w:pPr>
    </w:p>
    <w:p>
      <w:pPr>
        <w:jc w:val="both"/>
        <w:ind w:right="3179" w:firstLine="431"/>
        <w:spacing w:after="0" w:line="265" w:lineRule="auto"/>
        <w:tabs>
          <w:tab w:leader="none" w:pos="97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relationships with key customers of acquired businesses may be impaired, due to changes in management and ownership of the acquired businesses;</w:t>
      </w:r>
    </w:p>
    <w:p>
      <w:pPr>
        <w:spacing w:after="0" w:line="158" w:lineRule="exact"/>
        <w:rPr>
          <w:rFonts w:ascii="Courier New" w:cs="Courier New" w:eastAsia="Courier New" w:hAnsi="Courier New"/>
          <w:sz w:val="14"/>
          <w:szCs w:val="14"/>
          <w:color w:val="auto"/>
        </w:rPr>
      </w:pPr>
    </w:p>
    <w:p>
      <w:pPr>
        <w:ind w:left="960" w:hanging="529"/>
        <w:spacing w:after="0"/>
        <w:tabs>
          <w:tab w:leader="none" w:pos="9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unable to retain key employees of the acquired businesses;</w:t>
      </w:r>
    </w:p>
    <w:p>
      <w:pPr>
        <w:spacing w:after="0" w:line="180" w:lineRule="exact"/>
        <w:rPr>
          <w:rFonts w:ascii="Courier New" w:cs="Courier New" w:eastAsia="Courier New" w:hAnsi="Courier New"/>
          <w:sz w:val="14"/>
          <w:szCs w:val="14"/>
          <w:color w:val="auto"/>
        </w:rPr>
      </w:pPr>
    </w:p>
    <w:p>
      <w:pPr>
        <w:ind w:left="960" w:hanging="529"/>
        <w:spacing w:after="0"/>
        <w:tabs>
          <w:tab w:leader="none" w:pos="9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incur  amortization  expenses  if  an acquisition results in</w:t>
      </w:r>
    </w:p>
    <w:p>
      <w:pPr>
        <w:spacing w:after="0" w:line="5" w:lineRule="exact"/>
        <w:rPr>
          <w:sz w:val="20"/>
          <w:szCs w:val="20"/>
          <w:color w:val="auto"/>
        </w:rPr>
      </w:pPr>
    </w:p>
    <w:p>
      <w:pPr>
        <w:spacing w:after="0"/>
        <w:tabs>
          <w:tab w:leader="none" w:pos="1120" w:val="left"/>
          <w:tab w:leader="none" w:pos="2000" w:val="left"/>
          <w:tab w:leader="none" w:pos="2360" w:val="left"/>
          <w:tab w:leader="none" w:pos="2960" w:val="left"/>
          <w:tab w:leader="none" w:pos="4020" w:val="left"/>
          <w:tab w:leader="none" w:pos="4820" w:val="left"/>
        </w:tabs>
        <w:rPr>
          <w:sz w:val="20"/>
          <w:szCs w:val="20"/>
          <w:color w:val="auto"/>
        </w:rPr>
      </w:pPr>
      <w:r>
        <w:rPr>
          <w:rFonts w:ascii="Courier New" w:cs="Courier New" w:eastAsia="Courier New" w:hAnsi="Courier New"/>
          <w:sz w:val="15"/>
          <w:szCs w:val="15"/>
          <w:color w:val="auto"/>
        </w:rPr>
        <w:t>significant</w:t>
        <w:tab/>
        <w:t>goodwill</w:t>
        <w:tab/>
        <w:t>or</w:t>
        <w:tab/>
        <w:t>other</w:t>
        <w:tab/>
        <w:t>intangible</w:t>
        <w:tab/>
        <w:t>assets;</w:t>
      </w:r>
      <w:r>
        <w:rPr>
          <w:sz w:val="20"/>
          <w:szCs w:val="20"/>
          <w:color w:val="auto"/>
        </w:rPr>
        <w:tab/>
      </w:r>
      <w:r>
        <w:rPr>
          <w:rFonts w:ascii="Courier New" w:cs="Courier New" w:eastAsia="Courier New" w:hAnsi="Courier New"/>
          <w:sz w:val="14"/>
          <w:szCs w:val="14"/>
          <w:color w:val="auto"/>
        </w:rPr>
        <w:t>and</w:t>
      </w:r>
    </w:p>
    <w:p>
      <w:pPr>
        <w:spacing w:after="0" w:line="175" w:lineRule="exact"/>
        <w:rPr>
          <w:sz w:val="20"/>
          <w:szCs w:val="20"/>
          <w:color w:val="auto"/>
        </w:rPr>
      </w:pPr>
    </w:p>
    <w:p>
      <w:pPr>
        <w:ind w:right="3179" w:firstLine="431"/>
        <w:spacing w:after="0" w:line="235" w:lineRule="auto"/>
        <w:tabs>
          <w:tab w:leader="none" w:pos="97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stockholders may be diluted if we pay for the acquisition with equity securities.</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addition, if we acquire additional businesses that are not located near our Palo Alto, California headquarters, we may experience more difficulty integrating and managing the acquired businesses' operations.</w:t>
      </w:r>
    </w:p>
    <w:p>
      <w:pPr>
        <w:spacing w:after="0" w:line="169" w:lineRule="exact"/>
        <w:rPr>
          <w:sz w:val="20"/>
          <w:szCs w:val="20"/>
          <w:color w:val="auto"/>
        </w:rPr>
      </w:pPr>
    </w:p>
    <w:p>
      <w:pPr>
        <w:spacing w:after="0"/>
        <w:tabs>
          <w:tab w:leader="none" w:pos="320" w:val="left"/>
          <w:tab w:leader="none" w:pos="760" w:val="left"/>
          <w:tab w:leader="none" w:pos="1300" w:val="left"/>
          <w:tab w:leader="none" w:pos="2360" w:val="left"/>
          <w:tab w:leader="none" w:pos="3240" w:val="left"/>
          <w:tab w:leader="none" w:pos="3680" w:val="left"/>
        </w:tabs>
        <w:rPr>
          <w:sz w:val="20"/>
          <w:szCs w:val="20"/>
          <w:color w:val="auto"/>
        </w:rPr>
      </w:pPr>
      <w:r>
        <w:rPr>
          <w:rFonts w:ascii="Courier New" w:cs="Courier New" w:eastAsia="Courier New" w:hAnsi="Courier New"/>
          <w:sz w:val="15"/>
          <w:szCs w:val="15"/>
          <w:color w:val="auto"/>
        </w:rPr>
        <w:t>WE</w:t>
        <w:tab/>
        <w:t>MAY</w:t>
        <w:tab/>
        <w:t>HAVE</w:t>
        <w:tab/>
        <w:t>DIFFICULTY</w:t>
        <w:tab/>
        <w:t>MANAGING</w:t>
        <w:tab/>
        <w:t>OUR</w:t>
      </w:r>
      <w:r>
        <w:rPr>
          <w:sz w:val="20"/>
          <w:szCs w:val="20"/>
          <w:color w:val="auto"/>
        </w:rPr>
        <w:tab/>
      </w:r>
      <w:r>
        <w:rPr>
          <w:rFonts w:ascii="Courier New" w:cs="Courier New" w:eastAsia="Courier New" w:hAnsi="Courier New"/>
          <w:sz w:val="14"/>
          <w:szCs w:val="14"/>
          <w:color w:val="auto"/>
        </w:rPr>
        <w:t>GROWTH</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expect to continue to experience significant growth in the number of our employees and the scope of our operations. This growth has placed, and may continue to place, a significant strain on our management and operations. Our ability to manage this growth will depend upon our ability to broaden our management team and our ability to attract, hire and retain skilled employees. Our success will also depend on the ability of our officers and key employees to continue to implement and improve our operational and other systems and to hire, train and manage our employees.</w:t>
      </w:r>
    </w:p>
    <w:p>
      <w:pPr>
        <w:spacing w:after="0" w:line="178"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In addition, we must continue to invest in customer support resources as the number of database collaborators and their requests for support increase. Our database collaborators typically have worldwide operations and may require support at multiple U.S. and foreign sites. To provide this support, we may need to open offices in addition to our Palo Alto, California headquarters and our offices in Fremont, California, St. Louis, Missouri and Cambridge, England, which could result in additional burdens on our systems and resources.</w:t>
      </w:r>
    </w:p>
    <w:p>
      <w:pPr>
        <w:sectPr>
          <w:pgSz w:w="11900" w:h="16838" w:orient="portrait"/>
          <w:cols w:equalWidth="0" w:num="1">
            <w:col w:w="10219"/>
          </w:cols>
          <w:pgMar w:left="240" w:top="452" w:right="1440" w:bottom="1440" w:gutter="0" w:footer="0" w:header="0"/>
        </w:sectPr>
      </w:pPr>
    </w:p>
    <w:bookmarkStart w:id="35" w:name="page36"/>
    <w:bookmarkEnd w:id="35"/>
    <w:p>
      <w:pPr>
        <w:spacing w:after="0"/>
        <w:tabs>
          <w:tab w:leader="none" w:pos="320" w:val="left"/>
          <w:tab w:leader="none" w:pos="1020" w:val="left"/>
          <w:tab w:leader="none" w:pos="1380" w:val="left"/>
          <w:tab w:leader="none" w:pos="1820" w:val="left"/>
          <w:tab w:leader="none" w:pos="2800" w:val="left"/>
          <w:tab w:leader="none" w:pos="3140" w:val="left"/>
          <w:tab w:leader="none" w:pos="3400" w:val="left"/>
          <w:tab w:leader="none" w:pos="4560" w:val="left"/>
        </w:tabs>
        <w:rPr>
          <w:sz w:val="20"/>
          <w:szCs w:val="20"/>
          <w:color w:val="auto"/>
        </w:rPr>
      </w:pPr>
      <w:r>
        <w:rPr>
          <w:rFonts w:ascii="Courier New" w:cs="Courier New" w:eastAsia="Courier New" w:hAnsi="Courier New"/>
          <w:sz w:val="15"/>
          <w:szCs w:val="15"/>
          <w:color w:val="auto"/>
        </w:rPr>
        <w:t>WE</w:t>
        <w:tab/>
        <w:t>DEPEND</w:t>
        <w:tab/>
        <w:t>ON</w:t>
        <w:tab/>
        <w:t>KEY</w:t>
        <w:tab/>
        <w:t>EMPLOYEES</w:t>
        <w:tab/>
        <w:t>IN</w:t>
        <w:tab/>
        <w:t>A</w:t>
        <w:tab/>
        <w:t>COMPETITIVE</w:t>
      </w:r>
      <w:r>
        <w:rPr>
          <w:sz w:val="20"/>
          <w:szCs w:val="20"/>
          <w:color w:val="auto"/>
        </w:rPr>
        <w:tab/>
      </w:r>
      <w:r>
        <w:rPr>
          <w:rFonts w:ascii="Courier New" w:cs="Courier New" w:eastAsia="Courier New" w:hAnsi="Courier New"/>
          <w:sz w:val="14"/>
          <w:szCs w:val="14"/>
          <w:color w:val="auto"/>
        </w:rPr>
        <w:t>MARKET FOR SKILLED PERSONNEL</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are highly dependent on the principal members of our management, operations and scientific staff, including Roy A. Whitfield, our Chief Executive Officer, and Randal W. Scott, our President and Chief Scientific Officer. The loss of any of these persons' services would have a material adverse effect on our business. We have not entered into any employment agreement with any of these persons and do not maintain a key person life insurance policy on the life of any employee.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gridSpan w:val="8"/>
          </w:tcPr>
          <w:p>
            <w:pPr>
              <w:jc w:val="center"/>
              <w:ind w:left="327"/>
              <w:spacing w:after="0"/>
              <w:rPr>
                <w:sz w:val="20"/>
                <w:szCs w:val="20"/>
                <w:color w:val="auto"/>
              </w:rPr>
            </w:pPr>
            <w:r>
              <w:rPr>
                <w:rFonts w:ascii="Courier New" w:cs="Courier New" w:eastAsia="Courier New" w:hAnsi="Courier New"/>
                <w:sz w:val="15"/>
                <w:szCs w:val="15"/>
                <w:color w:val="auto"/>
                <w:w w:val="97"/>
              </w:rPr>
              <w:t>Our future success also will depend</w:t>
            </w:r>
          </w:p>
        </w:tc>
        <w:tc>
          <w:tcPr>
            <w:tcW w:w="28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in part on the continued service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of our</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w w:val="95"/>
              </w:rPr>
              <w:t>key  scientific,</w:t>
            </w:r>
          </w:p>
        </w:tc>
        <w:tc>
          <w:tcPr>
            <w:tcW w:w="980" w:type="dxa"/>
            <w:vAlign w:val="bottom"/>
            <w:gridSpan w:val="3"/>
          </w:tcPr>
          <w:p>
            <w:pPr>
              <w:jc w:val="center"/>
              <w:ind w:left="107"/>
              <w:spacing w:after="0"/>
              <w:rPr>
                <w:sz w:val="20"/>
                <w:szCs w:val="20"/>
                <w:color w:val="auto"/>
              </w:rPr>
            </w:pPr>
            <w:r>
              <w:rPr>
                <w:rFonts w:ascii="Courier New" w:cs="Courier New" w:eastAsia="Courier New" w:hAnsi="Courier New"/>
                <w:sz w:val="15"/>
                <w:szCs w:val="15"/>
                <w:color w:val="auto"/>
                <w:w w:val="98"/>
              </w:rPr>
              <w:t>software,</w:t>
            </w:r>
          </w:p>
        </w:tc>
        <w:tc>
          <w:tcPr>
            <w:tcW w:w="158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bioinformatics</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and</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management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personnel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and our</w:t>
            </w:r>
          </w:p>
        </w:tc>
      </w:tr>
      <w:tr>
        <w:trPr>
          <w:trHeight w:val="170"/>
        </w:trPr>
        <w:tc>
          <w:tcPr>
            <w:tcW w:w="2100" w:type="dxa"/>
            <w:vAlign w:val="bottom"/>
            <w:gridSpan w:val="4"/>
          </w:tcPr>
          <w:p>
            <w:pPr>
              <w:spacing w:after="0"/>
              <w:rPr>
                <w:sz w:val="20"/>
                <w:szCs w:val="20"/>
                <w:color w:val="auto"/>
              </w:rPr>
            </w:pPr>
            <w:r>
              <w:rPr>
                <w:rFonts w:ascii="Courier New" w:cs="Courier New" w:eastAsia="Courier New" w:hAnsi="Courier New"/>
                <w:sz w:val="15"/>
                <w:szCs w:val="15"/>
                <w:color w:val="auto"/>
              </w:rPr>
              <w:t>ability  to  identify,</w:t>
            </w:r>
          </w:p>
        </w:tc>
        <w:tc>
          <w:tcPr>
            <w:tcW w:w="332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hire and retain additional personnel,</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including customer</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marketing</w:t>
            </w:r>
          </w:p>
        </w:tc>
        <w:tc>
          <w:tcPr>
            <w:tcW w:w="260" w:type="dxa"/>
            <w:vAlign w:val="bottom"/>
          </w:tcPr>
          <w:p>
            <w:pPr>
              <w:jc w:val="center"/>
              <w:spacing w:after="0"/>
              <w:rPr>
                <w:sz w:val="20"/>
                <w:szCs w:val="20"/>
                <w:color w:val="auto"/>
              </w:rPr>
            </w:pPr>
            <w:r>
              <w:rPr>
                <w:rFonts w:ascii="Courier New" w:cs="Courier New" w:eastAsia="Courier New" w:hAnsi="Courier New"/>
                <w:sz w:val="15"/>
                <w:szCs w:val="15"/>
                <w:color w:val="auto"/>
                <w:w w:val="96"/>
              </w:rPr>
              <w:t>and</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sales</w:t>
            </w:r>
          </w:p>
        </w:tc>
        <w:tc>
          <w:tcPr>
            <w:tcW w:w="8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staff.</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We</w:t>
            </w: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experience  intense competition for</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qualified</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personnel.</w:t>
            </w:r>
          </w:p>
        </w:tc>
        <w:tc>
          <w:tcPr>
            <w:tcW w:w="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We</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may</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not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able</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 continue to</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attract and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retain</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personnel</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necessary</w:t>
            </w:r>
          </w:p>
        </w:tc>
        <w:tc>
          <w:tcPr>
            <w:tcW w:w="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for</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the</w:t>
            </w:r>
          </w:p>
        </w:tc>
        <w:tc>
          <w:tcPr>
            <w:tcW w:w="12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development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22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our  business.</w:t>
            </w:r>
          </w:p>
        </w:tc>
        <w:tc>
          <w:tcPr>
            <w:tcW w:w="620" w:type="dxa"/>
            <w:vAlign w:val="bottom"/>
          </w:tcPr>
          <w:p>
            <w:pPr>
              <w:spacing w:after="0"/>
              <w:rPr>
                <w:sz w:val="14"/>
                <w:szCs w:val="1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WE  DEPEND</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THIRD</w:t>
            </w:r>
          </w:p>
        </w:tc>
        <w:tc>
          <w:tcPr>
            <w:tcW w:w="92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PARTIES</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FOR</w:t>
            </w:r>
          </w:p>
        </w:tc>
        <w:tc>
          <w:tcPr>
            <w:tcW w:w="10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NECESSARY</w:t>
            </w: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EQUIPMENT,  SUPPLIES  AND</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DATA</w:t>
            </w:r>
          </w:p>
        </w:tc>
      </w:tr>
    </w:tbl>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RELY ON A SMALL NUMBER OF SUPPLIERS OF GENE SEQUENCING MACHINES AND REAGENTS REQUIRED FOR GENE SEQUENCING. Although we are evaluating alternative gene sequencing machines, they may not be available in sufficient quantities or at acceptable costs. In addition, if a third party claims that our use of these machines infringes their patent rights, our use of these machines could become more costly or could be prevented. If we are unable to obtain additional machines or an adequate supply of reagents or other materials at commercially reasonable rates, our ability to identify genes and SNPs would be adversely affected.</w:t>
      </w:r>
    </w:p>
    <w:p>
      <w:pPr>
        <w:spacing w:after="0" w:line="179"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RELY ON OUTSIDE SOURCES FOR TISSUE SAMPLES FROM WHICH WE ISOLATE GENETIC MATERIAL USED IN OUR OPERATIONS. Our business could be adversely affected if we lose access to some of these sources, or if they charged us higher access fees or imposed tighter restrictions on our use of the information generated from the samples.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CANNOT CONTROL THE PERFORMANCE OF COLLABORATORS. We may enter into research and development relationships with corporate and academic collaborators and others. The success of these relationships depends upon third parties' performance of their responsibilities. Our ability to develop these relationships is uncertain, and any established relationships may prove unsuccessful. Our collaborators may also be pursuing alternative technologies or developing alternative products on their own or in collaboration with others, including our competitors.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RELY ON THIRD-PARTY DATA SOURCES. We rely on scientific and other data supplied by others, including our academic collaborators and sources of tissue samples. These data could contain errors or other defects, which could corrupt our databases. In addition, we cannot guarantee that our data sources acquired this information in compliance with legal requirements. If either of these happen and become known, our business prospects could be adversely affected.</w:t>
      </w:r>
    </w:p>
    <w:p>
      <w:pPr>
        <w:sectPr>
          <w:pgSz w:w="11900" w:h="16838" w:orient="portrait"/>
          <w:cols w:equalWidth="0" w:num="1">
            <w:col w:w="10219"/>
          </w:cols>
          <w:pgMar w:left="240" w:top="452" w:right="1440" w:bottom="1440" w:gutter="0" w:footer="0" w:header="0"/>
        </w:sectPr>
      </w:pPr>
    </w:p>
    <w:bookmarkStart w:id="36" w:name="page37"/>
    <w:bookmarkEnd w:id="36"/>
    <w:p>
      <w:pPr>
        <w:spacing w:after="0"/>
        <w:tabs>
          <w:tab w:leader="none" w:pos="320" w:val="left"/>
          <w:tab w:leader="none" w:pos="760" w:val="left"/>
          <w:tab w:leader="none" w:pos="1300" w:val="left"/>
          <w:tab w:leader="none" w:pos="1640" w:val="left"/>
          <w:tab w:leader="none" w:pos="2260" w:val="left"/>
          <w:tab w:leader="none" w:pos="3320" w:val="left"/>
          <w:tab w:leader="none" w:pos="4120" w:val="left"/>
          <w:tab w:leader="none" w:pos="4640" w:val="left"/>
          <w:tab w:leader="none" w:pos="5080" w:val="left"/>
          <w:tab w:leader="none" w:pos="5520" w:val="left"/>
          <w:tab w:leader="none" w:pos="5880" w:val="left"/>
        </w:tabs>
        <w:rPr>
          <w:sz w:val="20"/>
          <w:szCs w:val="20"/>
          <w:color w:val="auto"/>
        </w:rPr>
      </w:pPr>
      <w:r>
        <w:rPr>
          <w:rFonts w:ascii="Courier New" w:cs="Courier New" w:eastAsia="Courier New" w:hAnsi="Courier New"/>
          <w:sz w:val="15"/>
          <w:szCs w:val="15"/>
          <w:color w:val="auto"/>
        </w:rPr>
        <w:t>WE</w:t>
        <w:tab/>
        <w:t>MAY</w:t>
        <w:tab/>
        <w:t>NEED</w:t>
        <w:tab/>
        <w:t>TO</w:t>
        <w:tab/>
        <w:t>RAISE</w:t>
        <w:tab/>
        <w:t>ADDITIONAL</w:t>
        <w:tab/>
        <w:t>CAPITAL</w:t>
        <w:tab/>
        <w:t>THAT</w:t>
        <w:tab/>
        <w:t>MAY</w:t>
        <w:tab/>
        <w:t>NOT</w:t>
        <w:tab/>
        <w:t>BE</w:t>
      </w:r>
      <w:r>
        <w:rPr>
          <w:sz w:val="20"/>
          <w:szCs w:val="20"/>
          <w:color w:val="auto"/>
        </w:rPr>
        <w:tab/>
      </w:r>
      <w:r>
        <w:rPr>
          <w:rFonts w:ascii="Courier New" w:cs="Courier New" w:eastAsia="Courier New" w:hAnsi="Courier New"/>
          <w:sz w:val="14"/>
          <w:szCs w:val="14"/>
          <w:color w:val="auto"/>
        </w:rPr>
        <w:t>AVAILABLE</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Based upon our current plans, we believe that our existing resources and anticipated cash flow from operations can satisfy our capital needs for at least the next 12 months. However, our products and services may not produce revenues which, together with our existing cash and other resources, are adequate to meet our cash needs. Our cash requirements depend on numerous factors, including:</w:t>
      </w:r>
    </w:p>
    <w:p>
      <w:pPr>
        <w:spacing w:after="0" w:line="165" w:lineRule="exact"/>
        <w:rPr>
          <w:sz w:val="20"/>
          <w:szCs w:val="20"/>
          <w:color w:val="auto"/>
        </w:rPr>
      </w:pPr>
    </w:p>
    <w:p>
      <w:pPr>
        <w:ind w:left="960" w:hanging="529"/>
        <w:spacing w:after="0"/>
        <w:tabs>
          <w:tab w:leader="none" w:pos="9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attract and retain collaborators for our databases and</w:t>
      </w:r>
    </w:p>
    <w:p>
      <w:pPr>
        <w:spacing w:after="0" w:line="5" w:lineRule="exact"/>
        <w:rPr>
          <w:sz w:val="20"/>
          <w:szCs w:val="20"/>
          <w:color w:val="auto"/>
        </w:rPr>
      </w:pPr>
    </w:p>
    <w:p>
      <w:pPr>
        <w:spacing w:after="0"/>
        <w:tabs>
          <w:tab w:leader="none" w:pos="580" w:val="left"/>
          <w:tab w:leader="none" w:pos="1460" w:val="left"/>
          <w:tab w:leader="none" w:pos="1900" w:val="left"/>
        </w:tabs>
        <w:rPr>
          <w:sz w:val="20"/>
          <w:szCs w:val="20"/>
          <w:color w:val="auto"/>
        </w:rPr>
      </w:pPr>
      <w:r>
        <w:rPr>
          <w:rFonts w:ascii="Courier New" w:cs="Courier New" w:eastAsia="Courier New" w:hAnsi="Courier New"/>
          <w:sz w:val="15"/>
          <w:szCs w:val="15"/>
          <w:color w:val="auto"/>
        </w:rPr>
        <w:t>other</w:t>
        <w:tab/>
        <w:t>products</w:t>
        <w:tab/>
        <w:t>and</w:t>
      </w:r>
      <w:r>
        <w:rPr>
          <w:sz w:val="20"/>
          <w:szCs w:val="20"/>
          <w:color w:val="auto"/>
        </w:rPr>
        <w:tab/>
      </w:r>
      <w:r>
        <w:rPr>
          <w:rFonts w:ascii="Courier New" w:cs="Courier New" w:eastAsia="Courier New" w:hAnsi="Courier New"/>
          <w:sz w:val="14"/>
          <w:szCs w:val="14"/>
          <w:color w:val="auto"/>
        </w:rPr>
        <w:t>services;</w:t>
      </w:r>
    </w:p>
    <w:p>
      <w:pPr>
        <w:spacing w:after="0" w:line="175" w:lineRule="exact"/>
        <w:rPr>
          <w:sz w:val="20"/>
          <w:szCs w:val="20"/>
          <w:color w:val="auto"/>
        </w:rPr>
      </w:pPr>
    </w:p>
    <w:p>
      <w:pPr>
        <w:ind w:left="960" w:hanging="529"/>
        <w:spacing w:after="0"/>
        <w:tabs>
          <w:tab w:leader="none" w:pos="9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expenditures  in  connection  with  alliances, license agreements and</w:t>
      </w:r>
    </w:p>
    <w:p>
      <w:pPr>
        <w:spacing w:after="0" w:line="5" w:lineRule="exact"/>
        <w:rPr>
          <w:sz w:val="20"/>
          <w:szCs w:val="20"/>
          <w:color w:val="auto"/>
        </w:rPr>
      </w:pPr>
    </w:p>
    <w:p>
      <w:pPr>
        <w:spacing w:after="0"/>
        <w:tabs>
          <w:tab w:leader="none" w:pos="1200" w:val="left"/>
          <w:tab w:leader="none" w:pos="1560" w:val="left"/>
          <w:tab w:leader="none" w:pos="2000" w:val="left"/>
        </w:tabs>
        <w:rPr>
          <w:sz w:val="20"/>
          <w:szCs w:val="20"/>
          <w:color w:val="auto"/>
        </w:rPr>
      </w:pPr>
      <w:r>
        <w:rPr>
          <w:rFonts w:ascii="Courier New" w:cs="Courier New" w:eastAsia="Courier New" w:hAnsi="Courier New"/>
          <w:sz w:val="15"/>
          <w:szCs w:val="15"/>
          <w:color w:val="auto"/>
        </w:rPr>
        <w:t>acquisitions</w:t>
        <w:tab/>
        <w:t>of</w:t>
        <w:tab/>
        <w:t>and</w:t>
      </w:r>
      <w:r>
        <w:rPr>
          <w:sz w:val="20"/>
          <w:szCs w:val="20"/>
          <w:color w:val="auto"/>
        </w:rPr>
        <w:tab/>
      </w:r>
      <w:r>
        <w:rPr>
          <w:rFonts w:ascii="Courier New" w:cs="Courier New" w:eastAsia="Courier New" w:hAnsi="Courier New"/>
          <w:sz w:val="14"/>
          <w:szCs w:val="14"/>
          <w:color w:val="auto"/>
        </w:rPr>
        <w:t>investments in complementary technologies and businesses;</w:t>
      </w:r>
    </w:p>
    <w:p>
      <w:pPr>
        <w:spacing w:after="0" w:line="175" w:lineRule="exact"/>
        <w:rPr>
          <w:sz w:val="20"/>
          <w:szCs w:val="20"/>
          <w:color w:val="auto"/>
        </w:rPr>
      </w:pPr>
    </w:p>
    <w:p>
      <w:pPr>
        <w:ind w:left="960" w:hanging="529"/>
        <w:spacing w:after="0"/>
        <w:tabs>
          <w:tab w:leader="none" w:pos="9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need to increase research and development spending as a result of</w:t>
      </w:r>
    </w:p>
    <w:p>
      <w:pPr>
        <w:spacing w:after="0" w:line="5" w:lineRule="exact"/>
        <w:rPr>
          <w:sz w:val="20"/>
          <w:szCs w:val="20"/>
          <w:color w:val="auto"/>
        </w:rPr>
      </w:pPr>
    </w:p>
    <w:p>
      <w:pPr>
        <w:spacing w:after="0"/>
        <w:tabs>
          <w:tab w:leader="none" w:pos="940" w:val="left"/>
          <w:tab w:leader="none" w:pos="2260" w:val="left"/>
          <w:tab w:leader="none" w:pos="2700" w:val="left"/>
          <w:tab w:leader="none" w:pos="3400" w:val="left"/>
        </w:tabs>
        <w:rPr>
          <w:sz w:val="20"/>
          <w:szCs w:val="20"/>
          <w:color w:val="auto"/>
        </w:rPr>
      </w:pPr>
      <w:r>
        <w:rPr>
          <w:rFonts w:ascii="Courier New" w:cs="Courier New" w:eastAsia="Courier New" w:hAnsi="Courier New"/>
          <w:sz w:val="15"/>
          <w:szCs w:val="15"/>
          <w:color w:val="auto"/>
        </w:rPr>
        <w:t>competing</w:t>
        <w:tab/>
        <w:t>technological</w:t>
        <w:tab/>
        <w:t>and</w:t>
        <w:tab/>
        <w:t>market</w:t>
      </w:r>
      <w:r>
        <w:rPr>
          <w:sz w:val="20"/>
          <w:szCs w:val="20"/>
          <w:color w:val="auto"/>
        </w:rPr>
        <w:tab/>
      </w:r>
      <w:r>
        <w:rPr>
          <w:rFonts w:ascii="Courier New" w:cs="Courier New" w:eastAsia="Courier New" w:hAnsi="Courier New"/>
          <w:sz w:val="14"/>
          <w:szCs w:val="14"/>
          <w:color w:val="auto"/>
        </w:rPr>
        <w:t>developments;</w:t>
      </w:r>
    </w:p>
    <w:p>
      <w:pPr>
        <w:spacing w:after="0" w:line="175" w:lineRule="exact"/>
        <w:rPr>
          <w:sz w:val="20"/>
          <w:szCs w:val="20"/>
          <w:color w:val="auto"/>
        </w:rPr>
      </w:pPr>
    </w:p>
    <w:p>
      <w:pPr>
        <w:ind w:left="960" w:hanging="529"/>
        <w:spacing w:after="0"/>
        <w:tabs>
          <w:tab w:leader="none" w:pos="9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  of  filing,  prosecuting,  defending  and enforcing patent</w:t>
      </w:r>
    </w:p>
    <w:p>
      <w:pPr>
        <w:spacing w:after="0" w:line="5" w:lineRule="exact"/>
        <w:rPr>
          <w:sz w:val="20"/>
          <w:szCs w:val="20"/>
          <w:color w:val="auto"/>
        </w:rPr>
      </w:pPr>
    </w:p>
    <w:p>
      <w:pPr>
        <w:spacing w:after="0"/>
        <w:tabs>
          <w:tab w:leader="none" w:pos="680" w:val="left"/>
          <w:tab w:leader="none" w:pos="1120" w:val="left"/>
          <w:tab w:leader="none" w:pos="1740" w:val="left"/>
          <w:tab w:leader="none" w:pos="2960" w:val="left"/>
          <w:tab w:leader="none" w:pos="3840" w:val="left"/>
        </w:tabs>
        <w:rPr>
          <w:sz w:val="20"/>
          <w:szCs w:val="20"/>
          <w:color w:val="auto"/>
        </w:rPr>
      </w:pPr>
      <w:r>
        <w:rPr>
          <w:rFonts w:ascii="Courier New" w:cs="Courier New" w:eastAsia="Courier New" w:hAnsi="Courier New"/>
          <w:sz w:val="15"/>
          <w:szCs w:val="15"/>
          <w:color w:val="auto"/>
        </w:rPr>
        <w:t>claims</w:t>
        <w:tab/>
        <w:t>and</w:t>
        <w:tab/>
        <w:t>other</w:t>
        <w:tab/>
        <w:t>intellectual</w:t>
        <w:tab/>
        <w:t>property</w:t>
      </w:r>
      <w:r>
        <w:rPr>
          <w:sz w:val="20"/>
          <w:szCs w:val="20"/>
          <w:color w:val="auto"/>
        </w:rPr>
        <w:tab/>
      </w:r>
      <w:r>
        <w:rPr>
          <w:rFonts w:ascii="Courier New" w:cs="Courier New" w:eastAsia="Courier New" w:hAnsi="Courier New"/>
          <w:sz w:val="14"/>
          <w:szCs w:val="14"/>
          <w:color w:val="auto"/>
        </w:rPr>
        <w:t>rights;</w:t>
      </w:r>
    </w:p>
    <w:p>
      <w:pPr>
        <w:spacing w:after="0" w:line="175" w:lineRule="exact"/>
        <w:rPr>
          <w:sz w:val="20"/>
          <w:szCs w:val="20"/>
          <w:color w:val="auto"/>
        </w:rPr>
      </w:pPr>
    </w:p>
    <w:p>
      <w:pPr>
        <w:jc w:val="both"/>
        <w:ind w:right="3179" w:firstLine="431"/>
        <w:spacing w:after="0" w:line="235" w:lineRule="auto"/>
        <w:tabs>
          <w:tab w:leader="none" w:pos="97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additional capital equipment, including equipment necessary to process data for our databases and to ensure that our sequencing</w:t>
      </w:r>
    </w:p>
    <w:p>
      <w:pPr>
        <w:spacing w:after="0" w:line="1" w:lineRule="exact"/>
        <w:rPr>
          <w:sz w:val="20"/>
          <w:szCs w:val="20"/>
          <w:color w:val="auto"/>
        </w:rPr>
      </w:pPr>
    </w:p>
    <w:p>
      <w:pPr>
        <w:spacing w:after="0"/>
        <w:tabs>
          <w:tab w:leader="none" w:pos="420" w:val="left"/>
          <w:tab w:leader="none" w:pos="1460" w:val="left"/>
          <w:tab w:leader="none" w:pos="2520" w:val="left"/>
          <w:tab w:leader="none" w:pos="3240" w:val="left"/>
        </w:tabs>
        <w:rPr>
          <w:sz w:val="20"/>
          <w:szCs w:val="20"/>
          <w:color w:val="auto"/>
        </w:rPr>
      </w:pPr>
      <w:r>
        <w:rPr>
          <w:rFonts w:ascii="Courier New" w:cs="Courier New" w:eastAsia="Courier New" w:hAnsi="Courier New"/>
          <w:sz w:val="15"/>
          <w:szCs w:val="15"/>
          <w:color w:val="auto"/>
        </w:rPr>
        <w:t>and</w:t>
        <w:tab/>
        <w:t>microarray</w:t>
        <w:tab/>
        <w:t>operations</w:t>
        <w:tab/>
        <w:t>remain</w:t>
      </w:r>
      <w:r>
        <w:rPr>
          <w:sz w:val="20"/>
          <w:szCs w:val="20"/>
          <w:color w:val="auto"/>
        </w:rPr>
        <w:tab/>
      </w:r>
      <w:r>
        <w:rPr>
          <w:rFonts w:ascii="Courier New" w:cs="Courier New" w:eastAsia="Courier New" w:hAnsi="Courier New"/>
          <w:sz w:val="14"/>
          <w:szCs w:val="14"/>
          <w:color w:val="auto"/>
        </w:rPr>
        <w:t>competitive;</w:t>
      </w:r>
    </w:p>
    <w:p>
      <w:pPr>
        <w:spacing w:after="0" w:line="169" w:lineRule="exact"/>
        <w:rPr>
          <w:sz w:val="20"/>
          <w:szCs w:val="20"/>
          <w:color w:val="auto"/>
        </w:rPr>
      </w:pPr>
    </w:p>
    <w:p>
      <w:pPr>
        <w:ind w:left="440"/>
        <w:spacing w:after="0"/>
        <w:tabs>
          <w:tab w:leader="none" w:pos="940" w:val="left"/>
          <w:tab w:leader="none" w:pos="1740" w:val="left"/>
          <w:tab w:leader="none" w:pos="2960" w:val="left"/>
          <w:tab w:leader="none" w:pos="3840" w:val="left"/>
          <w:tab w:leader="none" w:pos="4200" w:val="left"/>
          <w:tab w:leader="none" w:pos="4900" w:val="left"/>
          <w:tab w:leader="none" w:pos="5340" w:val="left"/>
          <w:tab w:leader="none" w:pos="6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capital</w:t>
        <w:tab/>
        <w:t>expenditures</w:t>
        <w:tab/>
        <w:t>required</w:t>
        <w:tab/>
        <w:t>to</w:t>
        <w:tab/>
        <w:t>expand</w:t>
        <w:tab/>
        <w:t>our</w:t>
        <w:tab/>
        <w:t>facilities;</w:t>
      </w:r>
      <w:r>
        <w:rPr>
          <w:sz w:val="20"/>
          <w:szCs w:val="20"/>
          <w:color w:val="auto"/>
        </w:rPr>
        <w:tab/>
      </w:r>
      <w:r>
        <w:rPr>
          <w:rFonts w:ascii="Courier New" w:cs="Courier New" w:eastAsia="Courier New" w:hAnsi="Courier New"/>
          <w:sz w:val="14"/>
          <w:szCs w:val="14"/>
          <w:color w:val="auto"/>
        </w:rPr>
        <w:t>and</w:t>
      </w:r>
    </w:p>
    <w:p>
      <w:pPr>
        <w:spacing w:after="0" w:line="175" w:lineRule="exact"/>
        <w:rPr>
          <w:sz w:val="20"/>
          <w:szCs w:val="20"/>
          <w:color w:val="auto"/>
        </w:rPr>
      </w:pPr>
    </w:p>
    <w:p>
      <w:pPr>
        <w:ind w:left="960" w:hanging="529"/>
        <w:spacing w:after="0"/>
        <w:tabs>
          <w:tab w:leader="none" w:pos="9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associated  with  the  integration  of  acquired  operations.</w:t>
      </w:r>
    </w:p>
    <w:p>
      <w:pPr>
        <w:spacing w:after="0" w:line="180"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Changes in our research and development plans or other changes affecting our operating expenses may alter the timing and amount of expenditures of our capital resources. If we need additional funding, we may be unable to obtain it on favorable terms, or at all. If adequate funds are not available, we may have to curtail operations significantly or obtain funds by entering into arrangements requiring us to relinquish rights to certain technologies, products or markets. In addition, if we raise funds by selling stock or convertible securities, our existing stockholders could suffer dilution.</w:t>
      </w:r>
    </w:p>
    <w:p>
      <w:pPr>
        <w:spacing w:after="0" w:line="172" w:lineRule="exact"/>
        <w:rPr>
          <w:sz w:val="20"/>
          <w:szCs w:val="20"/>
          <w:color w:val="auto"/>
        </w:rPr>
      </w:pPr>
    </w:p>
    <w:p>
      <w:pPr>
        <w:spacing w:after="0"/>
        <w:tabs>
          <w:tab w:leader="none" w:pos="420" w:val="left"/>
          <w:tab w:leader="none" w:pos="1300" w:val="left"/>
          <w:tab w:leader="none" w:pos="1900" w:val="left"/>
          <w:tab w:leader="none" w:pos="2260" w:val="left"/>
          <w:tab w:leader="none" w:pos="3140" w:val="left"/>
          <w:tab w:leader="none" w:pos="3500" w:val="left"/>
          <w:tab w:leader="none" w:pos="3940" w:val="left"/>
          <w:tab w:leader="none" w:pos="4460" w:val="left"/>
          <w:tab w:leader="none" w:pos="5000" w:val="left"/>
        </w:tabs>
        <w:rPr>
          <w:sz w:val="20"/>
          <w:szCs w:val="20"/>
          <w:color w:val="auto"/>
        </w:rPr>
      </w:pPr>
      <w:r>
        <w:rPr>
          <w:rFonts w:ascii="Courier New" w:cs="Courier New" w:eastAsia="Courier New" w:hAnsi="Courier New"/>
          <w:sz w:val="15"/>
          <w:szCs w:val="15"/>
          <w:color w:val="auto"/>
        </w:rPr>
        <w:t>OUR</w:t>
        <w:tab/>
        <w:t>BUSINESS</w:t>
        <w:tab/>
        <w:t>COULD</w:t>
        <w:tab/>
        <w:t>BE</w:t>
        <w:tab/>
        <w:t>AFFECTED</w:t>
        <w:tab/>
        <w:t>BY</w:t>
        <w:tab/>
        <w:t>THE</w:t>
        <w:tab/>
        <w:t>YEAR</w:t>
        <w:tab/>
        <w:t>2000</w:t>
      </w:r>
      <w:r>
        <w:rPr>
          <w:sz w:val="20"/>
          <w:szCs w:val="20"/>
          <w:color w:val="auto"/>
        </w:rPr>
        <w:tab/>
      </w:r>
      <w:r>
        <w:rPr>
          <w:rFonts w:ascii="Courier New" w:cs="Courier New" w:eastAsia="Courier New" w:hAnsi="Courier New"/>
          <w:sz w:val="14"/>
          <w:szCs w:val="14"/>
          <w:color w:val="auto"/>
        </w:rPr>
        <w:t>ISSUE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As a result of computer programs being written using two digits, rather than four, to represent year dates, the performance of our computer systems and those of our suppliers and customers in the Year 2000 is uncertain. Any computer programs that have time-sensitive software may recognize a date using "00" as the year 1900 rather than the year 2000. This could result in a system failure or miscalculations which disrupt our operations, such as a temporary inability to process transactions, send invoices or engage in other normal business activities.</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are evaluating the Year 2000 readiness of the software products that we sell, the information technology systems used in our operations, and our other systems such as building security and voicemail. We currently anticipate that this project will consist of the following phases:</w:t>
      </w:r>
    </w:p>
    <w:p>
      <w:pPr>
        <w:spacing w:after="0" w:line="176" w:lineRule="exact"/>
        <w:rPr>
          <w:sz w:val="20"/>
          <w:szCs w:val="20"/>
          <w:color w:val="auto"/>
        </w:rPr>
      </w:pPr>
    </w:p>
    <w:p>
      <w:pPr>
        <w:ind w:left="960" w:hanging="529"/>
        <w:spacing w:after="0"/>
        <w:tabs>
          <w:tab w:leader="none" w:pos="9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identifying  all  of  our  software  products, information technology</w:t>
      </w:r>
    </w:p>
    <w:p>
      <w:pPr>
        <w:spacing w:after="0" w:line="5" w:lineRule="exact"/>
        <w:rPr>
          <w:sz w:val="20"/>
          <w:szCs w:val="20"/>
          <w:color w:val="auto"/>
        </w:rPr>
      </w:pPr>
    </w:p>
    <w:p>
      <w:pPr>
        <w:spacing w:after="0"/>
        <w:tabs>
          <w:tab w:leader="none" w:pos="760" w:val="left"/>
          <w:tab w:leader="none" w:pos="1200" w:val="left"/>
          <w:tab w:leader="none" w:pos="1820" w:val="left"/>
        </w:tabs>
        <w:rPr>
          <w:sz w:val="20"/>
          <w:szCs w:val="20"/>
          <w:color w:val="auto"/>
        </w:rPr>
      </w:pPr>
      <w:r>
        <w:rPr>
          <w:rFonts w:ascii="Courier New" w:cs="Courier New" w:eastAsia="Courier New" w:hAnsi="Courier New"/>
          <w:sz w:val="15"/>
          <w:szCs w:val="15"/>
          <w:color w:val="auto"/>
        </w:rPr>
        <w:t>systems</w:t>
        <w:tab/>
        <w:t>and</w:t>
        <w:tab/>
        <w:t>other</w:t>
      </w:r>
      <w:r>
        <w:rPr>
          <w:sz w:val="20"/>
          <w:szCs w:val="20"/>
          <w:color w:val="auto"/>
        </w:rPr>
        <w:tab/>
      </w:r>
      <w:r>
        <w:rPr>
          <w:rFonts w:ascii="Courier New" w:cs="Courier New" w:eastAsia="Courier New" w:hAnsi="Courier New"/>
          <w:sz w:val="14"/>
          <w:szCs w:val="14"/>
          <w:color w:val="auto"/>
        </w:rPr>
        <w:t>systems;</w:t>
      </w:r>
    </w:p>
    <w:p>
      <w:pPr>
        <w:spacing w:after="0" w:line="169" w:lineRule="exact"/>
        <w:rPr>
          <w:sz w:val="20"/>
          <w:szCs w:val="20"/>
          <w:color w:val="auto"/>
        </w:rPr>
      </w:pPr>
    </w:p>
    <w:p>
      <w:pPr>
        <w:ind w:left="440"/>
        <w:spacing w:after="0"/>
        <w:tabs>
          <w:tab w:leader="none" w:pos="940" w:val="left"/>
          <w:tab w:leader="none" w:pos="1900" w:val="left"/>
          <w:tab w:leader="none" w:pos="2620" w:val="left"/>
          <w:tab w:leader="none" w:pos="2960" w:val="left"/>
          <w:tab w:leader="none" w:pos="4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assessing</w:t>
        <w:tab/>
        <w:t>repair</w:t>
        <w:tab/>
        <w:t>or</w:t>
        <w:tab/>
        <w:t>replacement</w:t>
      </w:r>
      <w:r>
        <w:rPr>
          <w:sz w:val="20"/>
          <w:szCs w:val="20"/>
          <w:color w:val="auto"/>
        </w:rPr>
        <w:tab/>
      </w:r>
      <w:r>
        <w:rPr>
          <w:rFonts w:ascii="Courier New" w:cs="Courier New" w:eastAsia="Courier New" w:hAnsi="Courier New"/>
          <w:sz w:val="14"/>
          <w:szCs w:val="14"/>
          <w:color w:val="auto"/>
        </w:rPr>
        <w:t>requirements;</w:t>
      </w:r>
    </w:p>
    <w:p>
      <w:pPr>
        <w:spacing w:after="0" w:line="169" w:lineRule="exact"/>
        <w:rPr>
          <w:sz w:val="20"/>
          <w:szCs w:val="20"/>
          <w:color w:val="auto"/>
        </w:rPr>
      </w:pPr>
    </w:p>
    <w:p>
      <w:pPr>
        <w:ind w:left="440"/>
        <w:spacing w:after="0"/>
        <w:tabs>
          <w:tab w:leader="none" w:pos="940" w:val="left"/>
          <w:tab w:leader="none" w:pos="1640" w:val="left"/>
          <w:tab w:leader="none" w:pos="20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repair</w:t>
        <w:tab/>
        <w:t>or</w:t>
      </w:r>
      <w:r>
        <w:rPr>
          <w:sz w:val="20"/>
          <w:szCs w:val="20"/>
          <w:color w:val="auto"/>
        </w:rPr>
        <w:tab/>
      </w:r>
      <w:r>
        <w:rPr>
          <w:rFonts w:ascii="Courier New" w:cs="Courier New" w:eastAsia="Courier New" w:hAnsi="Courier New"/>
          <w:sz w:val="14"/>
          <w:szCs w:val="14"/>
          <w:color w:val="auto"/>
        </w:rPr>
        <w:t>replacement;</w:t>
      </w:r>
    </w:p>
    <w:p>
      <w:pPr>
        <w:spacing w:after="0" w:line="169" w:lineRule="exact"/>
        <w:rPr>
          <w:sz w:val="20"/>
          <w:szCs w:val="20"/>
          <w:color w:val="auto"/>
        </w:rPr>
      </w:pPr>
    </w:p>
    <w:p>
      <w:pPr>
        <w:ind w:left="960" w:hanging="529"/>
        <w:spacing w:after="0"/>
        <w:tabs>
          <w:tab w:leader="none" w:pos="9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testing;</w:t>
      </w:r>
    </w:p>
    <w:p>
      <w:pPr>
        <w:spacing w:after="0" w:line="169" w:lineRule="exact"/>
        <w:rPr>
          <w:rFonts w:ascii="Courier New" w:cs="Courier New" w:eastAsia="Courier New" w:hAnsi="Courier New"/>
          <w:sz w:val="15"/>
          <w:szCs w:val="15"/>
          <w:color w:val="auto"/>
        </w:rPr>
      </w:pPr>
    </w:p>
    <w:p>
      <w:pPr>
        <w:ind w:left="960" w:hanging="529"/>
        <w:spacing w:after="0"/>
        <w:tabs>
          <w:tab w:leader="none" w:pos="9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and</w:t>
      </w:r>
    </w:p>
    <w:p>
      <w:pPr>
        <w:spacing w:after="0" w:line="169" w:lineRule="exact"/>
        <w:rPr>
          <w:sz w:val="20"/>
          <w:szCs w:val="20"/>
          <w:color w:val="auto"/>
        </w:rPr>
      </w:pPr>
    </w:p>
    <w:p>
      <w:pPr>
        <w:ind w:left="440"/>
        <w:spacing w:after="0"/>
        <w:tabs>
          <w:tab w:leader="none" w:pos="940" w:val="left"/>
          <w:tab w:leader="none" w:pos="1820" w:val="left"/>
          <w:tab w:leader="none" w:pos="2960" w:val="left"/>
          <w:tab w:leader="none" w:pos="3580" w:val="left"/>
          <w:tab w:leader="none" w:pos="3940" w:val="left"/>
          <w:tab w:leader="none" w:pos="4380" w:val="left"/>
          <w:tab w:leader="none" w:pos="5000" w:val="left"/>
          <w:tab w:leader="none" w:pos="5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creating</w:t>
        <w:tab/>
        <w:t>contingency</w:t>
        <w:tab/>
        <w:t>plans</w:t>
        <w:tab/>
        <w:t>in</w:t>
        <w:tab/>
        <w:t>the</w:t>
        <w:tab/>
        <w:t>event</w:t>
        <w:tab/>
        <w:t>of</w:t>
      </w:r>
      <w:r>
        <w:rPr>
          <w:sz w:val="20"/>
          <w:szCs w:val="20"/>
          <w:color w:val="auto"/>
        </w:rPr>
        <w:tab/>
      </w:r>
      <w:r>
        <w:rPr>
          <w:rFonts w:ascii="Courier New" w:cs="Courier New" w:eastAsia="Courier New" w:hAnsi="Courier New"/>
          <w:sz w:val="14"/>
          <w:szCs w:val="14"/>
          <w:color w:val="auto"/>
        </w:rPr>
        <w:t>Year 2000 failures.</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We will initiate an assessment of all current versions of our software products and believe that this will be completed in the first half of 1999. Even so, whether a complete system or device in which a software product is embedded will operate correctly for an end-user depends largely on the Year 2000 compliance of other components, most of which are supplied by third parties.</w:t>
      </w:r>
    </w:p>
    <w:p>
      <w:pPr>
        <w:spacing w:after="0" w:line="16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rely, both domestically and internationally, upon various vendors, government agencies, utility companies, telecommunications service companies, delivery service companies and other service providers. We have no control over these third parties and they may suffer a Year 2000 business disruption.</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also rely upon goods and services purchased from certain vendors, and our business could be disrupted if they fail to adequately address the Year 2000 issue. We are preparing to survey our principal vendors to assess the potential effect of the Year 2000 issue on their ability to supply us. We cannot currently predict the outcome of this effort. We intend to develop contingency plans regarding vendors whose failure to be Year 2000 ready is expected to have a material adverse impact on our operations. However, our vendors may be unable to supply important goods and services without material interruption and our contingency plans may not keep us adequately supplied.</w:t>
      </w:r>
    </w:p>
    <w:p>
      <w:pPr>
        <w:spacing w:after="0" w:line="179"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demand for our products could also be affected by Year 2000 issues affecting our customers. We plan to develop a contingency plan for customers with Year 2000 problems, but we cannot presently determine what impact, if any, it will have.</w:t>
      </w:r>
    </w:p>
    <w:p>
      <w:pPr>
        <w:spacing w:after="0" w:line="176"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We are focusing on identifying and addressing all aspects of our operations that may be affected by the Year 2000 issue and are addressing the most critical applications first. We intend to develop and implement, if necessary,</w:t>
      </w:r>
    </w:p>
    <w:p>
      <w:pPr>
        <w:sectPr>
          <w:pgSz w:w="11900" w:h="16838" w:orient="portrait"/>
          <w:cols w:equalWidth="0" w:num="1">
            <w:col w:w="10219"/>
          </w:cols>
          <w:pgMar w:left="240" w:top="452" w:right="1440" w:bottom="0" w:gutter="0" w:footer="0" w:header="0"/>
        </w:sectPr>
      </w:pPr>
    </w:p>
    <w:bookmarkStart w:id="37" w:name="page38"/>
    <w:bookmarkEnd w:id="37"/>
    <w:p>
      <w:pPr>
        <w:jc w:val="both"/>
        <w:ind w:right="3179"/>
        <w:spacing w:after="0" w:line="238" w:lineRule="auto"/>
        <w:rPr>
          <w:sz w:val="20"/>
          <w:szCs w:val="20"/>
          <w:color w:val="auto"/>
        </w:rPr>
      </w:pPr>
      <w:r>
        <w:rPr>
          <w:rFonts w:ascii="Courier New" w:cs="Courier New" w:eastAsia="Courier New" w:hAnsi="Courier New"/>
          <w:sz w:val="15"/>
          <w:szCs w:val="15"/>
          <w:color w:val="auto"/>
        </w:rPr>
        <w:t>appropriate contingency plans to mitigate the effects of any Year 2000 noncompliance. We expect to have these plans completed in the second half of 1999. As part of the development of a contingency plan, we will evaluate our worst case scenario for Year 2000 noncompliance. Although the full consequences are unknown, the failure of our critical systems or those of our material vendors and other business partners to be Year 2000 complaint would interrupt our business.</w:t>
      </w:r>
    </w:p>
    <w:p>
      <w:pPr>
        <w:spacing w:after="0" w:line="177"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OUR ACTIVITIES INVOLVE HAZARDOUS MATERIALS AND MAY SUBJECT US TO ENVIRONMENTAL LIABILITY</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Our research and development involves the controlled use of hazardous and radioactive materials and biological waste. We are subject to federal, state and local laws and regulations governing the use, manufacture, storage, handling and disposal of these materials and certain waste products. Although we believe that our safety procedures for handling and disposing of these materials comply with legally prescribed standards, the risk of accidental contamination or injury from these materials cannot be completely eliminated. In the event of an accident, we could be held liable for damages, and this liability could exceed our resources.</w:t>
      </w:r>
    </w:p>
    <w:p>
      <w:pPr>
        <w:spacing w:after="0" w:line="179"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believe that we are in compliance in all material respects with applicable environmental laws and regulations and currently do not expect to make material additional capital expenditures for environmental control facilities in the near term. However, we may have to incur significant costs to comply with current or future environmental laws and regulations.</w:t>
      </w:r>
    </w:p>
    <w:p>
      <w:pPr>
        <w:sectPr>
          <w:pgSz w:w="11900" w:h="16838" w:orient="portrait"/>
          <w:cols w:equalWidth="0" w:num="1">
            <w:col w:w="10219"/>
          </w:cols>
          <w:pgMar w:left="240" w:top="141" w:right="1440" w:bottom="1440" w:gutter="0" w:footer="0" w:header="0"/>
        </w:sectPr>
      </w:pPr>
    </w:p>
    <w:bookmarkStart w:id="38" w:name="page39"/>
    <w:bookmarkEnd w:id="38"/>
    <w:p>
      <w:pPr>
        <w:jc w:val="both"/>
        <w:ind w:right="3179"/>
        <w:spacing w:after="0" w:line="235" w:lineRule="auto"/>
        <w:rPr>
          <w:sz w:val="20"/>
          <w:szCs w:val="20"/>
          <w:color w:val="auto"/>
        </w:rPr>
      </w:pPr>
      <w:r>
        <w:rPr>
          <w:rFonts w:ascii="Courier New" w:cs="Courier New" w:eastAsia="Courier New" w:hAnsi="Courier New"/>
          <w:sz w:val="15"/>
          <w:szCs w:val="15"/>
          <w:color w:val="auto"/>
        </w:rPr>
        <w:t>OUR REVENUES ARE DERIVED PRIMARILY FROM THE PHARMACEUTICAL AND BIOTECHNOLOGY INDUSTRIES</w:t>
      </w:r>
    </w:p>
    <w:p>
      <w:pPr>
        <w:spacing w:after="0" w:line="17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We expect that our revenues in the foreseeable future will be derived primarily from products and services provided to the pharmaceutical and biotechnology industries. Accordingly, our success will depend directly upon the success of the companies within these industries and their demand for our products and services. Our operating results may fluctuate substantially due to reductions and delays in research and development expenditures by companies in these industries. These reductions and delays may result from factors such as:</w:t>
      </w:r>
    </w:p>
    <w:p>
      <w:pPr>
        <w:spacing w:after="0" w:line="162" w:lineRule="exact"/>
        <w:rPr>
          <w:sz w:val="20"/>
          <w:szCs w:val="20"/>
          <w:color w:val="auto"/>
        </w:rPr>
      </w:pPr>
    </w:p>
    <w:p>
      <w:pPr>
        <w:ind w:left="440"/>
        <w:spacing w:after="0"/>
        <w:tabs>
          <w:tab w:leader="none" w:pos="940" w:val="left"/>
          <w:tab w:leader="none" w:pos="1740" w:val="left"/>
          <w:tab w:leader="none" w:pos="2080" w:val="left"/>
          <w:tab w:leader="none" w:pos="2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changes</w:t>
        <w:tab/>
        <w:t>in</w:t>
        <w:tab/>
        <w:t>economic</w:t>
      </w:r>
      <w:r>
        <w:rPr>
          <w:sz w:val="20"/>
          <w:szCs w:val="20"/>
          <w:color w:val="auto"/>
        </w:rPr>
        <w:tab/>
      </w:r>
      <w:r>
        <w:rPr>
          <w:rFonts w:ascii="Courier New" w:cs="Courier New" w:eastAsia="Courier New" w:hAnsi="Courier New"/>
          <w:sz w:val="14"/>
          <w:szCs w:val="14"/>
          <w:color w:val="auto"/>
        </w:rPr>
        <w:t>conditions;</w:t>
      </w:r>
    </w:p>
    <w:p>
      <w:pPr>
        <w:spacing w:after="0" w:line="175" w:lineRule="exact"/>
        <w:rPr>
          <w:sz w:val="20"/>
          <w:szCs w:val="20"/>
          <w:color w:val="auto"/>
        </w:rPr>
      </w:pPr>
    </w:p>
    <w:p>
      <w:pPr>
        <w:ind w:left="960" w:hanging="529"/>
        <w:spacing w:after="0"/>
        <w:tabs>
          <w:tab w:leader="none" w:pos="9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regulatory  environment  affecting  health care and</w:t>
      </w:r>
    </w:p>
    <w:p>
      <w:pPr>
        <w:spacing w:after="0" w:line="5" w:lineRule="exact"/>
        <w:rPr>
          <w:sz w:val="20"/>
          <w:szCs w:val="20"/>
          <w:color w:val="auto"/>
        </w:rPr>
      </w:pPr>
    </w:p>
    <w:p>
      <w:pPr>
        <w:spacing w:after="0"/>
        <w:tabs>
          <w:tab w:leader="none" w:pos="680" w:val="left"/>
          <w:tab w:leader="none" w:pos="1200" w:val="left"/>
        </w:tabs>
        <w:rPr>
          <w:sz w:val="20"/>
          <w:szCs w:val="20"/>
          <w:color w:val="auto"/>
        </w:rPr>
      </w:pPr>
      <w:r>
        <w:rPr>
          <w:rFonts w:ascii="Courier New" w:cs="Courier New" w:eastAsia="Courier New" w:hAnsi="Courier New"/>
          <w:sz w:val="15"/>
          <w:szCs w:val="15"/>
          <w:color w:val="auto"/>
        </w:rPr>
        <w:t>health</w:t>
        <w:tab/>
        <w:t>care</w:t>
      </w:r>
      <w:r>
        <w:rPr>
          <w:sz w:val="20"/>
          <w:szCs w:val="20"/>
          <w:color w:val="auto"/>
        </w:rPr>
        <w:tab/>
      </w:r>
      <w:r>
        <w:rPr>
          <w:rFonts w:ascii="Courier New" w:cs="Courier New" w:eastAsia="Courier New" w:hAnsi="Courier New"/>
          <w:sz w:val="14"/>
          <w:szCs w:val="14"/>
          <w:color w:val="auto"/>
        </w:rPr>
        <w:t>providers;</w:t>
      </w:r>
    </w:p>
    <w:p>
      <w:pPr>
        <w:spacing w:after="0" w:line="169" w:lineRule="exact"/>
        <w:rPr>
          <w:sz w:val="20"/>
          <w:szCs w:val="20"/>
          <w:color w:val="auto"/>
        </w:rPr>
      </w:pPr>
    </w:p>
    <w:p>
      <w:pPr>
        <w:ind w:left="960" w:hanging="529"/>
        <w:spacing w:after="0"/>
        <w:tabs>
          <w:tab w:leader="none" w:pos="9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pricing  pressures;</w:t>
      </w:r>
    </w:p>
    <w:p>
      <w:pPr>
        <w:spacing w:after="0" w:line="174" w:lineRule="exact"/>
        <w:rPr>
          <w:rFonts w:ascii="Courier New" w:cs="Courier New" w:eastAsia="Courier New" w:hAnsi="Courier New"/>
          <w:sz w:val="15"/>
          <w:szCs w:val="15"/>
          <w:color w:val="auto"/>
        </w:rPr>
      </w:pPr>
    </w:p>
    <w:p>
      <w:pPr>
        <w:ind w:left="960" w:hanging="529"/>
        <w:spacing w:after="0"/>
        <w:tabs>
          <w:tab w:leader="none" w:pos="9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market-driven pressures on companies to consolidate and reduce costs;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175" w:lineRule="exact"/>
        <w:rPr>
          <w:sz w:val="20"/>
          <w:szCs w:val="20"/>
          <w:color w:val="auto"/>
        </w:rPr>
      </w:pPr>
    </w:p>
    <w:p>
      <w:pPr>
        <w:ind w:right="3619" w:firstLine="431"/>
        <w:spacing w:after="0" w:line="471" w:lineRule="auto"/>
        <w:tabs>
          <w:tab w:leader="none" w:pos="97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factors affecting research and development spending. These factors are not within our control.</w:t>
      </w:r>
    </w:p>
    <w:p>
      <w:pPr>
        <w:spacing w:after="0" w:line="6" w:lineRule="exact"/>
        <w:rPr>
          <w:sz w:val="20"/>
          <w:szCs w:val="20"/>
          <w:color w:val="auto"/>
        </w:rPr>
      </w:pPr>
    </w:p>
    <w:p>
      <w:pPr>
        <w:spacing w:after="0"/>
        <w:tabs>
          <w:tab w:leader="none" w:pos="420" w:val="left"/>
          <w:tab w:leader="none" w:pos="1300" w:val="left"/>
          <w:tab w:leader="none" w:pos="1900" w:val="left"/>
          <w:tab w:leader="none" w:pos="2260" w:val="left"/>
          <w:tab w:leader="none" w:pos="3400" w:val="left"/>
          <w:tab w:leader="none" w:pos="3760" w:val="left"/>
          <w:tab w:leader="none" w:pos="4560" w:val="left"/>
        </w:tabs>
        <w:rPr>
          <w:sz w:val="20"/>
          <w:szCs w:val="20"/>
          <w:color w:val="auto"/>
        </w:rPr>
      </w:pPr>
      <w:r>
        <w:rPr>
          <w:rFonts w:ascii="Courier New" w:cs="Courier New" w:eastAsia="Courier New" w:hAnsi="Courier New"/>
          <w:sz w:val="15"/>
          <w:szCs w:val="15"/>
          <w:color w:val="auto"/>
        </w:rPr>
        <w:t>OUR</w:t>
        <w:tab/>
        <w:t>BUSINESS</w:t>
        <w:tab/>
        <w:t>COULD</w:t>
        <w:tab/>
        <w:t>BE</w:t>
        <w:tab/>
        <w:t>INTERRUPTED</w:t>
        <w:tab/>
        <w:t>BY</w:t>
        <w:tab/>
        <w:t>NATURAL</w:t>
      </w:r>
      <w:r>
        <w:rPr>
          <w:sz w:val="20"/>
          <w:szCs w:val="20"/>
          <w:color w:val="auto"/>
        </w:rPr>
        <w:tab/>
      </w:r>
      <w:r>
        <w:rPr>
          <w:rFonts w:ascii="Courier New" w:cs="Courier New" w:eastAsia="Courier New" w:hAnsi="Courier New"/>
          <w:sz w:val="14"/>
          <w:szCs w:val="14"/>
          <w:color w:val="auto"/>
        </w:rPr>
        <w:t>DISASTERS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conduct our sequencing and a significant portion of our other activities at our facilities in Palo Alto, California, and conduct our microarray-related activities at our facilities in Fremont, California. Both locations are in a seismically active area. Although we maintain business interruption insurance, we do not have or plan to obtain earthquake insurance. A major catastrophe (such as an earthquake or other natural disaster) could result in a prolonged interruption of our business.</w:t>
      </w:r>
    </w:p>
    <w:p>
      <w:pPr>
        <w:sectPr>
          <w:pgSz w:w="11900" w:h="16838" w:orient="portrait"/>
          <w:cols w:equalWidth="0" w:num="1">
            <w:col w:w="10219"/>
          </w:cols>
          <w:pgMar w:left="240" w:top="458" w:right="1440" w:bottom="1440" w:gutter="0" w:footer="0" w:header="0"/>
        </w:sectPr>
      </w:pPr>
    </w:p>
    <w:bookmarkStart w:id="39" w:name="page40"/>
    <w:bookmarkEnd w:id="39"/>
    <w:p>
      <w:pPr>
        <w:spacing w:after="0"/>
        <w:tabs>
          <w:tab w:leader="none" w:pos="500" w:val="left"/>
          <w:tab w:leader="none" w:pos="940" w:val="left"/>
          <w:tab w:leader="none" w:pos="2180" w:val="left"/>
          <w:tab w:leader="none" w:pos="2620" w:val="left"/>
          <w:tab w:leader="none" w:pos="3760" w:val="left"/>
          <w:tab w:leader="none" w:pos="4900" w:val="left"/>
          <w:tab w:leader="none" w:pos="5520" w:val="left"/>
          <w:tab w:leader="none" w:pos="6220" w:val="left"/>
        </w:tabs>
        <w:rPr>
          <w:sz w:val="20"/>
          <w:szCs w:val="20"/>
          <w:color w:val="auto"/>
        </w:rPr>
      </w:pPr>
      <w:r>
        <w:rPr>
          <w:rFonts w:ascii="Courier New" w:cs="Courier New" w:eastAsia="Courier New" w:hAnsi="Courier New"/>
          <w:sz w:val="15"/>
          <w:szCs w:val="15"/>
          <w:color w:val="auto"/>
        </w:rPr>
        <w:t>ITEM</w:t>
        <w:tab/>
        <w:t>7A.</w:t>
        <w:tab/>
        <w:t>QUANTITATIVE</w:t>
        <w:tab/>
        <w:t>AND</w:t>
        <w:tab/>
        <w:t>QUALITATIVE</w:t>
        <w:tab/>
        <w:t>DISCLOSURES</w:t>
        <w:tab/>
        <w:t>ABOUT</w:t>
        <w:tab/>
        <w:t>MARKET</w:t>
        <w:tab/>
        <w:t>RISK</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is exposed to interest rate risk primarily through its investments in short-term marketable securities and its note payable. The Company's investment policy calls for investment in short term, low risk instruments. As of December 31, 1998, investments in marketable securities was $61.2 million. At December 31, 1998, the Company had a fixed rate note payable balance of $0.7 million. Due to the nature of these investments and note, any decrease in rates would not have a material impact on the Company's financial statements.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is exposed to equity price risks on the marketable portion of equity securities included in its portfolio of investments and long-term investments, entered into to further its business and strategic objectives. These investments are in small capitalization stocks in the pharmaceutical/ biotech industry sector, in companies which the Company has research and development or licensing agreements. The Company typically does not attempt to reduce or eliminate its market exposure on these securities. As of December 31, 1998, long-term investments were $12.4 million.</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Company typically does not hedge its foreign currency exposure. Management does not believe that the Company's exposure to foreign currency rate fluctuations is material.</w:t>
      </w:r>
    </w:p>
    <w:p>
      <w:pPr>
        <w:sectPr>
          <w:pgSz w:w="11900" w:h="16838" w:orient="portrait"/>
          <w:cols w:equalWidth="0" w:num="1">
            <w:col w:w="10219"/>
          </w:cols>
          <w:pgMar w:left="240" w:top="452" w:right="1440" w:bottom="1440" w:gutter="0" w:footer="0" w:header="0"/>
        </w:sectPr>
      </w:pPr>
    </w:p>
    <w:bookmarkStart w:id="40" w:name="page41"/>
    <w:bookmarkEnd w:id="40"/>
    <w:p>
      <w:pPr>
        <w:ind w:left="1760" w:right="4679" w:hanging="3084"/>
        <w:spacing w:after="0" w:line="235" w:lineRule="auto"/>
        <w:tabs>
          <w:tab w:leader="none" w:pos="174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4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9"/>
              </w:rPr>
              <w:t>PAGE</w:t>
            </w:r>
          </w:p>
        </w:tc>
      </w:tr>
      <w:tr>
        <w:trPr>
          <w:trHeight w:val="339"/>
        </w:trPr>
        <w:tc>
          <w:tcPr>
            <w:tcW w:w="6380" w:type="dxa"/>
            <w:vAlign w:val="bottom"/>
            <w:gridSpan w:val="3"/>
          </w:tcPr>
          <w:p>
            <w:pPr>
              <w:spacing w:after="0"/>
              <w:rPr>
                <w:sz w:val="20"/>
                <w:szCs w:val="20"/>
                <w:color w:val="auto"/>
              </w:rPr>
            </w:pPr>
            <w:r>
              <w:rPr>
                <w:rFonts w:ascii="Courier New" w:cs="Courier New" w:eastAsia="Courier New" w:hAnsi="Courier New"/>
                <w:sz w:val="15"/>
                <w:szCs w:val="15"/>
                <w:color w:val="auto"/>
              </w:rPr>
              <w:t>CONSOLIDATED FINANCIAL STATEMENTS OF INCYTE PHARMACEUTICALS, INC.</w:t>
            </w:r>
          </w:p>
        </w:tc>
        <w:tc>
          <w:tcPr>
            <w:tcW w:w="840" w:type="dxa"/>
            <w:vAlign w:val="bottom"/>
          </w:tcPr>
          <w:p>
            <w:pPr>
              <w:spacing w:after="0"/>
              <w:rPr>
                <w:sz w:val="24"/>
                <w:szCs w:val="24"/>
                <w:color w:val="auto"/>
              </w:rPr>
            </w:pPr>
          </w:p>
        </w:tc>
      </w:tr>
      <w:tr>
        <w:trPr>
          <w:trHeight w:val="339"/>
        </w:trPr>
        <w:tc>
          <w:tcPr>
            <w:tcW w:w="25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Report of Ernst &amp; Young</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LLP, Independent Auditors</w:t>
            </w:r>
          </w:p>
        </w:tc>
        <w:tc>
          <w:tcPr>
            <w:tcW w:w="8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43</w:t>
            </w:r>
          </w:p>
        </w:tc>
      </w:tr>
      <w:tr>
        <w:trPr>
          <w:trHeight w:val="339"/>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Consolidated</w:t>
            </w:r>
          </w:p>
        </w:tc>
        <w:tc>
          <w:tcPr>
            <w:tcW w:w="480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Sheets at December 31, 1998 and 1997</w:t>
            </w:r>
          </w:p>
        </w:tc>
        <w:tc>
          <w:tcPr>
            <w:tcW w:w="8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44</w:t>
            </w:r>
          </w:p>
        </w:tc>
      </w:tr>
      <w:tr>
        <w:trPr>
          <w:trHeight w:val="339"/>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Consolidated</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Statements</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of Operations for the years ended</w:t>
            </w:r>
          </w:p>
        </w:tc>
        <w:tc>
          <w:tcPr>
            <w:tcW w:w="840" w:type="dxa"/>
            <w:vAlign w:val="bottom"/>
          </w:tcPr>
          <w:p>
            <w:pPr>
              <w:spacing w:after="0"/>
              <w:rPr>
                <w:sz w:val="24"/>
                <w:szCs w:val="24"/>
                <w:color w:val="auto"/>
              </w:rPr>
            </w:pPr>
          </w:p>
        </w:tc>
      </w:tr>
      <w:tr>
        <w:trPr>
          <w:trHeight w:val="170"/>
        </w:trPr>
        <w:tc>
          <w:tcPr>
            <w:tcW w:w="250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8"/>
              </w:rPr>
              <w:t>December 31, 1998,</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1997 and 1996</w:t>
            </w:r>
          </w:p>
        </w:tc>
        <w:tc>
          <w:tcPr>
            <w:tcW w:w="8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45</w:t>
            </w:r>
          </w:p>
        </w:tc>
      </w:tr>
      <w:tr>
        <w:trPr>
          <w:trHeight w:val="170"/>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Consolidated</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Statements</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of Comprehensive Income (Loss)</w:t>
            </w:r>
          </w:p>
        </w:tc>
        <w:tc>
          <w:tcPr>
            <w:tcW w:w="8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46</w:t>
            </w:r>
          </w:p>
        </w:tc>
      </w:tr>
      <w:tr>
        <w:trPr>
          <w:trHeight w:val="339"/>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Consolidated</w:t>
            </w:r>
          </w:p>
        </w:tc>
        <w:tc>
          <w:tcPr>
            <w:tcW w:w="480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Stockholders' Equity for the three</w:t>
            </w:r>
          </w:p>
        </w:tc>
        <w:tc>
          <w:tcPr>
            <w:tcW w:w="840" w:type="dxa"/>
            <w:vAlign w:val="bottom"/>
          </w:tcPr>
          <w:p>
            <w:pPr>
              <w:spacing w:after="0"/>
              <w:rPr>
                <w:sz w:val="24"/>
                <w:szCs w:val="24"/>
                <w:color w:val="auto"/>
              </w:rPr>
            </w:pPr>
          </w:p>
        </w:tc>
      </w:tr>
      <w:tr>
        <w:trPr>
          <w:trHeight w:val="170"/>
        </w:trPr>
        <w:tc>
          <w:tcPr>
            <w:tcW w:w="6380" w:type="dxa"/>
            <w:vAlign w:val="bottom"/>
            <w:gridSpan w:val="3"/>
          </w:tcPr>
          <w:p>
            <w:pPr>
              <w:ind w:left="880"/>
              <w:spacing w:after="0"/>
              <w:rPr>
                <w:sz w:val="20"/>
                <w:szCs w:val="20"/>
                <w:color w:val="auto"/>
              </w:rPr>
            </w:pPr>
            <w:r>
              <w:rPr>
                <w:rFonts w:ascii="Courier New" w:cs="Courier New" w:eastAsia="Courier New" w:hAnsi="Courier New"/>
                <w:sz w:val="15"/>
                <w:szCs w:val="15"/>
                <w:color w:val="auto"/>
              </w:rPr>
              <w:t>year period ended December 31, 1998</w:t>
            </w:r>
          </w:p>
        </w:tc>
        <w:tc>
          <w:tcPr>
            <w:tcW w:w="8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47</w:t>
            </w:r>
          </w:p>
        </w:tc>
      </w:tr>
      <w:tr>
        <w:trPr>
          <w:trHeight w:val="339"/>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Consolidated</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Statements</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of Cash Flow for the years ended</w:t>
            </w:r>
          </w:p>
        </w:tc>
        <w:tc>
          <w:tcPr>
            <w:tcW w:w="840" w:type="dxa"/>
            <w:vAlign w:val="bottom"/>
          </w:tcPr>
          <w:p>
            <w:pPr>
              <w:spacing w:after="0"/>
              <w:rPr>
                <w:sz w:val="24"/>
                <w:szCs w:val="24"/>
                <w:color w:val="auto"/>
              </w:rPr>
            </w:pPr>
          </w:p>
        </w:tc>
      </w:tr>
      <w:tr>
        <w:trPr>
          <w:trHeight w:val="170"/>
        </w:trPr>
        <w:tc>
          <w:tcPr>
            <w:tcW w:w="250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8"/>
              </w:rPr>
              <w:t>December 31, 1998,</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1997 and 1996</w:t>
            </w:r>
          </w:p>
        </w:tc>
        <w:tc>
          <w:tcPr>
            <w:tcW w:w="8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48</w:t>
            </w:r>
          </w:p>
        </w:tc>
      </w:tr>
      <w:tr>
        <w:trPr>
          <w:trHeight w:val="339"/>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Notes to the</w:t>
            </w:r>
          </w:p>
        </w:tc>
        <w:tc>
          <w:tcPr>
            <w:tcW w:w="48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Financial Statements</w:t>
            </w:r>
          </w:p>
        </w:tc>
        <w:tc>
          <w:tcPr>
            <w:tcW w:w="8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50</w:t>
            </w:r>
          </w:p>
        </w:tc>
      </w:tr>
      <w:tr>
        <w:trPr>
          <w:trHeight w:val="339"/>
        </w:trPr>
        <w:tc>
          <w:tcPr>
            <w:tcW w:w="25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Schedule II - Valuation</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and Qualifying Accounts</w:t>
            </w:r>
          </w:p>
        </w:tc>
        <w:tc>
          <w:tcPr>
            <w:tcW w:w="8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66</w:t>
            </w:r>
          </w:p>
        </w:tc>
      </w:tr>
      <w:tr>
        <w:trPr>
          <w:trHeight w:val="339"/>
        </w:trPr>
        <w:tc>
          <w:tcPr>
            <w:tcW w:w="6380" w:type="dxa"/>
            <w:vAlign w:val="bottom"/>
            <w:gridSpan w:val="3"/>
          </w:tcPr>
          <w:p>
            <w:pPr>
              <w:spacing w:after="0"/>
              <w:rPr>
                <w:sz w:val="20"/>
                <w:szCs w:val="20"/>
                <w:color w:val="auto"/>
              </w:rPr>
            </w:pPr>
            <w:r>
              <w:rPr>
                <w:rFonts w:ascii="Courier New" w:cs="Courier New" w:eastAsia="Courier New" w:hAnsi="Courier New"/>
                <w:sz w:val="15"/>
                <w:szCs w:val="15"/>
                <w:color w:val="auto"/>
              </w:rPr>
              <w:t>FINANCIAL STATEMENTS OF DIADEXUS,  LLC, A DEVELOPMENT STAGE COMPANY</w:t>
            </w:r>
          </w:p>
        </w:tc>
        <w:tc>
          <w:tcPr>
            <w:tcW w:w="840" w:type="dxa"/>
            <w:vAlign w:val="bottom"/>
          </w:tcPr>
          <w:p>
            <w:pPr>
              <w:spacing w:after="0"/>
              <w:rPr>
                <w:sz w:val="24"/>
                <w:szCs w:val="24"/>
                <w:color w:val="auto"/>
              </w:rPr>
            </w:pPr>
          </w:p>
        </w:tc>
      </w:tr>
      <w:tr>
        <w:trPr>
          <w:trHeight w:val="339"/>
        </w:trPr>
        <w:tc>
          <w:tcPr>
            <w:tcW w:w="63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Report of PricewaterhouseCoopers LLP, Independent Accountants</w:t>
            </w:r>
          </w:p>
        </w:tc>
        <w:tc>
          <w:tcPr>
            <w:tcW w:w="8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67</w:t>
            </w:r>
          </w:p>
        </w:tc>
      </w:tr>
      <w:tr>
        <w:trPr>
          <w:trHeight w:val="339"/>
        </w:trPr>
        <w:tc>
          <w:tcPr>
            <w:tcW w:w="63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Balance Sheet at December 31, 1998 and 1997</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w:t>
            </w:r>
          </w:p>
        </w:tc>
      </w:tr>
      <w:tr>
        <w:trPr>
          <w:trHeight w:val="339"/>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Statement of</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Operations</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for the year ended December 31,</w:t>
            </w:r>
          </w:p>
        </w:tc>
        <w:tc>
          <w:tcPr>
            <w:tcW w:w="840" w:type="dxa"/>
            <w:vAlign w:val="bottom"/>
          </w:tcPr>
          <w:p>
            <w:pPr>
              <w:spacing w:after="0"/>
              <w:rPr>
                <w:sz w:val="24"/>
                <w:szCs w:val="24"/>
                <w:color w:val="auto"/>
              </w:rPr>
            </w:pPr>
          </w:p>
        </w:tc>
      </w:tr>
      <w:tr>
        <w:trPr>
          <w:trHeight w:val="170"/>
        </w:trPr>
        <w:tc>
          <w:tcPr>
            <w:tcW w:w="1580" w:type="dxa"/>
            <w:vAlign w:val="bottom"/>
          </w:tcPr>
          <w:p>
            <w:pPr>
              <w:ind w:left="880"/>
              <w:spacing w:after="0"/>
              <w:rPr>
                <w:sz w:val="20"/>
                <w:szCs w:val="20"/>
                <w:color w:val="auto"/>
              </w:rPr>
            </w:pPr>
            <w:r>
              <w:rPr>
                <w:rFonts w:ascii="Courier New" w:cs="Courier New" w:eastAsia="Courier New" w:hAnsi="Courier New"/>
                <w:sz w:val="15"/>
                <w:szCs w:val="15"/>
                <w:color w:val="auto"/>
                <w:w w:val="94"/>
              </w:rPr>
              <w:t>1998 and</w:t>
            </w:r>
          </w:p>
        </w:tc>
        <w:tc>
          <w:tcPr>
            <w:tcW w:w="4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 the period from inception</w:t>
            </w:r>
          </w:p>
        </w:tc>
        <w:tc>
          <w:tcPr>
            <w:tcW w:w="840" w:type="dxa"/>
            <w:vAlign w:val="bottom"/>
          </w:tcPr>
          <w:p>
            <w:pPr>
              <w:spacing w:after="0"/>
              <w:rPr>
                <w:sz w:val="14"/>
                <w:szCs w:val="14"/>
                <w:color w:val="auto"/>
              </w:rPr>
            </w:pPr>
          </w:p>
        </w:tc>
      </w:tr>
      <w:tr>
        <w:trPr>
          <w:trHeight w:val="170"/>
        </w:trPr>
        <w:tc>
          <w:tcPr>
            <w:tcW w:w="6380" w:type="dxa"/>
            <w:vAlign w:val="bottom"/>
            <w:gridSpan w:val="3"/>
          </w:tcPr>
          <w:p>
            <w:pPr>
              <w:ind w:left="880"/>
              <w:spacing w:after="0"/>
              <w:rPr>
                <w:sz w:val="20"/>
                <w:szCs w:val="20"/>
                <w:color w:val="auto"/>
              </w:rPr>
            </w:pPr>
            <w:r>
              <w:rPr>
                <w:rFonts w:ascii="Courier New" w:cs="Courier New" w:eastAsia="Courier New" w:hAnsi="Courier New"/>
                <w:sz w:val="15"/>
                <w:szCs w:val="15"/>
                <w:color w:val="auto"/>
              </w:rPr>
              <w:t>(September 1997) through December 31, 1997 and 1998</w:t>
            </w:r>
          </w:p>
        </w:tc>
        <w:tc>
          <w:tcPr>
            <w:tcW w:w="8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69</w:t>
            </w:r>
          </w:p>
        </w:tc>
      </w:tr>
      <w:tr>
        <w:trPr>
          <w:trHeight w:val="339"/>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Statement of</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Changes In</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Members' Equity For the Period</w:t>
            </w:r>
          </w:p>
        </w:tc>
        <w:tc>
          <w:tcPr>
            <w:tcW w:w="840" w:type="dxa"/>
            <w:vAlign w:val="bottom"/>
          </w:tcPr>
          <w:p>
            <w:pPr>
              <w:spacing w:after="0"/>
              <w:rPr>
                <w:sz w:val="24"/>
                <w:szCs w:val="24"/>
                <w:color w:val="auto"/>
              </w:rPr>
            </w:pPr>
          </w:p>
        </w:tc>
      </w:tr>
      <w:tr>
        <w:trPr>
          <w:trHeight w:val="170"/>
        </w:trPr>
        <w:tc>
          <w:tcPr>
            <w:tcW w:w="6380" w:type="dxa"/>
            <w:vAlign w:val="bottom"/>
            <w:gridSpan w:val="3"/>
          </w:tcPr>
          <w:p>
            <w:pPr>
              <w:ind w:left="880"/>
              <w:spacing w:after="0"/>
              <w:rPr>
                <w:sz w:val="20"/>
                <w:szCs w:val="20"/>
                <w:color w:val="auto"/>
              </w:rPr>
            </w:pPr>
            <w:r>
              <w:rPr>
                <w:rFonts w:ascii="Courier New" w:cs="Courier New" w:eastAsia="Courier New" w:hAnsi="Courier New"/>
                <w:sz w:val="15"/>
                <w:szCs w:val="15"/>
                <w:color w:val="auto"/>
              </w:rPr>
              <w:t>From Inception (September 1997) through December 31, 1998</w:t>
            </w:r>
          </w:p>
        </w:tc>
        <w:tc>
          <w:tcPr>
            <w:tcW w:w="8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70</w:t>
            </w:r>
          </w:p>
        </w:tc>
      </w:tr>
      <w:tr>
        <w:trPr>
          <w:trHeight w:val="339"/>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Statement of</w:t>
            </w:r>
          </w:p>
        </w:tc>
        <w:tc>
          <w:tcPr>
            <w:tcW w:w="4800" w:type="dxa"/>
            <w:vAlign w:val="bottom"/>
            <w:gridSpan w:val="2"/>
          </w:tcPr>
          <w:p>
            <w:pPr>
              <w:spacing w:after="0"/>
              <w:rPr>
                <w:sz w:val="20"/>
                <w:szCs w:val="20"/>
                <w:color w:val="auto"/>
              </w:rPr>
            </w:pPr>
            <w:r>
              <w:rPr>
                <w:rFonts w:ascii="Courier New" w:cs="Courier New" w:eastAsia="Courier New" w:hAnsi="Courier New"/>
                <w:sz w:val="15"/>
                <w:szCs w:val="15"/>
                <w:color w:val="auto"/>
              </w:rPr>
              <w:t>Cash Flow for the year ended</w:t>
            </w:r>
          </w:p>
        </w:tc>
        <w:tc>
          <w:tcPr>
            <w:tcW w:w="840" w:type="dxa"/>
            <w:vAlign w:val="bottom"/>
          </w:tcPr>
          <w:p>
            <w:pPr>
              <w:spacing w:after="0"/>
              <w:rPr>
                <w:sz w:val="24"/>
                <w:szCs w:val="24"/>
                <w:color w:val="auto"/>
              </w:rPr>
            </w:pPr>
          </w:p>
        </w:tc>
      </w:tr>
      <w:tr>
        <w:trPr>
          <w:trHeight w:val="170"/>
        </w:trPr>
        <w:tc>
          <w:tcPr>
            <w:tcW w:w="6380" w:type="dxa"/>
            <w:vAlign w:val="bottom"/>
            <w:gridSpan w:val="3"/>
          </w:tcPr>
          <w:p>
            <w:pPr>
              <w:ind w:left="880"/>
              <w:spacing w:after="0"/>
              <w:rPr>
                <w:sz w:val="20"/>
                <w:szCs w:val="20"/>
                <w:color w:val="auto"/>
              </w:rPr>
            </w:pPr>
            <w:r>
              <w:rPr>
                <w:rFonts w:ascii="Courier New" w:cs="Courier New" w:eastAsia="Courier New" w:hAnsi="Courier New"/>
                <w:sz w:val="15"/>
                <w:szCs w:val="15"/>
                <w:color w:val="auto"/>
              </w:rPr>
              <w:t>December 31, 1998 and for the period from inception</w:t>
            </w:r>
          </w:p>
        </w:tc>
        <w:tc>
          <w:tcPr>
            <w:tcW w:w="840" w:type="dxa"/>
            <w:vAlign w:val="bottom"/>
          </w:tcPr>
          <w:p>
            <w:pPr>
              <w:spacing w:after="0"/>
              <w:rPr>
                <w:sz w:val="14"/>
                <w:szCs w:val="14"/>
                <w:color w:val="auto"/>
              </w:rPr>
            </w:pPr>
          </w:p>
        </w:tc>
      </w:tr>
      <w:tr>
        <w:trPr>
          <w:trHeight w:val="170"/>
        </w:trPr>
        <w:tc>
          <w:tcPr>
            <w:tcW w:w="63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(September 1997) through December 31, 1997 and 1998</w:t>
            </w:r>
          </w:p>
        </w:tc>
        <w:tc>
          <w:tcPr>
            <w:tcW w:w="8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71</w:t>
            </w:r>
          </w:p>
        </w:tc>
      </w:tr>
      <w:tr>
        <w:trPr>
          <w:trHeight w:val="170"/>
        </w:trPr>
        <w:tc>
          <w:tcPr>
            <w:tcW w:w="63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Notes to Financial Statements</w:t>
            </w:r>
          </w:p>
        </w:tc>
        <w:tc>
          <w:tcPr>
            <w:tcW w:w="84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9"/>
              </w:rPr>
              <w:t>72</w:t>
            </w:r>
          </w:p>
        </w:tc>
      </w:tr>
    </w:tbl>
    <w:p>
      <w:pPr>
        <w:sectPr>
          <w:pgSz w:w="11900" w:h="16838" w:orient="portrait"/>
          <w:cols w:equalWidth="0" w:num="1">
            <w:col w:w="10219"/>
          </w:cols>
          <w:pgMar w:left="240" w:top="627" w:right="1440" w:bottom="1440" w:gutter="0" w:footer="0" w:header="0"/>
        </w:sectPr>
      </w:pPr>
    </w:p>
    <w:bookmarkStart w:id="41" w:name="page42"/>
    <w:bookmarkEnd w:id="41"/>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ERNST</w:t>
      </w:r>
    </w:p>
    <w:p>
      <w:pPr>
        <w:spacing w:after="0" w:line="20" w:lineRule="exact"/>
        <w:rPr>
          <w:sz w:val="20"/>
          <w:szCs w:val="20"/>
          <w:color w:val="auto"/>
        </w:rPr>
      </w:pPr>
      <w:r>
        <w:rPr>
          <w:sz w:val="20"/>
          <w:szCs w:val="20"/>
          <w:color w:val="auto"/>
        </w:rPr>
        <w:br w:type="column"/>
      </w:r>
    </w:p>
    <w:p>
      <w:pPr>
        <w:jc w:val="center"/>
        <w:spacing w:after="0"/>
        <w:tabs>
          <w:tab w:leader="none" w:pos="140" w:val="left"/>
        </w:tabs>
        <w:rPr>
          <w:sz w:val="20"/>
          <w:szCs w:val="20"/>
          <w:color w:val="auto"/>
        </w:rPr>
      </w:pPr>
      <w:r>
        <w:rPr>
          <w:rFonts w:ascii="Courier New" w:cs="Courier New" w:eastAsia="Courier New" w:hAnsi="Courier New"/>
          <w:sz w:val="15"/>
          <w:szCs w:val="15"/>
          <w:color w:val="auto"/>
        </w:rPr>
        <w:t>&amp;</w:t>
        <w:tab/>
        <w:t>YOUNG</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LLP,</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INDEPENDENT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AUDITORS</w:t>
      </w:r>
    </w:p>
    <w:p>
      <w:pPr>
        <w:spacing w:after="0" w:line="205" w:lineRule="exact"/>
        <w:rPr>
          <w:sz w:val="20"/>
          <w:szCs w:val="20"/>
          <w:color w:val="auto"/>
        </w:rPr>
      </w:pPr>
    </w:p>
    <w:p>
      <w:pPr>
        <w:sectPr>
          <w:pgSz w:w="11900" w:h="16838" w:orient="portrait"/>
          <w:cols w:equalWidth="0" w:num="7">
            <w:col w:w="520" w:space="180"/>
            <w:col w:w="180" w:space="160"/>
            <w:col w:w="440" w:space="180"/>
            <w:col w:w="720" w:space="160"/>
            <w:col w:w="360" w:space="180"/>
            <w:col w:w="960" w:space="180"/>
            <w:col w:w="5999"/>
          </w:cols>
          <w:pgMar w:left="240" w:top="452" w:right="1440" w:bottom="1440" w:gutter="0" w:footer="0" w:header="0"/>
        </w:sect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Board</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Directors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and</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Stockholders</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Incyte</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Pharmaceuticals,</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w:t>
      </w:r>
    </w:p>
    <w:p>
      <w:pPr>
        <w:spacing w:after="0" w:line="175" w:lineRule="exact"/>
        <w:rPr>
          <w:sz w:val="20"/>
          <w:szCs w:val="20"/>
          <w:color w:val="auto"/>
        </w:rPr>
      </w:pPr>
    </w:p>
    <w:p>
      <w:pPr>
        <w:sectPr>
          <w:pgSz w:w="11900" w:h="16838" w:orient="portrait"/>
          <w:cols w:equalWidth="0" w:num="10">
            <w:col w:w="260" w:space="180"/>
            <w:col w:w="440" w:space="160"/>
            <w:col w:w="180" w:space="180"/>
            <w:col w:w="800" w:space="180"/>
            <w:col w:w="260" w:space="180"/>
            <w:col w:w="1040" w:space="180"/>
            <w:col w:w="180" w:space="180"/>
            <w:col w:w="520" w:space="180"/>
            <w:col w:w="1420" w:space="160"/>
            <w:col w:w="3539"/>
          </w:cols>
          <w:pgMar w:left="240" w:top="452" w:right="1440" w:bottom="1440" w:gutter="0" w:footer="0" w:header="0"/>
          <w:type w:val="continuous"/>
        </w:sectPr>
      </w:pPr>
    </w:p>
    <w:p>
      <w:pPr>
        <w:ind w:right="3179"/>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Incyte Pharmaceuticals, Inc., as of December 31, 1998 and 1997, and the related consolidated statements of operations, comprehensive net income (loss), stockholders' equity, and cash flows for each of the three years in the period ended December 31, 1998. Our audits also included the financial statement schedules listed in the Index at Item 14(a).These financial statements and schedule are the responsibility of the Company's management. Our responsibility is to express an opinion on these financial statements and schedule based on our audits. We did not audit the financial statements of diaDexus, LLC, a joint venture, which statements reflect total assets of $20,215,000 and $10,212,000 as of December 31, 1998 and 1997 respectively, and total net loss of $7,928,000 and $548,000, for the years then ended. Those statements were audited by other auditors whose report has been furnished to us, and our opinion insofar as it relates to the loss from joint venture recorded under the equity method and other data included for diaDexus, LLC, is based solely on the report of the other auditors.</w:t>
      </w:r>
    </w:p>
    <w:p>
      <w:pPr>
        <w:spacing w:after="0" w:line="18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our opinion, based on our audits and the report of other auditors, the financial statements referred to above present fairly, in all material respects, the consolidated financial position of Incyte Pharmaceuticals, Inc., at December 31, 1998 and 1997, and the consolidated results of its operations and its cash flows for each of the three years in the period ended December 31, 1998, in conformity with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342" w:lineRule="exact"/>
        <w:rPr>
          <w:sz w:val="20"/>
          <w:szCs w:val="20"/>
          <w:color w:val="auto"/>
        </w:rPr>
      </w:pPr>
    </w:p>
    <w:p>
      <w:pPr>
        <w:jc w:val="both"/>
        <w:ind w:left="5020"/>
        <w:spacing w:after="0"/>
        <w:tabs>
          <w:tab w:leader="none" w:pos="5880" w:val="left"/>
          <w:tab w:leader="none" w:pos="6140" w:val="left"/>
          <w:tab w:leader="none" w:pos="6760" w:val="left"/>
        </w:tabs>
        <w:rPr>
          <w:sz w:val="20"/>
          <w:szCs w:val="20"/>
          <w:color w:val="auto"/>
        </w:rPr>
      </w:pPr>
      <w:r>
        <w:rPr>
          <w:rFonts w:ascii="Courier New" w:cs="Courier New" w:eastAsia="Courier New" w:hAnsi="Courier New"/>
          <w:sz w:val="15"/>
          <w:szCs w:val="15"/>
          <w:color w:val="auto"/>
        </w:rPr>
        <w:t>/s/Ernst</w:t>
        <w:tab/>
        <w:t>&amp;</w:t>
        <w:tab/>
        <w:t>Young</w:t>
      </w:r>
      <w:r>
        <w:rPr>
          <w:sz w:val="20"/>
          <w:szCs w:val="20"/>
          <w:color w:val="auto"/>
        </w:rPr>
        <w:tab/>
      </w:r>
      <w:r>
        <w:rPr>
          <w:rFonts w:ascii="Courier New" w:cs="Courier New" w:eastAsia="Courier New" w:hAnsi="Courier New"/>
          <w:sz w:val="14"/>
          <w:szCs w:val="14"/>
          <w:color w:val="auto"/>
        </w:rPr>
        <w:t>LLP</w:t>
      </w:r>
    </w:p>
    <w:p>
      <w:pPr>
        <w:spacing w:after="0" w:line="339" w:lineRule="exact"/>
        <w:rPr>
          <w:sz w:val="20"/>
          <w:szCs w:val="20"/>
          <w:color w:val="auto"/>
        </w:rPr>
      </w:pPr>
    </w:p>
    <w:p>
      <w:pPr>
        <w:spacing w:after="0"/>
        <w:tabs>
          <w:tab w:leader="none" w:pos="500" w:val="left"/>
          <w:tab w:leader="none" w:pos="1120" w:val="left"/>
        </w:tabs>
        <w:rPr>
          <w:sz w:val="20"/>
          <w:szCs w:val="20"/>
          <w:color w:val="auto"/>
        </w:rPr>
      </w:pPr>
      <w:r>
        <w:rPr>
          <w:rFonts w:ascii="Courier New" w:cs="Courier New" w:eastAsia="Courier New" w:hAnsi="Courier New"/>
          <w:sz w:val="15"/>
          <w:szCs w:val="15"/>
          <w:color w:val="auto"/>
        </w:rPr>
        <w:t>Palo</w:t>
        <w:tab/>
        <w:t>Alto,</w:t>
      </w:r>
      <w:r>
        <w:rPr>
          <w:sz w:val="20"/>
          <w:szCs w:val="20"/>
          <w:color w:val="auto"/>
        </w:rPr>
        <w:tab/>
      </w:r>
      <w:r>
        <w:rPr>
          <w:rFonts w:ascii="Courier New" w:cs="Courier New" w:eastAsia="Courier New" w:hAnsi="Courier New"/>
          <w:sz w:val="14"/>
          <w:szCs w:val="14"/>
          <w:color w:val="auto"/>
        </w:rPr>
        <w:t>California</w:t>
      </w:r>
    </w:p>
    <w:p>
      <w:pPr>
        <w:spacing w:after="0"/>
        <w:tabs>
          <w:tab w:leader="none" w:pos="760" w:val="left"/>
          <w:tab w:leader="none" w:pos="1200" w:val="left"/>
        </w:tabs>
        <w:rPr>
          <w:sz w:val="20"/>
          <w:szCs w:val="20"/>
          <w:color w:val="auto"/>
        </w:rPr>
      </w:pPr>
      <w:r>
        <w:rPr>
          <w:rFonts w:ascii="Courier New" w:cs="Courier New" w:eastAsia="Courier New" w:hAnsi="Courier New"/>
          <w:sz w:val="15"/>
          <w:szCs w:val="15"/>
          <w:color w:val="auto"/>
        </w:rPr>
        <w:t>January</w:t>
        <w:tab/>
        <w:t>27,</w:t>
        <w:tab/>
        <w:t>1999</w:t>
      </w:r>
    </w:p>
    <w:p>
      <w:pPr>
        <w:sectPr>
          <w:pgSz w:w="11900" w:h="16838" w:orient="portrait"/>
          <w:cols w:equalWidth="0" w:num="1">
            <w:col w:w="10219"/>
          </w:cols>
          <w:pgMar w:left="240" w:top="452" w:right="1440" w:bottom="1440" w:gutter="0" w:footer="0" w:header="0"/>
          <w:type w:val="continuous"/>
        </w:sectPr>
      </w:pPr>
    </w:p>
    <w:bookmarkStart w:id="42" w:name="page43"/>
    <w:bookmarkEnd w:id="42"/>
    <w:p>
      <w:pPr>
        <w:ind w:left="2280"/>
        <w:spacing w:after="0"/>
        <w:rPr>
          <w:sz w:val="20"/>
          <w:szCs w:val="20"/>
          <w:color w:val="auto"/>
        </w:rPr>
      </w:pPr>
      <w:r>
        <w:rPr>
          <w:rFonts w:ascii="Courier New" w:cs="Courier New" w:eastAsia="Courier New" w:hAnsi="Courier New"/>
          <w:sz w:val="15"/>
          <w:szCs w:val="15"/>
          <w:color w:val="auto"/>
        </w:rPr>
        <w:t>INCYTE PHARMACEUTICALS, INC.</w:t>
      </w: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ind w:left="1220"/>
        <w:spacing w:after="0"/>
        <w:rPr>
          <w:sz w:val="20"/>
          <w:szCs w:val="20"/>
          <w:color w:val="auto"/>
        </w:rPr>
      </w:pPr>
      <w:r>
        <w:rPr>
          <w:rFonts w:ascii="Courier New" w:cs="Courier New" w:eastAsia="Courier New" w:hAnsi="Courier New"/>
          <w:sz w:val="15"/>
          <w:szCs w:val="15"/>
          <w:color w:val="auto"/>
        </w:rPr>
        <w:t>(in thousands, except number of shares and par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DECEMBER 31,</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31,</w:t>
            </w:r>
          </w:p>
        </w:tc>
      </w:tr>
      <w:tr>
        <w:trPr>
          <w:trHeight w:val="170"/>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86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50,048</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55,598</w:t>
            </w: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Restricted cash</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Marketable securities - available-for-sale</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61,185</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57,497</w:t>
            </w: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14,318</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19,983</w:t>
            </w: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5,813</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3,836</w:t>
            </w:r>
          </w:p>
        </w:tc>
      </w:tr>
      <w:tr>
        <w:trPr>
          <w:trHeight w:val="170"/>
        </w:trPr>
        <w:tc>
          <w:tcPr>
            <w:tcW w:w="586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860" w:type="dxa"/>
            <w:vAlign w:val="bottom"/>
          </w:tcPr>
          <w:p>
            <w:pPr>
              <w:ind w:left="1040"/>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131,364</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142,914</w:t>
            </w:r>
          </w:p>
        </w:tc>
      </w:tr>
      <w:tr>
        <w:trPr>
          <w:trHeight w:val="339"/>
        </w:trPr>
        <w:tc>
          <w:tcPr>
            <w:tcW w:w="58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6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54,429</w:t>
            </w:r>
          </w:p>
        </w:tc>
        <w:tc>
          <w:tcPr>
            <w:tcW w:w="22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38,070</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Long-term investments</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20,653</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14,800</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16,955</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Deposits and other assets</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6,889</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3,305</w:t>
            </w:r>
          </w:p>
        </w:tc>
      </w:tr>
      <w:tr>
        <w:trPr>
          <w:trHeight w:val="170"/>
        </w:trPr>
        <w:tc>
          <w:tcPr>
            <w:tcW w:w="586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860" w:type="dxa"/>
            <w:vAlign w:val="bottom"/>
          </w:tcPr>
          <w:p>
            <w:pPr>
              <w:ind w:left="1040"/>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230,290</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199,089</w:t>
            </w:r>
          </w:p>
        </w:tc>
      </w:tr>
      <w:tr>
        <w:trPr>
          <w:trHeight w:val="170"/>
        </w:trPr>
        <w:tc>
          <w:tcPr>
            <w:tcW w:w="586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58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9"/>
        </w:trPr>
        <w:tc>
          <w:tcPr>
            <w:tcW w:w="58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8,244</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5,791</w:t>
            </w: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Accrued and other current liabilities</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7,843</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5,416</w:t>
            </w: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Accrued compensation</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4,786</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3,192</w:t>
            </w: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Due to joint venture</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Deferred revenue</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29,054</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31,815</w:t>
            </w:r>
          </w:p>
        </w:tc>
      </w:tr>
      <w:tr>
        <w:trPr>
          <w:trHeight w:val="170"/>
        </w:trPr>
        <w:tc>
          <w:tcPr>
            <w:tcW w:w="586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860" w:type="dxa"/>
            <w:vAlign w:val="bottom"/>
          </w:tcPr>
          <w:p>
            <w:pPr>
              <w:ind w:left="1040"/>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49,927</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52,214</w:t>
            </w:r>
          </w:p>
        </w:tc>
      </w:tr>
      <w:tr>
        <w:trPr>
          <w:trHeight w:val="339"/>
        </w:trPr>
        <w:tc>
          <w:tcPr>
            <w:tcW w:w="5860" w:type="dxa"/>
            <w:vAlign w:val="bottom"/>
          </w:tcPr>
          <w:p>
            <w:pPr>
              <w:spacing w:after="0"/>
              <w:rPr>
                <w:sz w:val="20"/>
                <w:szCs w:val="20"/>
                <w:color w:val="auto"/>
              </w:rPr>
            </w:pPr>
            <w:r>
              <w:rPr>
                <w:rFonts w:ascii="Courier New" w:cs="Courier New" w:eastAsia="Courier New" w:hAnsi="Courier New"/>
                <w:sz w:val="15"/>
                <w:szCs w:val="15"/>
                <w:color w:val="auto"/>
                <w:w w:val="99"/>
              </w:rPr>
              <w:t>Non-current portion of capital lease obligations and note payable</w:t>
            </w:r>
          </w:p>
        </w:tc>
        <w:tc>
          <w:tcPr>
            <w:tcW w:w="26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796</w:t>
            </w:r>
          </w:p>
        </w:tc>
        <w:tc>
          <w:tcPr>
            <w:tcW w:w="22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1,173</w:t>
            </w:r>
          </w:p>
        </w:tc>
      </w:tr>
      <w:tr>
        <w:trPr>
          <w:trHeight w:val="170"/>
        </w:trPr>
        <w:tc>
          <w:tcPr>
            <w:tcW w:w="586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860" w:type="dxa"/>
            <w:vAlign w:val="bottom"/>
          </w:tcPr>
          <w:p>
            <w:pPr>
              <w:ind w:left="1040"/>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50,723</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53,387</w:t>
            </w:r>
          </w:p>
        </w:tc>
      </w:tr>
      <w:tr>
        <w:trPr>
          <w:trHeight w:val="170"/>
        </w:trPr>
        <w:tc>
          <w:tcPr>
            <w:tcW w:w="586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58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Preferred stock, $0.001 par value; 5,000,000 shares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860" w:type="dxa"/>
            <w:vAlign w:val="bottom"/>
          </w:tcPr>
          <w:p>
            <w:pPr>
              <w:ind w:left="780"/>
              <w:spacing w:after="0"/>
              <w:rPr>
                <w:sz w:val="20"/>
                <w:szCs w:val="20"/>
                <w:color w:val="auto"/>
              </w:rPr>
            </w:pPr>
            <w:r>
              <w:rPr>
                <w:rFonts w:ascii="Courier New" w:cs="Courier New" w:eastAsia="Courier New" w:hAnsi="Courier New"/>
                <w:sz w:val="15"/>
                <w:szCs w:val="15"/>
                <w:color w:val="auto"/>
              </w:rPr>
              <w:t>authorized; none issued and outstanding at December 31,</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860" w:type="dxa"/>
            <w:vAlign w:val="bottom"/>
          </w:tcPr>
          <w:p>
            <w:pPr>
              <w:ind w:left="780"/>
              <w:spacing w:after="0"/>
              <w:rPr>
                <w:sz w:val="20"/>
                <w:szCs w:val="20"/>
                <w:color w:val="auto"/>
              </w:rPr>
            </w:pPr>
            <w:r>
              <w:rPr>
                <w:rFonts w:ascii="Courier New" w:cs="Courier New" w:eastAsia="Courier New" w:hAnsi="Courier New"/>
                <w:sz w:val="15"/>
                <w:szCs w:val="15"/>
                <w:color w:val="auto"/>
              </w:rPr>
              <w:t>1998 and 1997.</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Common stock, $0.001 par value; 75,000,000 shares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860" w:type="dxa"/>
            <w:vAlign w:val="bottom"/>
          </w:tcPr>
          <w:p>
            <w:pPr>
              <w:ind w:left="780"/>
              <w:spacing w:after="0"/>
              <w:rPr>
                <w:sz w:val="20"/>
                <w:szCs w:val="20"/>
                <w:color w:val="auto"/>
              </w:rPr>
            </w:pPr>
            <w:r>
              <w:rPr>
                <w:rFonts w:ascii="Courier New" w:cs="Courier New" w:eastAsia="Courier New" w:hAnsi="Courier New"/>
                <w:sz w:val="15"/>
                <w:szCs w:val="15"/>
                <w:color w:val="auto"/>
              </w:rPr>
              <w:t>authorized; 27,829,850 and 26,054,475 shares issued and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860" w:type="dxa"/>
            <w:vAlign w:val="bottom"/>
          </w:tcPr>
          <w:p>
            <w:pPr>
              <w:ind w:left="780"/>
              <w:spacing w:after="0"/>
              <w:rPr>
                <w:sz w:val="20"/>
                <w:szCs w:val="20"/>
                <w:color w:val="auto"/>
              </w:rPr>
            </w:pPr>
            <w:r>
              <w:rPr>
                <w:rFonts w:ascii="Courier New" w:cs="Courier New" w:eastAsia="Courier New" w:hAnsi="Courier New"/>
                <w:sz w:val="15"/>
                <w:szCs w:val="15"/>
                <w:color w:val="auto"/>
              </w:rPr>
              <w:t>outstanding at December 31, 1998 and 1997, respectively.</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209,192</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175,749</w:t>
            </w: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Deferred compensation</w:t>
            </w:r>
          </w:p>
        </w:tc>
        <w:tc>
          <w:tcPr>
            <w:tcW w:w="26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(1,209)</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Receivable from stockholders</w:t>
            </w:r>
          </w:p>
        </w:tc>
        <w:tc>
          <w:tcPr>
            <w:tcW w:w="26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26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r>
      <w:tr>
        <w:trPr>
          <w:trHeight w:val="170"/>
        </w:trPr>
        <w:tc>
          <w:tcPr>
            <w:tcW w:w="5860" w:type="dxa"/>
            <w:vAlign w:val="bottom"/>
          </w:tcPr>
          <w:p>
            <w:pPr>
              <w:ind w:left="520"/>
              <w:spacing w:after="0"/>
              <w:rPr>
                <w:sz w:val="20"/>
                <w:szCs w:val="20"/>
                <w:color w:val="auto"/>
              </w:rPr>
            </w:pPr>
            <w:r>
              <w:rPr>
                <w:rFonts w:ascii="Courier New" w:cs="Courier New" w:eastAsia="Courier New" w:hAnsi="Courier New"/>
                <w:sz w:val="15"/>
                <w:szCs w:val="15"/>
                <w:color w:val="auto"/>
              </w:rPr>
              <w:t>Accumulated deficit</w:t>
            </w:r>
          </w:p>
        </w:tc>
        <w:tc>
          <w:tcPr>
            <w:tcW w:w="26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(28,401)</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(30,129)</w:t>
            </w:r>
          </w:p>
        </w:tc>
      </w:tr>
      <w:tr>
        <w:trPr>
          <w:trHeight w:val="170"/>
        </w:trPr>
        <w:tc>
          <w:tcPr>
            <w:tcW w:w="586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860" w:type="dxa"/>
            <w:vAlign w:val="bottom"/>
          </w:tcPr>
          <w:p>
            <w:pPr>
              <w:ind w:left="1040"/>
              <w:spacing w:after="0"/>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179,567</w:t>
            </w:r>
          </w:p>
        </w:tc>
        <w:tc>
          <w:tcPr>
            <w:tcW w:w="2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145,702</w:t>
            </w:r>
          </w:p>
        </w:tc>
      </w:tr>
      <w:tr>
        <w:trPr>
          <w:trHeight w:val="170"/>
        </w:trPr>
        <w:tc>
          <w:tcPr>
            <w:tcW w:w="586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860" w:type="dxa"/>
            <w:vAlign w:val="bottom"/>
          </w:tcPr>
          <w:p>
            <w:pPr>
              <w:ind w:left="104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230,290</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199,089</w:t>
            </w:r>
          </w:p>
        </w:tc>
      </w:tr>
      <w:tr>
        <w:trPr>
          <w:trHeight w:val="170"/>
        </w:trPr>
        <w:tc>
          <w:tcPr>
            <w:tcW w:w="586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219"/>
          </w:cols>
          <w:pgMar w:left="240" w:top="452" w:right="1440" w:bottom="1440" w:gutter="0" w:footer="0" w:header="0"/>
        </w:sectPr>
      </w:pPr>
    </w:p>
    <w:bookmarkStart w:id="43" w:name="page44"/>
    <w:bookmarkEnd w:id="43"/>
    <w:p>
      <w:pPr>
        <w:ind w:left="2280"/>
        <w:spacing w:after="0"/>
        <w:rPr>
          <w:sz w:val="20"/>
          <w:szCs w:val="20"/>
          <w:color w:val="auto"/>
        </w:rPr>
      </w:pPr>
      <w:r>
        <w:rPr>
          <w:rFonts w:ascii="Courier New" w:cs="Courier New" w:eastAsia="Courier New" w:hAnsi="Courier New"/>
          <w:sz w:val="15"/>
          <w:szCs w:val="15"/>
          <w:color w:val="auto"/>
        </w:rPr>
        <w:t>INCYTE PHARMACEUTICALS, INC.</w:t>
      </w:r>
    </w:p>
    <w:p>
      <w:pPr>
        <w:ind w:left="1920"/>
        <w:spacing w:after="0"/>
        <w:rPr>
          <w:sz w:val="20"/>
          <w:szCs w:val="20"/>
          <w:color w:val="auto"/>
        </w:rPr>
      </w:pPr>
      <w:r>
        <w:rPr>
          <w:rFonts w:ascii="Courier New" w:cs="Courier New" w:eastAsia="Courier New" w:hAnsi="Courier New"/>
          <w:sz w:val="15"/>
          <w:szCs w:val="15"/>
          <w:color w:val="auto"/>
        </w:rPr>
        <w:t>CONSOLIDATED STATEMENTS OF OPERATIONS</w:t>
      </w: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7"/>
              </w:rPr>
              <w:t>YEAR ENDED</w:t>
            </w:r>
          </w:p>
        </w:tc>
        <w:tc>
          <w:tcPr>
            <w:tcW w:w="78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3"/>
          </w:tcPr>
          <w:p>
            <w:pPr>
              <w:jc w:val="center"/>
              <w:ind w:left="547"/>
              <w:spacing w:after="0"/>
              <w:rPr>
                <w:sz w:val="20"/>
                <w:szCs w:val="20"/>
                <w:color w:val="auto"/>
              </w:rPr>
            </w:pPr>
            <w:r>
              <w:rPr>
                <w:rFonts w:ascii="Courier New" w:cs="Courier New" w:eastAsia="Courier New" w:hAnsi="Courier New"/>
                <w:sz w:val="15"/>
                <w:szCs w:val="15"/>
                <w:color w:val="auto"/>
                <w:w w:val="98"/>
              </w:rPr>
              <w:t>DECEMBER 31,</w:t>
            </w:r>
          </w:p>
        </w:tc>
        <w:tc>
          <w:tcPr>
            <w:tcW w:w="78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4"/>
                <w:szCs w:val="14"/>
                <w:color w:val="auto"/>
              </w:rPr>
            </w:pPr>
          </w:p>
        </w:tc>
        <w:tc>
          <w:tcPr>
            <w:tcW w:w="70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4"/>
              </w:rPr>
              <w:t>1997</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700" w:type="dxa"/>
            <w:vAlign w:val="bottom"/>
          </w:tcPr>
          <w:p>
            <w:pPr>
              <w:spacing w:after="0"/>
              <w:rPr>
                <w:sz w:val="14"/>
                <w:szCs w:val="14"/>
                <w:color w:val="auto"/>
              </w:rPr>
            </w:pPr>
          </w:p>
        </w:tc>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Revenues</w:t>
            </w:r>
          </w:p>
        </w:tc>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$134,811</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$89,996</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$41,895</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Research and development</w:t>
            </w:r>
          </w:p>
        </w:tc>
        <w:tc>
          <w:tcPr>
            <w:tcW w:w="52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97,192</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72,452</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41,337</w:t>
            </w:r>
          </w:p>
        </w:tc>
      </w:tr>
      <w:tr>
        <w:trPr>
          <w:trHeight w:val="170"/>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 administrative</w:t>
            </w:r>
          </w:p>
        </w:tc>
        <w:tc>
          <w:tcPr>
            <w:tcW w:w="52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25,438</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13,928</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6,957</w:t>
            </w:r>
          </w:p>
        </w:tc>
      </w:tr>
      <w:tr>
        <w:trPr>
          <w:trHeight w:val="170"/>
        </w:trPr>
        <w:tc>
          <w:tcPr>
            <w:tcW w:w="42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Charge for the purchase of in-process research</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ind w:left="340"/>
              <w:spacing w:after="0"/>
              <w:rPr>
                <w:sz w:val="20"/>
                <w:szCs w:val="20"/>
                <w:color w:val="auto"/>
              </w:rPr>
            </w:pPr>
            <w:r>
              <w:rPr>
                <w:rFonts w:ascii="Courier New" w:cs="Courier New" w:eastAsia="Courier New" w:hAnsi="Courier New"/>
                <w:sz w:val="15"/>
                <w:szCs w:val="15"/>
                <w:color w:val="auto"/>
              </w:rPr>
              <w:t>and development</w:t>
            </w:r>
          </w:p>
        </w:tc>
        <w:tc>
          <w:tcPr>
            <w:tcW w:w="52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10,978</w:t>
            </w:r>
          </w:p>
        </w:tc>
        <w:tc>
          <w:tcPr>
            <w:tcW w:w="2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3,165</w:t>
            </w:r>
          </w:p>
        </w:tc>
      </w:tr>
      <w:tr>
        <w:trPr>
          <w:trHeight w:val="170"/>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Acquisition-related charges</w:t>
            </w:r>
          </w:p>
        </w:tc>
        <w:tc>
          <w:tcPr>
            <w:tcW w:w="52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1,171</w:t>
            </w:r>
          </w:p>
        </w:tc>
        <w:tc>
          <w:tcPr>
            <w:tcW w:w="2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Total costs and expenses</w:t>
            </w:r>
          </w:p>
        </w:tc>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134,779</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86,380</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51,459</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52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w:t>
            </w:r>
          </w:p>
        </w:tc>
        <w:tc>
          <w:tcPr>
            <w:tcW w:w="28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3,616</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(9,564)</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Interest and other income</w:t>
            </w:r>
          </w:p>
        </w:tc>
        <w:tc>
          <w:tcPr>
            <w:tcW w:w="52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7,416</w:t>
            </w:r>
          </w:p>
        </w:tc>
        <w:tc>
          <w:tcPr>
            <w:tcW w:w="28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4,326</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2,538</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Interest and other expense</w:t>
            </w:r>
          </w:p>
        </w:tc>
        <w:tc>
          <w:tcPr>
            <w:tcW w:w="5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Losses from joint venture</w:t>
            </w:r>
          </w:p>
        </w:tc>
        <w:tc>
          <w:tcPr>
            <w:tcW w:w="5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(1,474)</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52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5,824</w:t>
            </w:r>
          </w:p>
        </w:tc>
        <w:tc>
          <w:tcPr>
            <w:tcW w:w="2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7,456</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(7,276)</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52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2,352</w:t>
            </w:r>
          </w:p>
        </w:tc>
        <w:tc>
          <w:tcPr>
            <w:tcW w:w="28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548</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3,472</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$ 6,908</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$(7,276)</w:t>
            </w:r>
          </w:p>
        </w:tc>
      </w:tr>
      <w:tr>
        <w:trPr>
          <w:trHeight w:val="170"/>
        </w:trPr>
        <w:tc>
          <w:tcPr>
            <w:tcW w:w="3700" w:type="dxa"/>
            <w:vAlign w:val="bottom"/>
          </w:tcPr>
          <w:p>
            <w:pPr>
              <w:spacing w:after="0"/>
              <w:rPr>
                <w:sz w:val="14"/>
                <w:szCs w:val="14"/>
                <w:color w:val="auto"/>
              </w:rPr>
            </w:pPr>
          </w:p>
        </w:tc>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r>
      <w:tr>
        <w:trPr>
          <w:trHeight w:val="678"/>
        </w:trPr>
        <w:tc>
          <w:tcPr>
            <w:tcW w:w="3700" w:type="dxa"/>
            <w:vAlign w:val="bottom"/>
          </w:tcPr>
          <w:p>
            <w:pPr>
              <w:spacing w:after="0"/>
              <w:rPr>
                <w:sz w:val="20"/>
                <w:szCs w:val="20"/>
                <w:color w:val="auto"/>
              </w:rPr>
            </w:pPr>
            <w:r>
              <w:rPr>
                <w:rFonts w:ascii="Courier New" w:cs="Courier New" w:eastAsia="Courier New" w:hAnsi="Courier New"/>
                <w:sz w:val="15"/>
                <w:szCs w:val="15"/>
                <w:color w:val="auto"/>
              </w:rPr>
              <w:t>Basic net income (loss) per share</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0.28</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 (0.32)</w:t>
            </w:r>
          </w:p>
        </w:tc>
      </w:tr>
      <w:tr>
        <w:trPr>
          <w:trHeight w:val="170"/>
        </w:trPr>
        <w:tc>
          <w:tcPr>
            <w:tcW w:w="3700" w:type="dxa"/>
            <w:vAlign w:val="bottom"/>
          </w:tcPr>
          <w:p>
            <w:pPr>
              <w:spacing w:after="0"/>
              <w:rPr>
                <w:sz w:val="14"/>
                <w:szCs w:val="14"/>
                <w:color w:val="auto"/>
              </w:rPr>
            </w:pPr>
          </w:p>
        </w:tc>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basic net income (loss) per share</w:t>
            </w:r>
          </w:p>
        </w:tc>
        <w:tc>
          <w:tcPr>
            <w:tcW w:w="5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26,921</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24,300</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22,398</w:t>
            </w:r>
          </w:p>
        </w:tc>
      </w:tr>
      <w:tr>
        <w:trPr>
          <w:trHeight w:val="170"/>
        </w:trPr>
        <w:tc>
          <w:tcPr>
            <w:tcW w:w="3700" w:type="dxa"/>
            <w:vAlign w:val="bottom"/>
          </w:tcPr>
          <w:p>
            <w:pPr>
              <w:spacing w:after="0"/>
              <w:rPr>
                <w:sz w:val="14"/>
                <w:szCs w:val="14"/>
                <w:color w:val="auto"/>
              </w:rPr>
            </w:pPr>
          </w:p>
        </w:tc>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r>
      <w:tr>
        <w:trPr>
          <w:trHeight w:val="678"/>
        </w:trPr>
        <w:tc>
          <w:tcPr>
            <w:tcW w:w="3700" w:type="dxa"/>
            <w:vAlign w:val="bottom"/>
          </w:tcPr>
          <w:p>
            <w:pPr>
              <w:spacing w:after="0"/>
              <w:rPr>
                <w:sz w:val="20"/>
                <w:szCs w:val="20"/>
                <w:color w:val="auto"/>
              </w:rPr>
            </w:pPr>
            <w:r>
              <w:rPr>
                <w:rFonts w:ascii="Courier New" w:cs="Courier New" w:eastAsia="Courier New" w:hAnsi="Courier New"/>
                <w:sz w:val="15"/>
                <w:szCs w:val="15"/>
                <w:color w:val="auto"/>
              </w:rPr>
              <w:t>Diluted net income (loss) per share</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0.26</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 (0.32)</w:t>
            </w:r>
          </w:p>
        </w:tc>
      </w:tr>
      <w:tr>
        <w:trPr>
          <w:trHeight w:val="170"/>
        </w:trPr>
        <w:tc>
          <w:tcPr>
            <w:tcW w:w="3700" w:type="dxa"/>
            <w:vAlign w:val="bottom"/>
          </w:tcPr>
          <w:p>
            <w:pPr>
              <w:spacing w:after="0"/>
              <w:rPr>
                <w:sz w:val="14"/>
                <w:szCs w:val="14"/>
                <w:color w:val="auto"/>
              </w:rPr>
            </w:pPr>
          </w:p>
        </w:tc>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diluted net income (loss) per share</w:t>
            </w:r>
          </w:p>
        </w:tc>
        <w:tc>
          <w:tcPr>
            <w:tcW w:w="5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28,899</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26,498</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22,398</w:t>
            </w:r>
          </w:p>
        </w:tc>
      </w:tr>
      <w:tr>
        <w:trPr>
          <w:trHeight w:val="170"/>
        </w:trPr>
        <w:tc>
          <w:tcPr>
            <w:tcW w:w="3700" w:type="dxa"/>
            <w:vAlign w:val="bottom"/>
          </w:tcPr>
          <w:p>
            <w:pPr>
              <w:spacing w:after="0"/>
              <w:rPr>
                <w:sz w:val="14"/>
                <w:szCs w:val="14"/>
                <w:color w:val="auto"/>
              </w:rPr>
            </w:pPr>
          </w:p>
        </w:tc>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30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219"/>
          </w:cols>
          <w:pgMar w:left="240" w:top="622" w:right="1440" w:bottom="1440" w:gutter="0" w:footer="0" w:header="0"/>
        </w:sectPr>
      </w:pPr>
    </w:p>
    <w:bookmarkStart w:id="44" w:name="page45"/>
    <w:bookmarkEnd w:id="44"/>
    <w:p>
      <w:pPr>
        <w:jc w:val="center"/>
        <w:ind w:right="3179"/>
        <w:spacing w:after="0"/>
        <w:rPr>
          <w:sz w:val="20"/>
          <w:szCs w:val="20"/>
          <w:color w:val="auto"/>
        </w:rPr>
      </w:pPr>
      <w:r>
        <w:rPr>
          <w:rFonts w:ascii="Courier New" w:cs="Courier New" w:eastAsia="Courier New" w:hAnsi="Courier New"/>
          <w:sz w:val="15"/>
          <w:szCs w:val="15"/>
          <w:color w:val="auto"/>
        </w:rPr>
        <w:t>INCYTE PHARMACEUTICALS, INC.</w:t>
      </w:r>
    </w:p>
    <w:p>
      <w:pPr>
        <w:jc w:val="center"/>
        <w:ind w:right="3099"/>
        <w:spacing w:after="0"/>
        <w:rPr>
          <w:sz w:val="20"/>
          <w:szCs w:val="20"/>
          <w:color w:val="auto"/>
        </w:rPr>
      </w:pPr>
      <w:r>
        <w:rPr>
          <w:rFonts w:ascii="Courier New" w:cs="Courier New" w:eastAsia="Courier New" w:hAnsi="Courier New"/>
          <w:sz w:val="15"/>
          <w:szCs w:val="15"/>
          <w:color w:val="auto"/>
        </w:rPr>
        <w:t>CONSOLIDATED STATEMENTS OF COMPREHESIVE NET INCOME (LOSS)</w:t>
      </w:r>
    </w:p>
    <w:p>
      <w:pPr>
        <w:jc w:val="center"/>
        <w:ind w:right="31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YEAR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800" w:type="dxa"/>
            <w:vAlign w:val="bottom"/>
          </w:tcPr>
          <w:p>
            <w:pPr>
              <w:spacing w:after="0"/>
              <w:rPr>
                <w:sz w:val="14"/>
                <w:szCs w:val="14"/>
                <w:color w:val="auto"/>
              </w:rPr>
            </w:pPr>
          </w:p>
        </w:tc>
      </w:tr>
      <w:tr>
        <w:trPr>
          <w:trHeight w:val="170"/>
        </w:trPr>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DECEMBER 31,</w:t>
            </w:r>
          </w:p>
        </w:tc>
        <w:tc>
          <w:tcPr>
            <w:tcW w:w="800" w:type="dxa"/>
            <w:vAlign w:val="bottom"/>
          </w:tcPr>
          <w:p>
            <w:pPr>
              <w:spacing w:after="0"/>
              <w:rPr>
                <w:sz w:val="14"/>
                <w:szCs w:val="14"/>
                <w:color w:val="auto"/>
              </w:rPr>
            </w:pPr>
          </w:p>
        </w:tc>
      </w:tr>
      <w:tr>
        <w:trPr>
          <w:trHeight w:val="170"/>
        </w:trPr>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1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14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3,472</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6,908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$(7,276)</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gains (losses) on</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140" w:type="dxa"/>
            <w:vAlign w:val="bottom"/>
          </w:tcPr>
          <w:p>
            <w:pPr>
              <w:ind w:left="700"/>
              <w:spacing w:after="0"/>
              <w:rPr>
                <w:sz w:val="20"/>
                <w:szCs w:val="20"/>
                <w:color w:val="auto"/>
              </w:rPr>
            </w:pPr>
            <w:r>
              <w:rPr>
                <w:rFonts w:ascii="Courier New" w:cs="Courier New" w:eastAsia="Courier New" w:hAnsi="Courier New"/>
                <w:sz w:val="15"/>
                <w:szCs w:val="15"/>
                <w:color w:val="auto"/>
              </w:rPr>
              <w:t>marketable securities</w:t>
            </w:r>
          </w:p>
        </w:tc>
        <w:tc>
          <w:tcPr>
            <w:tcW w:w="48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w:t>
            </w:r>
          </w:p>
        </w:tc>
        <w:tc>
          <w:tcPr>
            <w:tcW w:w="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adjustments</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(404)</w:t>
            </w:r>
          </w:p>
        </w:tc>
        <w:tc>
          <w:tcPr>
            <w:tcW w:w="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w:t>
            </w:r>
          </w:p>
        </w:tc>
      </w:tr>
      <w:tr>
        <w:trPr>
          <w:trHeight w:val="170"/>
        </w:trPr>
        <w:tc>
          <w:tcPr>
            <w:tcW w:w="4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Comprehensive income (loss)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3,406</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$(7,382)</w:t>
            </w:r>
          </w:p>
        </w:tc>
      </w:tr>
      <w:tr>
        <w:trPr>
          <w:trHeight w:val="170"/>
        </w:trPr>
        <w:tc>
          <w:tcPr>
            <w:tcW w:w="4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INCYTE PHARMACEUTICALS, INC.</w:t>
      </w:r>
    </w:p>
    <w:p>
      <w:pPr>
        <w:ind w:left="1480"/>
        <w:spacing w:after="0"/>
        <w:rPr>
          <w:sz w:val="20"/>
          <w:szCs w:val="20"/>
          <w:color w:val="auto"/>
        </w:rPr>
      </w:pPr>
      <w:r>
        <w:rPr>
          <w:rFonts w:ascii="Courier New" w:cs="Courier New" w:eastAsia="Courier New" w:hAnsi="Courier New"/>
          <w:sz w:val="15"/>
          <w:szCs w:val="15"/>
          <w:color w:val="auto"/>
        </w:rPr>
        <w:t>CONSOLIDATED STATEMENT OF STOCKHOLDERS' EQUITY</w:t>
      </w:r>
    </w:p>
    <w:p>
      <w:pPr>
        <w:ind w:left="1760"/>
        <w:spacing w:after="0"/>
        <w:rPr>
          <w:sz w:val="20"/>
          <w:szCs w:val="20"/>
          <w:color w:val="auto"/>
        </w:rPr>
      </w:pPr>
      <w:r>
        <w:rPr>
          <w:rFonts w:ascii="Courier New" w:cs="Courier New" w:eastAsia="Courier New" w:hAnsi="Courier New"/>
          <w:sz w:val="15"/>
          <w:szCs w:val="15"/>
          <w:color w:val="auto"/>
        </w:rPr>
        <w:t>(in thousands, except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COMMON</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ADDITIONAL</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STOCK</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COMMON</w:t>
            </w:r>
          </w:p>
        </w:tc>
        <w:tc>
          <w:tcPr>
            <w:tcW w:w="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PAID-IN</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TO BE</w:t>
            </w:r>
          </w:p>
        </w:tc>
        <w:tc>
          <w:tcPr>
            <w:tcW w:w="1760" w:type="dxa"/>
            <w:vAlign w:val="bottom"/>
            <w:gridSpan w:val="2"/>
          </w:tcPr>
          <w:p>
            <w:pPr>
              <w:jc w:val="center"/>
              <w:ind w:right="467"/>
              <w:spacing w:after="0"/>
              <w:rPr>
                <w:sz w:val="20"/>
                <w:szCs w:val="20"/>
                <w:color w:val="auto"/>
              </w:rPr>
            </w:pPr>
            <w:r>
              <w:rPr>
                <w:rFonts w:ascii="Courier New" w:cs="Courier New" w:eastAsia="Courier New" w:hAnsi="Courier New"/>
                <w:sz w:val="15"/>
                <w:szCs w:val="15"/>
                <w:color w:val="auto"/>
                <w:w w:val="97"/>
              </w:rPr>
              <w:t>DEFERRED</w:t>
            </w: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STOCK</w:t>
            </w:r>
          </w:p>
        </w:tc>
        <w:tc>
          <w:tcPr>
            <w:tcW w:w="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CAPITAL</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ISSUED</w:t>
            </w:r>
          </w:p>
        </w:tc>
        <w:tc>
          <w:tcPr>
            <w:tcW w:w="1760" w:type="dxa"/>
            <w:vAlign w:val="bottom"/>
            <w:gridSpan w:val="2"/>
          </w:tcPr>
          <w:p>
            <w:pPr>
              <w:jc w:val="center"/>
              <w:ind w:right="467"/>
              <w:spacing w:after="0"/>
              <w:rPr>
                <w:sz w:val="20"/>
                <w:szCs w:val="20"/>
                <w:color w:val="auto"/>
              </w:rPr>
            </w:pPr>
            <w:r>
              <w:rPr>
                <w:rFonts w:ascii="Courier New" w:cs="Courier New" w:eastAsia="Courier New" w:hAnsi="Courier New"/>
                <w:sz w:val="15"/>
                <w:szCs w:val="15"/>
                <w:color w:val="auto"/>
                <w:w w:val="98"/>
              </w:rPr>
              <w:t>COMPENSATION</w:t>
            </w: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4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720" w:type="dxa"/>
            <w:vAlign w:val="bottom"/>
            <w:gridSpan w:val="4"/>
          </w:tcPr>
          <w:p>
            <w:pPr>
              <w:spacing w:after="0"/>
              <w:rPr>
                <w:sz w:val="20"/>
                <w:szCs w:val="20"/>
                <w:color w:val="auto"/>
              </w:rPr>
            </w:pPr>
            <w:r>
              <w:rPr>
                <w:rFonts w:ascii="Courier New" w:cs="Courier New" w:eastAsia="Courier New" w:hAnsi="Courier New"/>
                <w:sz w:val="15"/>
                <w:szCs w:val="15"/>
                <w:color w:val="auto"/>
              </w:rPr>
              <w:t>Balances at January 1, 1996</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77,241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w:t>
            </w:r>
          </w:p>
        </w:tc>
      </w:tr>
      <w:tr>
        <w:trPr>
          <w:trHeight w:val="339"/>
        </w:trPr>
        <w:tc>
          <w:tcPr>
            <w:tcW w:w="2720" w:type="dxa"/>
            <w:vAlign w:val="bottom"/>
            <w:gridSpan w:val="4"/>
          </w:tcPr>
          <w:p>
            <w:pPr>
              <w:spacing w:after="0"/>
              <w:rPr>
                <w:sz w:val="20"/>
                <w:szCs w:val="20"/>
                <w:color w:val="auto"/>
              </w:rPr>
            </w:pPr>
            <w:r>
              <w:rPr>
                <w:rFonts w:ascii="Courier New" w:cs="Courier New" w:eastAsia="Courier New" w:hAnsi="Courier New"/>
                <w:sz w:val="15"/>
                <w:szCs w:val="15"/>
                <w:color w:val="auto"/>
              </w:rPr>
              <w:t>Issuance of 457,296 shares of</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Common</w:t>
            </w:r>
          </w:p>
        </w:tc>
        <w:tc>
          <w:tcPr>
            <w:tcW w:w="80" w:type="dxa"/>
            <w:vAlign w:val="bottom"/>
          </w:tcPr>
          <w:p>
            <w:pPr>
              <w:spacing w:after="0"/>
              <w:rPr>
                <w:sz w:val="24"/>
                <w:szCs w:val="24"/>
                <w:color w:val="auto"/>
              </w:rPr>
            </w:pPr>
          </w:p>
        </w:tc>
        <w:tc>
          <w:tcPr>
            <w:tcW w:w="1380" w:type="dxa"/>
            <w:vAlign w:val="bottom"/>
          </w:tcPr>
          <w:p>
            <w:pPr>
              <w:jc w:val="right"/>
              <w:ind w:right="867"/>
              <w:spacing w:after="0"/>
              <w:rPr>
                <w:sz w:val="20"/>
                <w:szCs w:val="20"/>
                <w:color w:val="auto"/>
              </w:rPr>
            </w:pPr>
            <w:r>
              <w:rPr>
                <w:rFonts w:ascii="Courier New" w:cs="Courier New" w:eastAsia="Courier New" w:hAnsi="Courier New"/>
                <w:sz w:val="15"/>
                <w:szCs w:val="15"/>
                <w:color w:val="auto"/>
                <w:w w:val="93"/>
              </w:rPr>
              <w:t>Stock</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1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upon exercise of</w:t>
            </w:r>
          </w:p>
        </w:tc>
        <w:tc>
          <w:tcPr>
            <w:tcW w:w="1500" w:type="dxa"/>
            <w:vAlign w:val="bottom"/>
            <w:gridSpan w:val="4"/>
          </w:tcPr>
          <w:p>
            <w:pPr>
              <w:spacing w:after="0"/>
              <w:rPr>
                <w:sz w:val="20"/>
                <w:szCs w:val="20"/>
                <w:color w:val="auto"/>
              </w:rPr>
            </w:pPr>
            <w:r>
              <w:rPr>
                <w:rFonts w:ascii="Courier New" w:cs="Courier New" w:eastAsia="Courier New" w:hAnsi="Courier New"/>
                <w:sz w:val="15"/>
                <w:szCs w:val="15"/>
                <w:color w:val="auto"/>
                <w:w w:val="96"/>
              </w:rPr>
              <w:t>Stock options and</w:t>
            </w:r>
          </w:p>
        </w:tc>
        <w:tc>
          <w:tcPr>
            <w:tcW w:w="8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299,398</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340" w:type="dxa"/>
            <w:vAlign w:val="bottom"/>
            <w:gridSpan w:val="6"/>
          </w:tcPr>
          <w:p>
            <w:pPr>
              <w:ind w:left="260"/>
              <w:spacing w:after="0"/>
              <w:rPr>
                <w:sz w:val="20"/>
                <w:szCs w:val="20"/>
                <w:color w:val="auto"/>
              </w:rPr>
            </w:pPr>
            <w:r>
              <w:rPr>
                <w:rFonts w:ascii="Courier New" w:cs="Courier New" w:eastAsia="Courier New" w:hAnsi="Courier New"/>
                <w:sz w:val="15"/>
                <w:szCs w:val="15"/>
                <w:color w:val="auto"/>
              </w:rPr>
              <w:t>shares upon exercise of warrant.</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1,581</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gridSpan w:val="5"/>
          </w:tcPr>
          <w:p>
            <w:pPr>
              <w:spacing w:after="0"/>
              <w:rPr>
                <w:sz w:val="20"/>
                <w:szCs w:val="20"/>
                <w:color w:val="auto"/>
              </w:rPr>
            </w:pPr>
            <w:r>
              <w:rPr>
                <w:rFonts w:ascii="Courier New" w:cs="Courier New" w:eastAsia="Courier New" w:hAnsi="Courier New"/>
                <w:sz w:val="15"/>
                <w:szCs w:val="15"/>
                <w:color w:val="auto"/>
                <w:w w:val="99"/>
              </w:rPr>
              <w:t>Issuance of 249,200 common stock</w:t>
            </w:r>
          </w:p>
        </w:tc>
        <w:tc>
          <w:tcPr>
            <w:tcW w:w="1900" w:type="dxa"/>
            <w:vAlign w:val="bottom"/>
            <w:gridSpan w:val="3"/>
          </w:tcPr>
          <w:p>
            <w:pPr>
              <w:jc w:val="right"/>
              <w:ind w:right="867"/>
              <w:spacing w:after="0"/>
              <w:rPr>
                <w:sz w:val="20"/>
                <w:szCs w:val="20"/>
                <w:color w:val="auto"/>
              </w:rPr>
            </w:pPr>
            <w:r>
              <w:rPr>
                <w:rFonts w:ascii="Courier New" w:cs="Courier New" w:eastAsia="Courier New" w:hAnsi="Courier New"/>
                <w:sz w:val="15"/>
                <w:szCs w:val="15"/>
                <w:color w:val="auto"/>
              </w:rPr>
              <w:t>previously</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1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subscribed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gridSpan w:val="4"/>
          </w:tcPr>
          <w:p>
            <w:pPr>
              <w:spacing w:after="0"/>
              <w:rPr>
                <w:sz w:val="20"/>
                <w:szCs w:val="20"/>
                <w:color w:val="auto"/>
              </w:rPr>
            </w:pPr>
            <w:r>
              <w:rPr>
                <w:rFonts w:ascii="Courier New" w:cs="Courier New" w:eastAsia="Courier New" w:hAnsi="Courier New"/>
                <w:sz w:val="15"/>
                <w:szCs w:val="15"/>
                <w:color w:val="auto"/>
              </w:rPr>
              <w:t>Issuance of 146,342 shares of</w:t>
            </w:r>
          </w:p>
        </w:tc>
        <w:tc>
          <w:tcPr>
            <w:tcW w:w="2080" w:type="dxa"/>
            <w:vAlign w:val="bottom"/>
            <w:gridSpan w:val="4"/>
          </w:tcPr>
          <w:p>
            <w:pPr>
              <w:spacing w:after="0"/>
              <w:rPr>
                <w:sz w:val="20"/>
                <w:szCs w:val="20"/>
                <w:color w:val="auto"/>
              </w:rPr>
            </w:pPr>
            <w:r>
              <w:rPr>
                <w:rFonts w:ascii="Courier New" w:cs="Courier New" w:eastAsia="Courier New" w:hAnsi="Courier New"/>
                <w:sz w:val="15"/>
                <w:szCs w:val="15"/>
                <w:color w:val="auto"/>
              </w:rPr>
              <w:t>Common Stock  in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7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exchange of  Combion, Inc</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gridSpan w:val="6"/>
          </w:tcPr>
          <w:p>
            <w:pPr>
              <w:spacing w:after="0"/>
              <w:rPr>
                <w:sz w:val="20"/>
                <w:szCs w:val="20"/>
                <w:color w:val="auto"/>
              </w:rPr>
            </w:pPr>
            <w:r>
              <w:rPr>
                <w:rFonts w:ascii="Courier New" w:cs="Courier New" w:eastAsia="Courier New" w:hAnsi="Courier New"/>
                <w:sz w:val="15"/>
                <w:szCs w:val="15"/>
                <w:color w:val="auto"/>
                <w:w w:val="99"/>
              </w:rPr>
              <w:t>Amortization of deferred compensation</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29</w:t>
            </w:r>
          </w:p>
        </w:tc>
      </w:tr>
      <w:tr>
        <w:trPr>
          <w:trHeight w:val="170"/>
        </w:trPr>
        <w:tc>
          <w:tcPr>
            <w:tcW w:w="3420" w:type="dxa"/>
            <w:vAlign w:val="bottom"/>
            <w:gridSpan w:val="7"/>
          </w:tcPr>
          <w:p>
            <w:pPr>
              <w:spacing w:after="0"/>
              <w:rPr>
                <w:sz w:val="20"/>
                <w:szCs w:val="20"/>
                <w:color w:val="auto"/>
              </w:rPr>
            </w:pPr>
            <w:r>
              <w:rPr>
                <w:rFonts w:ascii="Courier New" w:cs="Courier New" w:eastAsia="Courier New" w:hAnsi="Courier New"/>
                <w:sz w:val="15"/>
                <w:szCs w:val="15"/>
                <w:color w:val="auto"/>
                <w:w w:val="96"/>
              </w:rPr>
              <w:t>Net change in unrealized gains (losses)</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marketable securities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256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r>
      <w:tr>
        <w:trPr>
          <w:trHeight w:val="170"/>
        </w:trPr>
        <w:tc>
          <w:tcPr>
            <w:tcW w:w="2720" w:type="dxa"/>
            <w:vAlign w:val="bottom"/>
            <w:gridSpan w:val="4"/>
          </w:tcPr>
          <w:p>
            <w:pPr>
              <w:spacing w:after="0"/>
              <w:rPr>
                <w:sz w:val="20"/>
                <w:szCs w:val="20"/>
                <w:color w:val="auto"/>
              </w:rPr>
            </w:pPr>
            <w:r>
              <w:rPr>
                <w:rFonts w:ascii="Courier New" w:cs="Courier New" w:eastAsia="Courier New" w:hAnsi="Courier New"/>
                <w:sz w:val="15"/>
                <w:szCs w:val="15"/>
                <w:color w:val="auto"/>
              </w:rPr>
              <w:t>Balances at December 31, 1996</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81,922</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gridSpan w:val="4"/>
          </w:tcPr>
          <w:p>
            <w:pPr>
              <w:spacing w:after="0"/>
              <w:rPr>
                <w:sz w:val="20"/>
                <w:szCs w:val="20"/>
                <w:color w:val="auto"/>
              </w:rPr>
            </w:pPr>
            <w:r>
              <w:rPr>
                <w:rFonts w:ascii="Courier New" w:cs="Courier New" w:eastAsia="Courier New" w:hAnsi="Courier New"/>
                <w:sz w:val="15"/>
                <w:szCs w:val="15"/>
                <w:color w:val="auto"/>
                <w:w w:val="96"/>
              </w:rPr>
              <w:t>Issuance of 2,755,426 shares of</w:t>
            </w:r>
          </w:p>
        </w:tc>
        <w:tc>
          <w:tcPr>
            <w:tcW w:w="18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Common</w:t>
            </w:r>
          </w:p>
        </w:tc>
        <w:tc>
          <w:tcPr>
            <w:tcW w:w="1380" w:type="dxa"/>
            <w:vAlign w:val="bottom"/>
          </w:tcPr>
          <w:p>
            <w:pPr>
              <w:ind w:left="280"/>
              <w:spacing w:after="0"/>
              <w:rPr>
                <w:sz w:val="20"/>
                <w:szCs w:val="20"/>
                <w:color w:val="auto"/>
              </w:rPr>
            </w:pPr>
            <w:r>
              <w:rPr>
                <w:rFonts w:ascii="Courier New" w:cs="Courier New" w:eastAsia="Courier New" w:hAnsi="Courier New"/>
                <w:sz w:val="15"/>
                <w:szCs w:val="15"/>
                <w:color w:val="auto"/>
              </w:rPr>
              <w:t>Stock,</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1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net of expenses and</w:t>
            </w:r>
          </w:p>
        </w:tc>
        <w:tc>
          <w:tcPr>
            <w:tcW w:w="1240" w:type="dxa"/>
            <w:vAlign w:val="bottom"/>
            <w:gridSpan w:val="3"/>
          </w:tcPr>
          <w:p>
            <w:pPr>
              <w:spacing w:after="0"/>
              <w:rPr>
                <w:sz w:val="20"/>
                <w:szCs w:val="20"/>
                <w:color w:val="auto"/>
              </w:rPr>
            </w:pPr>
            <w:r>
              <w:rPr>
                <w:rFonts w:ascii="Courier New" w:cs="Courier New" w:eastAsia="Courier New" w:hAnsi="Courier New"/>
                <w:sz w:val="15"/>
                <w:szCs w:val="15"/>
                <w:color w:val="auto"/>
              </w:rPr>
              <w:t>underwriters'</w:t>
            </w:r>
          </w:p>
        </w:tc>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fees of $5,065</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87,239</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gridSpan w:val="6"/>
          </w:tcPr>
          <w:p>
            <w:pPr>
              <w:spacing w:after="0"/>
              <w:rPr>
                <w:sz w:val="20"/>
                <w:szCs w:val="20"/>
                <w:color w:val="auto"/>
              </w:rPr>
            </w:pPr>
            <w:r>
              <w:rPr>
                <w:rFonts w:ascii="Courier New" w:cs="Courier New" w:eastAsia="Courier New" w:hAnsi="Courier New"/>
                <w:sz w:val="15"/>
                <w:szCs w:val="15"/>
                <w:color w:val="auto"/>
              </w:rPr>
              <w:t>Issuance of 462,434 shares of Common</w:t>
            </w:r>
          </w:p>
        </w:tc>
        <w:tc>
          <w:tcPr>
            <w:tcW w:w="1460" w:type="dxa"/>
            <w:vAlign w:val="bottom"/>
            <w:gridSpan w:val="2"/>
          </w:tcPr>
          <w:p>
            <w:pPr>
              <w:jc w:val="right"/>
              <w:ind w:right="867"/>
              <w:spacing w:after="0"/>
              <w:rPr>
                <w:sz w:val="20"/>
                <w:szCs w:val="20"/>
                <w:color w:val="auto"/>
              </w:rPr>
            </w:pPr>
            <w:r>
              <w:rPr>
                <w:rFonts w:ascii="Courier New" w:cs="Courier New" w:eastAsia="Courier New" w:hAnsi="Courier New"/>
                <w:sz w:val="15"/>
                <w:szCs w:val="15"/>
                <w:color w:val="auto"/>
                <w:w w:val="92"/>
              </w:rPr>
              <w:t>Stock,</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18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net of expenses of</w:t>
            </w:r>
          </w:p>
        </w:tc>
        <w:tc>
          <w:tcPr>
            <w:tcW w:w="2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3,559</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gridSpan w:val="4"/>
          </w:tcPr>
          <w:p>
            <w:pPr>
              <w:spacing w:after="0"/>
              <w:rPr>
                <w:sz w:val="20"/>
                <w:szCs w:val="20"/>
                <w:color w:val="auto"/>
              </w:rPr>
            </w:pPr>
            <w:r>
              <w:rPr>
                <w:rFonts w:ascii="Courier New" w:cs="Courier New" w:eastAsia="Courier New" w:hAnsi="Courier New"/>
                <w:sz w:val="15"/>
                <w:szCs w:val="15"/>
                <w:color w:val="auto"/>
              </w:rPr>
              <w:t>Issuance of 431,879 shares of</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Common</w:t>
            </w:r>
          </w:p>
        </w:tc>
        <w:tc>
          <w:tcPr>
            <w:tcW w:w="80" w:type="dxa"/>
            <w:vAlign w:val="bottom"/>
          </w:tcPr>
          <w:p>
            <w:pPr>
              <w:spacing w:after="0"/>
              <w:rPr>
                <w:sz w:val="14"/>
                <w:szCs w:val="14"/>
                <w:color w:val="auto"/>
              </w:rPr>
            </w:pPr>
          </w:p>
        </w:tc>
        <w:tc>
          <w:tcPr>
            <w:tcW w:w="1380" w:type="dxa"/>
            <w:vAlign w:val="bottom"/>
          </w:tcPr>
          <w:p>
            <w:pPr>
              <w:jc w:val="right"/>
              <w:ind w:right="867"/>
              <w:spacing w:after="0"/>
              <w:rPr>
                <w:sz w:val="20"/>
                <w:szCs w:val="20"/>
                <w:color w:val="auto"/>
              </w:rPr>
            </w:pPr>
            <w:r>
              <w:rPr>
                <w:rFonts w:ascii="Courier New" w:cs="Courier New" w:eastAsia="Courier New" w:hAnsi="Courier New"/>
                <w:sz w:val="15"/>
                <w:szCs w:val="15"/>
                <w:color w:val="auto"/>
                <w:w w:val="93"/>
              </w:rPr>
              <w:t>Stock</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1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upon exercise of</w:t>
            </w:r>
          </w:p>
        </w:tc>
        <w:tc>
          <w:tcPr>
            <w:tcW w:w="2960" w:type="dxa"/>
            <w:vAlign w:val="bottom"/>
            <w:gridSpan w:val="6"/>
          </w:tcPr>
          <w:p>
            <w:pPr>
              <w:spacing w:after="0"/>
              <w:rPr>
                <w:sz w:val="20"/>
                <w:szCs w:val="20"/>
                <w:color w:val="auto"/>
              </w:rPr>
            </w:pPr>
            <w:r>
              <w:rPr>
                <w:rFonts w:ascii="Courier New" w:cs="Courier New" w:eastAsia="Courier New" w:hAnsi="Courier New"/>
                <w:sz w:val="15"/>
                <w:szCs w:val="15"/>
                <w:color w:val="auto"/>
              </w:rPr>
              <w:t>stock options and 14,934</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2380" w:type="dxa"/>
            <w:vAlign w:val="bottom"/>
            <w:gridSpan w:val="5"/>
          </w:tcPr>
          <w:p>
            <w:pPr>
              <w:spacing w:after="0"/>
              <w:rPr>
                <w:sz w:val="20"/>
                <w:szCs w:val="20"/>
                <w:color w:val="auto"/>
              </w:rPr>
            </w:pPr>
            <w:r>
              <w:rPr>
                <w:rFonts w:ascii="Courier New" w:cs="Courier New" w:eastAsia="Courier New" w:hAnsi="Courier New"/>
                <w:sz w:val="15"/>
                <w:szCs w:val="15"/>
                <w:color w:val="auto"/>
              </w:rPr>
              <w:t>upon exercise of warrant.</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3,029</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gridSpan w:val="7"/>
          </w:tcPr>
          <w:p>
            <w:pPr>
              <w:spacing w:after="0"/>
              <w:rPr>
                <w:sz w:val="20"/>
                <w:szCs w:val="20"/>
                <w:color w:val="auto"/>
              </w:rPr>
            </w:pPr>
            <w:r>
              <w:rPr>
                <w:rFonts w:ascii="Courier New" w:cs="Courier New" w:eastAsia="Courier New" w:hAnsi="Courier New"/>
                <w:sz w:val="15"/>
                <w:szCs w:val="15"/>
                <w:color w:val="auto"/>
                <w:w w:val="96"/>
              </w:rPr>
              <w:t>Net change in unrealized gains (losses)</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marketable securities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gridSpan w:val="8"/>
          </w:tcPr>
          <w:p>
            <w:pPr>
              <w:spacing w:after="0"/>
              <w:rPr>
                <w:sz w:val="20"/>
                <w:szCs w:val="20"/>
                <w:color w:val="auto"/>
              </w:rPr>
            </w:pPr>
            <w:r>
              <w:rPr>
                <w:rFonts w:ascii="Courier New" w:cs="Courier New" w:eastAsia="Courier New" w:hAnsi="Courier New"/>
                <w:sz w:val="15"/>
                <w:szCs w:val="15"/>
                <w:color w:val="auto"/>
              </w:rPr>
              <w:t>Net change in cumulative translation adjustment</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4"/>
          </w:tcPr>
          <w:p>
            <w:pPr>
              <w:ind w:left="720"/>
              <w:spacing w:after="0"/>
              <w:rPr>
                <w:sz w:val="20"/>
                <w:szCs w:val="20"/>
                <w:color w:val="auto"/>
              </w:rPr>
            </w:pPr>
            <w:r>
              <w:rPr>
                <w:rFonts w:ascii="Courier New" w:cs="Courier New" w:eastAsia="Courier New" w:hAnsi="Courier New"/>
                <w:sz w:val="15"/>
                <w:szCs w:val="15"/>
                <w:color w:val="auto"/>
              </w:rPr>
              <w:t>----------- ------------</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c>
          <w:tcPr>
            <w:tcW w:w="1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gridSpan w:val="4"/>
          </w:tcPr>
          <w:p>
            <w:pPr>
              <w:spacing w:after="0"/>
              <w:rPr>
                <w:sz w:val="20"/>
                <w:szCs w:val="20"/>
                <w:color w:val="auto"/>
              </w:rPr>
            </w:pPr>
            <w:r>
              <w:rPr>
                <w:rFonts w:ascii="Courier New" w:cs="Courier New" w:eastAsia="Courier New" w:hAnsi="Courier New"/>
                <w:sz w:val="15"/>
                <w:szCs w:val="15"/>
                <w:color w:val="auto"/>
              </w:rPr>
              <w:t>Balances at December 31, 1997</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175,749</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gridSpan w:val="6"/>
          </w:tcPr>
          <w:p>
            <w:pPr>
              <w:spacing w:after="0"/>
              <w:rPr>
                <w:sz w:val="20"/>
                <w:szCs w:val="20"/>
                <w:color w:val="auto"/>
              </w:rPr>
            </w:pPr>
            <w:r>
              <w:rPr>
                <w:rFonts w:ascii="Courier New" w:cs="Courier New" w:eastAsia="Courier New" w:hAnsi="Courier New"/>
                <w:sz w:val="15"/>
                <w:szCs w:val="15"/>
                <w:color w:val="auto"/>
              </w:rPr>
              <w:t>Adjustment to conform fiscal year of</w:t>
            </w:r>
          </w:p>
        </w:tc>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pooled entity</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18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Synteni (including</w:t>
            </w:r>
          </w:p>
        </w:tc>
        <w:tc>
          <w:tcPr>
            <w:tcW w:w="10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issuance of</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1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337,271 shares of</w:t>
            </w:r>
          </w:p>
        </w:tc>
        <w:tc>
          <w:tcPr>
            <w:tcW w:w="15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common stock)</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3,732</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(1,658)</w:t>
            </w:r>
          </w:p>
        </w:tc>
      </w:tr>
      <w:tr>
        <w:trPr>
          <w:trHeight w:val="170"/>
        </w:trPr>
        <w:tc>
          <w:tcPr>
            <w:tcW w:w="2900" w:type="dxa"/>
            <w:vAlign w:val="bottom"/>
            <w:gridSpan w:val="5"/>
          </w:tcPr>
          <w:p>
            <w:pPr>
              <w:spacing w:after="0"/>
              <w:rPr>
                <w:sz w:val="20"/>
                <w:szCs w:val="20"/>
                <w:color w:val="auto"/>
              </w:rPr>
            </w:pPr>
            <w:r>
              <w:rPr>
                <w:rFonts w:ascii="Courier New" w:cs="Courier New" w:eastAsia="Courier New" w:hAnsi="Courier New"/>
                <w:sz w:val="15"/>
                <w:szCs w:val="15"/>
                <w:color w:val="auto"/>
                <w:w w:val="99"/>
              </w:rPr>
              <w:t>Issuance of 423,030 Common Stock</w:t>
            </w:r>
          </w:p>
        </w:tc>
        <w:tc>
          <w:tcPr>
            <w:tcW w:w="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upon</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800" w:type="dxa"/>
            <w:vAlign w:val="bottom"/>
            <w:gridSpan w:val="8"/>
          </w:tcPr>
          <w:p>
            <w:pPr>
              <w:ind w:left="260"/>
              <w:spacing w:after="0"/>
              <w:rPr>
                <w:sz w:val="20"/>
                <w:szCs w:val="20"/>
                <w:color w:val="auto"/>
              </w:rPr>
            </w:pPr>
            <w:r>
              <w:rPr>
                <w:rFonts w:ascii="Courier New" w:cs="Courier New" w:eastAsia="Courier New" w:hAnsi="Courier New"/>
                <w:sz w:val="15"/>
                <w:szCs w:val="15"/>
                <w:color w:val="auto"/>
              </w:rPr>
              <w:t>exercise of stock options; 38,944 shares issued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1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under ESPP</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4,748</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Issuance of</w:t>
            </w:r>
          </w:p>
        </w:tc>
        <w:tc>
          <w:tcPr>
            <w:tcW w:w="3840" w:type="dxa"/>
            <w:vAlign w:val="bottom"/>
            <w:gridSpan w:val="7"/>
          </w:tcPr>
          <w:p>
            <w:pPr>
              <w:jc w:val="right"/>
              <w:ind w:right="687"/>
              <w:spacing w:after="0"/>
              <w:rPr>
                <w:sz w:val="20"/>
                <w:szCs w:val="20"/>
                <w:color w:val="auto"/>
              </w:rPr>
            </w:pPr>
            <w:r>
              <w:rPr>
                <w:rFonts w:ascii="Courier New" w:cs="Courier New" w:eastAsia="Courier New" w:hAnsi="Courier New"/>
                <w:sz w:val="15"/>
                <w:szCs w:val="15"/>
                <w:color w:val="auto"/>
              </w:rPr>
              <w:t>976,130 shares of Common Stock in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1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purchase of Hexagen</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Limited</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23,438</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gridSpan w:val="8"/>
          </w:tcPr>
          <w:p>
            <w:pPr>
              <w:spacing w:after="0"/>
              <w:rPr>
                <w:sz w:val="20"/>
                <w:szCs w:val="20"/>
                <w:color w:val="auto"/>
              </w:rPr>
            </w:pPr>
            <w:r>
              <w:rPr>
                <w:rFonts w:ascii="Courier New" w:cs="Courier New" w:eastAsia="Courier New" w:hAnsi="Courier New"/>
                <w:sz w:val="15"/>
                <w:szCs w:val="15"/>
                <w:color w:val="auto"/>
              </w:rPr>
              <w:t>Tax benefit from employee stock transactions</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1,525</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gridSpan w:val="6"/>
          </w:tcPr>
          <w:p>
            <w:pPr>
              <w:spacing w:after="0"/>
              <w:rPr>
                <w:sz w:val="20"/>
                <w:szCs w:val="20"/>
                <w:color w:val="auto"/>
              </w:rPr>
            </w:pPr>
            <w:r>
              <w:rPr>
                <w:rFonts w:ascii="Courier New" w:cs="Courier New" w:eastAsia="Courier New" w:hAnsi="Courier New"/>
                <w:sz w:val="15"/>
                <w:szCs w:val="15"/>
                <w:color w:val="auto"/>
                <w:w w:val="99"/>
              </w:rPr>
              <w:t>Amortization of deferred compensation</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449</w:t>
            </w:r>
          </w:p>
        </w:tc>
      </w:tr>
      <w:tr>
        <w:trPr>
          <w:trHeight w:val="170"/>
        </w:trPr>
        <w:tc>
          <w:tcPr>
            <w:tcW w:w="4800" w:type="dxa"/>
            <w:vAlign w:val="bottom"/>
            <w:gridSpan w:val="8"/>
          </w:tcPr>
          <w:p>
            <w:pPr>
              <w:spacing w:after="0"/>
              <w:rPr>
                <w:sz w:val="20"/>
                <w:szCs w:val="20"/>
                <w:color w:val="auto"/>
              </w:rPr>
            </w:pPr>
            <w:r>
              <w:rPr>
                <w:rFonts w:ascii="Courier New" w:cs="Courier New" w:eastAsia="Courier New" w:hAnsi="Courier New"/>
                <w:sz w:val="15"/>
                <w:szCs w:val="15"/>
                <w:color w:val="auto"/>
              </w:rPr>
              <w:t>Net change in unrealized gains (losses) 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marketable securities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gridSpan w:val="8"/>
          </w:tcPr>
          <w:p>
            <w:pPr>
              <w:spacing w:after="0"/>
              <w:rPr>
                <w:sz w:val="20"/>
                <w:szCs w:val="20"/>
                <w:color w:val="auto"/>
              </w:rPr>
            </w:pPr>
            <w:r>
              <w:rPr>
                <w:rFonts w:ascii="Courier New" w:cs="Courier New" w:eastAsia="Courier New" w:hAnsi="Courier New"/>
                <w:sz w:val="15"/>
                <w:szCs w:val="15"/>
                <w:color w:val="auto"/>
              </w:rPr>
              <w:t>Repayment of receivable from shareholder</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gridSpan w:val="8"/>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c>
          <w:tcPr>
            <w:tcW w:w="1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gridSpan w:val="4"/>
          </w:tcPr>
          <w:p>
            <w:pPr>
              <w:spacing w:after="0"/>
              <w:rPr>
                <w:sz w:val="20"/>
                <w:szCs w:val="20"/>
                <w:color w:val="auto"/>
              </w:rPr>
            </w:pPr>
            <w:r>
              <w:rPr>
                <w:rFonts w:ascii="Courier New" w:cs="Courier New" w:eastAsia="Courier New" w:hAnsi="Courier New"/>
                <w:sz w:val="15"/>
                <w:szCs w:val="15"/>
                <w:color w:val="auto"/>
              </w:rPr>
              <w:t>Balances at December 31, 1998</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209,192</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(1,209)</w:t>
            </w: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6"/>
          </w:tcPr>
          <w:p>
            <w:pPr>
              <w:ind w:left="720"/>
              <w:spacing w:after="0"/>
              <w:rPr>
                <w:sz w:val="20"/>
                <w:szCs w:val="20"/>
                <w:color w:val="auto"/>
              </w:rPr>
            </w:pPr>
            <w:r>
              <w:rPr>
                <w:rFonts w:ascii="Courier New" w:cs="Courier New" w:eastAsia="Courier New" w:hAnsi="Courier New"/>
                <w:sz w:val="15"/>
                <w:szCs w:val="15"/>
                <w:color w:val="auto"/>
                <w:w w:val="97"/>
              </w:rPr>
              <w:t>=========== ============ ==========</w:t>
            </w:r>
          </w:p>
        </w:tc>
        <w:tc>
          <w:tcPr>
            <w:tcW w:w="1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678"/>
        </w:trPr>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RECEIVABLE</w:t>
            </w:r>
          </w:p>
        </w:tc>
        <w:tc>
          <w:tcPr>
            <w:tcW w:w="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ind w:left="980"/>
              <w:spacing w:after="0"/>
              <w:rPr>
                <w:sz w:val="20"/>
                <w:szCs w:val="20"/>
                <w:color w:val="auto"/>
              </w:rPr>
            </w:pPr>
            <w:r>
              <w:rPr>
                <w:rFonts w:ascii="Courier New" w:cs="Courier New" w:eastAsia="Courier New" w:hAnsi="Courier New"/>
                <w:sz w:val="15"/>
                <w:szCs w:val="15"/>
                <w:color w:val="auto"/>
              </w:rPr>
              <w:t>FROM</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COMPREHENSIVE</w:t>
            </w:r>
          </w:p>
        </w:tc>
        <w:tc>
          <w:tcPr>
            <w:tcW w:w="18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bl>
    <w:p>
      <w:pPr>
        <w:sectPr>
          <w:pgSz w:w="11900" w:h="16838" w:orient="portrait"/>
          <w:cols w:equalWidth="0" w:num="1">
            <w:col w:w="10219"/>
          </w:cols>
          <w:pgMar w:left="240" w:top="791" w:right="1440"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STOCKHOLDER</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INCOME</w:t>
            </w:r>
          </w:p>
        </w:tc>
        <w:tc>
          <w:tcPr>
            <w:tcW w:w="12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DEFICIT</w:t>
            </w:r>
          </w:p>
        </w:tc>
        <w:tc>
          <w:tcPr>
            <w:tcW w:w="140" w:type="dxa"/>
            <w:vAlign w:val="bottom"/>
          </w:tcPr>
          <w:p>
            <w:pPr>
              <w:spacing w:after="0"/>
              <w:rPr>
                <w:sz w:val="14"/>
                <w:szCs w:val="14"/>
                <w:color w:val="auto"/>
              </w:rPr>
            </w:pPr>
          </w:p>
        </w:tc>
        <w:tc>
          <w:tcPr>
            <w:tcW w:w="13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Balances at</w:t>
            </w:r>
          </w:p>
        </w:tc>
        <w:tc>
          <w:tcPr>
            <w:tcW w:w="1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January 1, 1996</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(29,761)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47,605</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Issuance of</w:t>
            </w:r>
          </w:p>
        </w:tc>
        <w:tc>
          <w:tcPr>
            <w:tcW w:w="1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457,296 shares of</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Common</w:t>
            </w:r>
          </w:p>
        </w:tc>
        <w:tc>
          <w:tcPr>
            <w:tcW w:w="80" w:type="dxa"/>
            <w:vAlign w:val="bottom"/>
          </w:tcPr>
          <w:p>
            <w:pPr>
              <w:spacing w:after="0"/>
              <w:rPr>
                <w:sz w:val="24"/>
                <w:szCs w:val="2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3"/>
              </w:rPr>
              <w:t>Stock</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1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upon exercise of</w:t>
            </w:r>
          </w:p>
        </w:tc>
        <w:tc>
          <w:tcPr>
            <w:tcW w:w="1500" w:type="dxa"/>
            <w:vAlign w:val="bottom"/>
            <w:gridSpan w:val="4"/>
          </w:tcPr>
          <w:p>
            <w:pPr>
              <w:spacing w:after="0"/>
              <w:rPr>
                <w:sz w:val="20"/>
                <w:szCs w:val="20"/>
                <w:color w:val="auto"/>
              </w:rPr>
            </w:pPr>
            <w:r>
              <w:rPr>
                <w:rFonts w:ascii="Courier New" w:cs="Courier New" w:eastAsia="Courier New" w:hAnsi="Courier New"/>
                <w:sz w:val="15"/>
                <w:szCs w:val="15"/>
                <w:color w:val="auto"/>
                <w:w w:val="96"/>
              </w:rPr>
              <w:t>Stock options and</w:t>
            </w:r>
          </w:p>
        </w:tc>
        <w:tc>
          <w:tcPr>
            <w:tcW w:w="8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299,398</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340" w:type="dxa"/>
            <w:vAlign w:val="bottom"/>
            <w:gridSpan w:val="6"/>
          </w:tcPr>
          <w:p>
            <w:pPr>
              <w:ind w:left="260"/>
              <w:spacing w:after="0"/>
              <w:rPr>
                <w:sz w:val="20"/>
                <w:szCs w:val="20"/>
                <w:color w:val="auto"/>
              </w:rPr>
            </w:pPr>
            <w:r>
              <w:rPr>
                <w:rFonts w:ascii="Courier New" w:cs="Courier New" w:eastAsia="Courier New" w:hAnsi="Courier New"/>
                <w:sz w:val="15"/>
                <w:szCs w:val="15"/>
                <w:color w:val="auto"/>
              </w:rPr>
              <w:t>shares upon exercise of warrant.</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1,582</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Issuance of</w:t>
            </w:r>
          </w:p>
        </w:tc>
        <w:tc>
          <w:tcPr>
            <w:tcW w:w="19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249,200 common stock</w:t>
            </w:r>
          </w:p>
        </w:tc>
        <w:tc>
          <w:tcPr>
            <w:tcW w:w="1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previously</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subscribed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Issuance of</w:t>
            </w:r>
          </w:p>
        </w:tc>
        <w:tc>
          <w:tcPr>
            <w:tcW w:w="1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146,342 shares of</w:t>
            </w:r>
          </w:p>
        </w:tc>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Common Stock  in</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960" w:type="dxa"/>
            <w:vAlign w:val="bottom"/>
          </w:tcPr>
          <w:p>
            <w:pPr>
              <w:ind w:left="260"/>
              <w:spacing w:after="0"/>
              <w:rPr>
                <w:sz w:val="20"/>
                <w:szCs w:val="20"/>
                <w:color w:val="auto"/>
              </w:rPr>
            </w:pPr>
            <w:r>
              <w:rPr>
                <w:rFonts w:ascii="Courier New" w:cs="Courier New" w:eastAsia="Courier New" w:hAnsi="Courier New"/>
                <w:sz w:val="15"/>
                <w:szCs w:val="15"/>
                <w:color w:val="auto"/>
                <w:w w:val="94"/>
              </w:rPr>
              <w:t>exchange</w:t>
            </w:r>
          </w:p>
        </w:tc>
        <w:tc>
          <w:tcPr>
            <w:tcW w:w="1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of  Combion, Inc</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3340" w:type="dxa"/>
            <w:vAlign w:val="bottom"/>
            <w:gridSpan w:val="6"/>
          </w:tcPr>
          <w:p>
            <w:pPr>
              <w:spacing w:after="0"/>
              <w:rPr>
                <w:sz w:val="20"/>
                <w:szCs w:val="20"/>
                <w:color w:val="auto"/>
              </w:rPr>
            </w:pPr>
            <w:r>
              <w:rPr>
                <w:rFonts w:ascii="Courier New" w:cs="Courier New" w:eastAsia="Courier New" w:hAnsi="Courier New"/>
                <w:sz w:val="15"/>
                <w:szCs w:val="15"/>
                <w:color w:val="auto"/>
                <w:w w:val="99"/>
              </w:rPr>
              <w:t>Amortization of deferred compensation</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w:t>
            </w:r>
          </w:p>
        </w:tc>
      </w:tr>
      <w:tr>
        <w:trPr>
          <w:trHeight w:val="170"/>
        </w:trPr>
        <w:tc>
          <w:tcPr>
            <w:tcW w:w="3420" w:type="dxa"/>
            <w:vAlign w:val="bottom"/>
            <w:gridSpan w:val="7"/>
          </w:tcPr>
          <w:p>
            <w:pPr>
              <w:spacing w:after="0"/>
              <w:rPr>
                <w:sz w:val="20"/>
                <w:szCs w:val="20"/>
                <w:color w:val="auto"/>
              </w:rPr>
            </w:pPr>
            <w:r>
              <w:rPr>
                <w:rFonts w:ascii="Courier New" w:cs="Courier New" w:eastAsia="Courier New" w:hAnsi="Courier New"/>
                <w:sz w:val="15"/>
                <w:szCs w:val="15"/>
                <w:color w:val="auto"/>
                <w:w w:val="96"/>
              </w:rPr>
              <w:t>Net change in unrealized gains (losses)</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on</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marketable securities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(106)</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(7,276)</w:t>
            </w:r>
          </w:p>
        </w:tc>
        <w:tc>
          <w:tcPr>
            <w:tcW w:w="14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(7,276)</w:t>
            </w: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Balances at</w:t>
            </w:r>
          </w:p>
        </w:tc>
        <w:tc>
          <w:tcPr>
            <w:tcW w:w="1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December 31, 1996</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w:t>
            </w:r>
          </w:p>
        </w:tc>
        <w:tc>
          <w:tcPr>
            <w:tcW w:w="1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(37,037)</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44,834</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Issuance of</w:t>
            </w:r>
          </w:p>
        </w:tc>
        <w:tc>
          <w:tcPr>
            <w:tcW w:w="17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2,755,426 shares of</w:t>
            </w:r>
          </w:p>
        </w:tc>
        <w:tc>
          <w:tcPr>
            <w:tcW w:w="1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w w:val="92"/>
              </w:rPr>
              <w:t>Common</w:t>
            </w:r>
          </w:p>
        </w:tc>
        <w:tc>
          <w:tcPr>
            <w:tcW w:w="12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Stock,</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1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net of expenses and</w:t>
            </w:r>
          </w:p>
        </w:tc>
        <w:tc>
          <w:tcPr>
            <w:tcW w:w="1240" w:type="dxa"/>
            <w:vAlign w:val="bottom"/>
            <w:gridSpan w:val="3"/>
          </w:tcPr>
          <w:p>
            <w:pPr>
              <w:spacing w:after="0"/>
              <w:rPr>
                <w:sz w:val="20"/>
                <w:szCs w:val="20"/>
                <w:color w:val="auto"/>
              </w:rPr>
            </w:pPr>
            <w:r>
              <w:rPr>
                <w:rFonts w:ascii="Courier New" w:cs="Courier New" w:eastAsia="Courier New" w:hAnsi="Courier New"/>
                <w:sz w:val="15"/>
                <w:szCs w:val="15"/>
                <w:color w:val="auto"/>
              </w:rPr>
              <w:t>underwriters'</w:t>
            </w:r>
          </w:p>
        </w:tc>
        <w:tc>
          <w:tcPr>
            <w:tcW w:w="132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8"/>
              </w:rPr>
              <w:t>fees of $5,065</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87,242</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Issuance of</w:t>
            </w:r>
          </w:p>
        </w:tc>
        <w:tc>
          <w:tcPr>
            <w:tcW w:w="23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462,434 shares of Common</w:t>
            </w:r>
          </w:p>
        </w:tc>
        <w:tc>
          <w:tcPr>
            <w:tcW w:w="13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w w:val="92"/>
              </w:rPr>
              <w:t>Stock,</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8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net of expenses of</w:t>
            </w:r>
          </w:p>
        </w:tc>
        <w:tc>
          <w:tcPr>
            <w:tcW w:w="2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3,560</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Issuance of</w:t>
            </w:r>
          </w:p>
        </w:tc>
        <w:tc>
          <w:tcPr>
            <w:tcW w:w="1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431,879 shares of</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Common</w:t>
            </w:r>
          </w:p>
        </w:tc>
        <w:tc>
          <w:tcPr>
            <w:tcW w:w="80" w:type="dxa"/>
            <w:vAlign w:val="bottom"/>
          </w:tcPr>
          <w:p>
            <w:pPr>
              <w:spacing w:after="0"/>
              <w:rPr>
                <w:sz w:val="14"/>
                <w:szCs w:val="1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3"/>
              </w:rPr>
              <w:t>Stock</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upon exercise of</w:t>
            </w:r>
          </w:p>
        </w:tc>
        <w:tc>
          <w:tcPr>
            <w:tcW w:w="2820" w:type="dxa"/>
            <w:vAlign w:val="bottom"/>
            <w:gridSpan w:val="6"/>
          </w:tcPr>
          <w:p>
            <w:pPr>
              <w:spacing w:after="0"/>
              <w:rPr>
                <w:sz w:val="20"/>
                <w:szCs w:val="20"/>
                <w:color w:val="auto"/>
              </w:rPr>
            </w:pPr>
            <w:r>
              <w:rPr>
                <w:rFonts w:ascii="Courier New" w:cs="Courier New" w:eastAsia="Courier New" w:hAnsi="Courier New"/>
                <w:sz w:val="15"/>
                <w:szCs w:val="15"/>
                <w:color w:val="auto"/>
              </w:rPr>
              <w:t>stock options and 14,934</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2380" w:type="dxa"/>
            <w:vAlign w:val="bottom"/>
            <w:gridSpan w:val="5"/>
          </w:tcPr>
          <w:p>
            <w:pPr>
              <w:spacing w:after="0"/>
              <w:rPr>
                <w:sz w:val="20"/>
                <w:szCs w:val="20"/>
                <w:color w:val="auto"/>
              </w:rPr>
            </w:pPr>
            <w:r>
              <w:rPr>
                <w:rFonts w:ascii="Courier New" w:cs="Courier New" w:eastAsia="Courier New" w:hAnsi="Courier New"/>
                <w:sz w:val="15"/>
                <w:szCs w:val="15"/>
                <w:color w:val="auto"/>
              </w:rPr>
              <w:t>upon exercise of warrant.</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3,029</w:t>
            </w:r>
          </w:p>
        </w:tc>
      </w:tr>
      <w:tr>
        <w:trPr>
          <w:trHeight w:val="170"/>
        </w:trPr>
        <w:tc>
          <w:tcPr>
            <w:tcW w:w="3420" w:type="dxa"/>
            <w:vAlign w:val="bottom"/>
            <w:gridSpan w:val="7"/>
          </w:tcPr>
          <w:p>
            <w:pPr>
              <w:spacing w:after="0"/>
              <w:rPr>
                <w:sz w:val="20"/>
                <w:szCs w:val="20"/>
                <w:color w:val="auto"/>
              </w:rPr>
            </w:pPr>
            <w:r>
              <w:rPr>
                <w:rFonts w:ascii="Courier New" w:cs="Courier New" w:eastAsia="Courier New" w:hAnsi="Courier New"/>
                <w:sz w:val="15"/>
                <w:szCs w:val="15"/>
                <w:color w:val="auto"/>
                <w:w w:val="96"/>
              </w:rPr>
              <w:t>Net change in unrealized gains (losses)</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on</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marketable securities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127</w:t>
            </w:r>
          </w:p>
        </w:tc>
      </w:tr>
      <w:tr>
        <w:trPr>
          <w:trHeight w:val="170"/>
        </w:trPr>
        <w:tc>
          <w:tcPr>
            <w:tcW w:w="4660" w:type="dxa"/>
            <w:vAlign w:val="bottom"/>
            <w:gridSpan w:val="8"/>
          </w:tcPr>
          <w:p>
            <w:pPr>
              <w:spacing w:after="0"/>
              <w:rPr>
                <w:sz w:val="20"/>
                <w:szCs w:val="20"/>
                <w:color w:val="auto"/>
              </w:rPr>
            </w:pPr>
            <w:r>
              <w:rPr>
                <w:rFonts w:ascii="Courier New" w:cs="Courier New" w:eastAsia="Courier New" w:hAnsi="Courier New"/>
                <w:sz w:val="15"/>
                <w:szCs w:val="15"/>
                <w:color w:val="auto"/>
              </w:rPr>
              <w:t>Net change in cumulative translation adjustment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6,908</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6,908</w:t>
            </w: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Balances at</w:t>
            </w:r>
          </w:p>
        </w:tc>
        <w:tc>
          <w:tcPr>
            <w:tcW w:w="1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December 31, 1997</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w:t>
            </w:r>
          </w:p>
        </w:tc>
        <w:tc>
          <w:tcPr>
            <w:tcW w:w="1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(30,129)</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145,702</w:t>
            </w:r>
          </w:p>
        </w:tc>
      </w:tr>
      <w:tr>
        <w:trPr>
          <w:trHeight w:val="170"/>
        </w:trPr>
        <w:tc>
          <w:tcPr>
            <w:tcW w:w="2900" w:type="dxa"/>
            <w:vAlign w:val="bottom"/>
            <w:gridSpan w:val="5"/>
          </w:tcPr>
          <w:p>
            <w:pPr>
              <w:spacing w:after="0"/>
              <w:rPr>
                <w:sz w:val="20"/>
                <w:szCs w:val="20"/>
                <w:color w:val="auto"/>
              </w:rPr>
            </w:pPr>
            <w:r>
              <w:rPr>
                <w:rFonts w:ascii="Courier New" w:cs="Courier New" w:eastAsia="Courier New" w:hAnsi="Courier New"/>
                <w:sz w:val="15"/>
                <w:szCs w:val="15"/>
                <w:color w:val="auto"/>
                <w:w w:val="96"/>
              </w:rPr>
              <w:t>Adjustment to conform fiscal year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pooled entity</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90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Synteni (including issuance of</w:t>
            </w:r>
          </w:p>
        </w:tc>
        <w:tc>
          <w:tcPr>
            <w:tcW w:w="1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337,271 shares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8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  common stock)</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(1,744)</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281</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Issuance of</w:t>
            </w:r>
          </w:p>
        </w:tc>
        <w:tc>
          <w:tcPr>
            <w:tcW w:w="19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423,030 Common Stock</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upon</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960" w:type="dxa"/>
            <w:vAlign w:val="bottom"/>
          </w:tcPr>
          <w:p>
            <w:pPr>
              <w:ind w:left="260"/>
              <w:spacing w:after="0"/>
              <w:rPr>
                <w:sz w:val="20"/>
                <w:szCs w:val="20"/>
                <w:color w:val="auto"/>
              </w:rPr>
            </w:pPr>
            <w:r>
              <w:rPr>
                <w:rFonts w:ascii="Courier New" w:cs="Courier New" w:eastAsia="Courier New" w:hAnsi="Courier New"/>
                <w:sz w:val="15"/>
                <w:szCs w:val="15"/>
                <w:color w:val="auto"/>
                <w:w w:val="94"/>
              </w:rPr>
              <w:t>exercise</w:t>
            </w:r>
          </w:p>
        </w:tc>
        <w:tc>
          <w:tcPr>
            <w:tcW w:w="1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of stock options;</w:t>
            </w:r>
          </w:p>
        </w:tc>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38,944 shares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issued under ESPP</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4,749</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Issuance of</w:t>
            </w:r>
          </w:p>
        </w:tc>
        <w:tc>
          <w:tcPr>
            <w:tcW w:w="3700" w:type="dxa"/>
            <w:vAlign w:val="bottom"/>
            <w:gridSpan w:val="7"/>
          </w:tcPr>
          <w:p>
            <w:pPr>
              <w:ind w:left="180"/>
              <w:spacing w:after="0"/>
              <w:rPr>
                <w:sz w:val="20"/>
                <w:szCs w:val="20"/>
                <w:color w:val="auto"/>
              </w:rPr>
            </w:pPr>
            <w:r>
              <w:rPr>
                <w:rFonts w:ascii="Courier New" w:cs="Courier New" w:eastAsia="Courier New" w:hAnsi="Courier New"/>
                <w:sz w:val="15"/>
                <w:szCs w:val="15"/>
                <w:color w:val="auto"/>
              </w:rPr>
              <w:t>976,130 shares of Common Stock in</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960" w:type="dxa"/>
            <w:vAlign w:val="bottom"/>
          </w:tcPr>
          <w:p>
            <w:pPr>
              <w:ind w:left="260"/>
              <w:spacing w:after="0"/>
              <w:rPr>
                <w:sz w:val="20"/>
                <w:szCs w:val="20"/>
                <w:color w:val="auto"/>
              </w:rPr>
            </w:pPr>
            <w:r>
              <w:rPr>
                <w:rFonts w:ascii="Courier New" w:cs="Courier New" w:eastAsia="Courier New" w:hAnsi="Courier New"/>
                <w:sz w:val="15"/>
                <w:szCs w:val="15"/>
                <w:color w:val="auto"/>
                <w:w w:val="94"/>
              </w:rPr>
              <w:t>purchase</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 Hexagen</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Limited</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23,439</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Tax benefit</w:t>
            </w:r>
          </w:p>
        </w:tc>
        <w:tc>
          <w:tcPr>
            <w:tcW w:w="3700" w:type="dxa"/>
            <w:vAlign w:val="bottom"/>
            <w:gridSpan w:val="7"/>
          </w:tcPr>
          <w:p>
            <w:pPr>
              <w:ind w:left="80"/>
              <w:spacing w:after="0"/>
              <w:rPr>
                <w:sz w:val="20"/>
                <w:szCs w:val="20"/>
                <w:color w:val="auto"/>
              </w:rPr>
            </w:pPr>
            <w:r>
              <w:rPr>
                <w:rFonts w:ascii="Courier New" w:cs="Courier New" w:eastAsia="Courier New" w:hAnsi="Courier New"/>
                <w:sz w:val="15"/>
                <w:szCs w:val="15"/>
                <w:color w:val="auto"/>
              </w:rPr>
              <w:t>from employee stock transactions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1,525</w:t>
            </w:r>
          </w:p>
        </w:tc>
      </w:tr>
      <w:tr>
        <w:trPr>
          <w:trHeight w:val="170"/>
        </w:trPr>
        <w:tc>
          <w:tcPr>
            <w:tcW w:w="3340" w:type="dxa"/>
            <w:vAlign w:val="bottom"/>
            <w:gridSpan w:val="6"/>
          </w:tcPr>
          <w:p>
            <w:pPr>
              <w:spacing w:after="0"/>
              <w:rPr>
                <w:sz w:val="20"/>
                <w:szCs w:val="20"/>
                <w:color w:val="auto"/>
              </w:rPr>
            </w:pPr>
            <w:r>
              <w:rPr>
                <w:rFonts w:ascii="Courier New" w:cs="Courier New" w:eastAsia="Courier New" w:hAnsi="Courier New"/>
                <w:sz w:val="15"/>
                <w:szCs w:val="15"/>
                <w:color w:val="auto"/>
                <w:w w:val="99"/>
              </w:rPr>
              <w:t>Amortization of deferred compensation</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449</w:t>
            </w:r>
          </w:p>
        </w:tc>
      </w:tr>
      <w:tr>
        <w:trPr>
          <w:trHeight w:val="170"/>
        </w:trPr>
        <w:tc>
          <w:tcPr>
            <w:tcW w:w="4660" w:type="dxa"/>
            <w:vAlign w:val="bottom"/>
            <w:gridSpan w:val="8"/>
          </w:tcPr>
          <w:p>
            <w:pPr>
              <w:spacing w:after="0"/>
              <w:rPr>
                <w:sz w:val="20"/>
                <w:szCs w:val="20"/>
                <w:color w:val="auto"/>
              </w:rPr>
            </w:pPr>
            <w:r>
              <w:rPr>
                <w:rFonts w:ascii="Courier New" w:cs="Courier New" w:eastAsia="Courier New" w:hAnsi="Courier New"/>
                <w:sz w:val="15"/>
                <w:szCs w:val="15"/>
                <w:color w:val="auto"/>
              </w:rPr>
              <w:t>Net change in unrealized gains (losses) on</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marketable securities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338</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338</w:t>
            </w:r>
          </w:p>
        </w:tc>
      </w:tr>
      <w:tr>
        <w:trPr>
          <w:trHeight w:val="170"/>
        </w:trPr>
        <w:tc>
          <w:tcPr>
            <w:tcW w:w="4660" w:type="dxa"/>
            <w:vAlign w:val="bottom"/>
            <w:gridSpan w:val="8"/>
          </w:tcPr>
          <w:p>
            <w:pPr>
              <w:spacing w:after="0"/>
              <w:rPr>
                <w:sz w:val="20"/>
                <w:szCs w:val="20"/>
                <w:color w:val="auto"/>
              </w:rPr>
            </w:pPr>
            <w:r>
              <w:rPr>
                <w:rFonts w:ascii="Courier New" w:cs="Courier New" w:eastAsia="Courier New" w:hAnsi="Courier New"/>
                <w:sz w:val="15"/>
                <w:szCs w:val="15"/>
                <w:color w:val="auto"/>
              </w:rPr>
              <w:t>Repayment of receivable from shareholder</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w:t>
            </w:r>
          </w:p>
        </w:tc>
      </w:tr>
      <w:tr>
        <w:trPr>
          <w:trHeight w:val="170"/>
        </w:trPr>
        <w:tc>
          <w:tcPr>
            <w:tcW w:w="4660" w:type="dxa"/>
            <w:vAlign w:val="bottom"/>
            <w:gridSpan w:val="8"/>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(404)</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(404)</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3,472</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3,472</w:t>
            </w: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Balances at</w:t>
            </w:r>
          </w:p>
        </w:tc>
        <w:tc>
          <w:tcPr>
            <w:tcW w:w="1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December 31, 1998</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(28,401)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179,567</w:t>
            </w: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0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INCYTE PHARMACEUTICALS, INC.</w:t>
      </w:r>
    </w:p>
    <w:p>
      <w:pPr>
        <w:jc w:val="center"/>
        <w:ind w:right="3099"/>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31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YEAR ENDED</w:t>
            </w:r>
          </w:p>
        </w:tc>
        <w:tc>
          <w:tcPr>
            <w:tcW w:w="840" w:type="dxa"/>
            <w:vAlign w:val="bottom"/>
          </w:tcPr>
          <w:p>
            <w:pPr>
              <w:spacing w:after="0"/>
              <w:rPr>
                <w:sz w:val="14"/>
                <w:szCs w:val="14"/>
                <w:color w:val="auto"/>
              </w:rPr>
            </w:pPr>
          </w:p>
        </w:tc>
      </w:tr>
      <w:tr>
        <w:trPr>
          <w:trHeight w:val="170"/>
        </w:trPr>
        <w:tc>
          <w:tcPr>
            <w:tcW w:w="4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DECEMBER 31,</w:t>
            </w:r>
          </w:p>
        </w:tc>
        <w:tc>
          <w:tcPr>
            <w:tcW w:w="840" w:type="dxa"/>
            <w:vAlign w:val="bottom"/>
          </w:tcPr>
          <w:p>
            <w:pPr>
              <w:spacing w:after="0"/>
              <w:rPr>
                <w:sz w:val="14"/>
                <w:szCs w:val="14"/>
                <w:color w:val="auto"/>
              </w:rPr>
            </w:pPr>
          </w:p>
        </w:tc>
      </w:tr>
      <w:tr>
        <w:trPr>
          <w:trHeight w:val="170"/>
        </w:trPr>
        <w:tc>
          <w:tcPr>
            <w:tcW w:w="414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Net income (loss)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   3,472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6,908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(7,276)</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ind w:left="780"/>
              <w:spacing w:after="0"/>
              <w:rPr>
                <w:sz w:val="20"/>
                <w:szCs w:val="20"/>
                <w:color w:val="auto"/>
              </w:rPr>
            </w:pPr>
            <w:r>
              <w:rPr>
                <w:rFonts w:ascii="Courier New" w:cs="Courier New" w:eastAsia="Courier New" w:hAnsi="Courier New"/>
                <w:sz w:val="15"/>
                <w:szCs w:val="15"/>
                <w:color w:val="auto"/>
              </w:rPr>
              <w:t>(loss)to net cash provided by</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ind w:left="780"/>
              <w:spacing w:after="0"/>
              <w:rPr>
                <w:sz w:val="20"/>
                <w:szCs w:val="20"/>
                <w:color w:val="auto"/>
              </w:rPr>
            </w:pPr>
            <w:r>
              <w:rPr>
                <w:rFonts w:ascii="Courier New" w:cs="Courier New" w:eastAsia="Courier New" w:hAnsi="Courier New"/>
                <w:sz w:val="15"/>
                <w:szCs w:val="15"/>
                <w:color w:val="auto"/>
              </w:rPr>
              <w:t>operating activities:</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ind w:left="780"/>
              <w:spacing w:after="0"/>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17,827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10,633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6,529</w:t>
            </w:r>
          </w:p>
        </w:tc>
      </w:tr>
      <w:tr>
        <w:trPr>
          <w:trHeight w:val="170"/>
        </w:trPr>
        <w:tc>
          <w:tcPr>
            <w:tcW w:w="4140" w:type="dxa"/>
            <w:vAlign w:val="bottom"/>
          </w:tcPr>
          <w:p>
            <w:pPr>
              <w:ind w:left="780"/>
              <w:spacing w:after="0"/>
              <w:rPr>
                <w:sz w:val="20"/>
                <w:szCs w:val="20"/>
                <w:color w:val="auto"/>
              </w:rPr>
            </w:pPr>
            <w:r>
              <w:rPr>
                <w:rFonts w:ascii="Courier New" w:cs="Courier New" w:eastAsia="Courier New" w:hAnsi="Courier New"/>
                <w:sz w:val="15"/>
                <w:szCs w:val="15"/>
                <w:color w:val="auto"/>
              </w:rPr>
              <w:t>Non-cash portion of the charge</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ind w:left="1220"/>
              <w:spacing w:after="0"/>
              <w:rPr>
                <w:sz w:val="20"/>
                <w:szCs w:val="20"/>
                <w:color w:val="auto"/>
              </w:rPr>
            </w:pPr>
            <w:r>
              <w:rPr>
                <w:rFonts w:ascii="Courier New" w:cs="Courier New" w:eastAsia="Courier New" w:hAnsi="Courier New"/>
                <w:sz w:val="15"/>
                <w:szCs w:val="15"/>
                <w:color w:val="auto"/>
              </w:rPr>
              <w:t>for the purchase of in-process</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ind w:left="1220"/>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10,978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4140" w:type="dxa"/>
            <w:vAlign w:val="bottom"/>
          </w:tcPr>
          <w:p>
            <w:pPr>
              <w:ind w:left="780"/>
              <w:spacing w:after="0"/>
              <w:rPr>
                <w:sz w:val="20"/>
                <w:szCs w:val="20"/>
                <w:color w:val="auto"/>
              </w:rPr>
            </w:pPr>
            <w:r>
              <w:rPr>
                <w:rFonts w:ascii="Courier New" w:cs="Courier New" w:eastAsia="Courier New" w:hAnsi="Courier New"/>
                <w:sz w:val="15"/>
                <w:szCs w:val="15"/>
                <w:color w:val="auto"/>
              </w:rPr>
              <w:t>Losses in joint venture</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780"/>
              <w:spacing w:after="0"/>
              <w:rPr>
                <w:sz w:val="20"/>
                <w:szCs w:val="20"/>
                <w:color w:val="auto"/>
              </w:rPr>
            </w:pPr>
            <w:r>
              <w:rPr>
                <w:rFonts w:ascii="Courier New" w:cs="Courier New" w:eastAsia="Courier New" w:hAnsi="Courier New"/>
                <w:sz w:val="15"/>
                <w:szCs w:val="15"/>
                <w:color w:val="auto"/>
              </w:rPr>
              <w:t>Adjustment to conform fiscal year</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ind w:left="1220"/>
              <w:spacing w:after="0"/>
              <w:rPr>
                <w:sz w:val="20"/>
                <w:szCs w:val="20"/>
                <w:color w:val="auto"/>
              </w:rPr>
            </w:pPr>
            <w:r>
              <w:rPr>
                <w:rFonts w:ascii="Courier New" w:cs="Courier New" w:eastAsia="Courier New" w:hAnsi="Courier New"/>
                <w:sz w:val="15"/>
                <w:szCs w:val="15"/>
                <w:color w:val="auto"/>
              </w:rPr>
              <w:t>of pooled entity</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Changes in certain assets and liabilities:</w:t>
            </w: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ind w:left="1220"/>
              <w:spacing w:after="0"/>
              <w:rPr>
                <w:sz w:val="20"/>
                <w:szCs w:val="20"/>
                <w:color w:val="auto"/>
              </w:rPr>
            </w:pPr>
            <w:r>
              <w:rPr>
                <w:rFonts w:ascii="Courier New" w:cs="Courier New" w:eastAsia="Courier New" w:hAnsi="Courier New"/>
                <w:sz w:val="15"/>
                <w:szCs w:val="15"/>
                <w:color w:val="auto"/>
              </w:rPr>
              <w:t>Accounts receivable</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5,885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(18,451)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5,174</w:t>
            </w:r>
          </w:p>
        </w:tc>
      </w:tr>
      <w:tr>
        <w:trPr>
          <w:trHeight w:val="170"/>
        </w:trPr>
        <w:tc>
          <w:tcPr>
            <w:tcW w:w="4140" w:type="dxa"/>
            <w:vAlign w:val="bottom"/>
          </w:tcPr>
          <w:p>
            <w:pPr>
              <w:ind w:left="1220"/>
              <w:spacing w:after="0"/>
              <w:rPr>
                <w:sz w:val="20"/>
                <w:szCs w:val="20"/>
                <w:color w:val="auto"/>
              </w:rPr>
            </w:pPr>
            <w:r>
              <w:rPr>
                <w:rFonts w:ascii="Courier New" w:cs="Courier New" w:eastAsia="Courier New" w:hAnsi="Courier New"/>
                <w:sz w:val="15"/>
                <w:szCs w:val="15"/>
                <w:color w:val="auto"/>
                <w:w w:val="97"/>
              </w:rPr>
              <w:t>Prepaid expenses and other assets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(5,280)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(2,074)</w:t>
            </w:r>
          </w:p>
        </w:tc>
      </w:tr>
      <w:tr>
        <w:trPr>
          <w:trHeight w:val="170"/>
        </w:trPr>
        <w:tc>
          <w:tcPr>
            <w:tcW w:w="4140" w:type="dxa"/>
            <w:vAlign w:val="bottom"/>
          </w:tcPr>
          <w:p>
            <w:pPr>
              <w:ind w:left="1220"/>
              <w:spacing w:after="0"/>
              <w:rPr>
                <w:sz w:val="20"/>
                <w:szCs w:val="20"/>
                <w:color w:val="auto"/>
              </w:rPr>
            </w:pPr>
            <w:r>
              <w:rPr>
                <w:rFonts w:ascii="Courier New" w:cs="Courier New" w:eastAsia="Courier New" w:hAnsi="Courier New"/>
                <w:sz w:val="15"/>
                <w:szCs w:val="15"/>
                <w:color w:val="auto"/>
              </w:rPr>
              <w:t>Accounts payable</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2,430</w:t>
            </w:r>
          </w:p>
        </w:tc>
      </w:tr>
      <w:tr>
        <w:trPr>
          <w:trHeight w:val="170"/>
        </w:trPr>
        <w:tc>
          <w:tcPr>
            <w:tcW w:w="4140" w:type="dxa"/>
            <w:vAlign w:val="bottom"/>
          </w:tcPr>
          <w:p>
            <w:pPr>
              <w:ind w:left="1220"/>
              <w:spacing w:after="0"/>
              <w:rPr>
                <w:sz w:val="20"/>
                <w:szCs w:val="20"/>
                <w:color w:val="auto"/>
              </w:rPr>
            </w:pPr>
            <w:r>
              <w:rPr>
                <w:rFonts w:ascii="Courier New" w:cs="Courier New" w:eastAsia="Courier New" w:hAnsi="Courier New"/>
                <w:sz w:val="15"/>
                <w:szCs w:val="15"/>
                <w:color w:val="auto"/>
              </w:rPr>
              <w:t>Accrued and other current</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ind w:left="1580"/>
              <w:spacing w:after="0"/>
              <w:rPr>
                <w:sz w:val="20"/>
                <w:szCs w:val="20"/>
                <w:color w:val="auto"/>
              </w:rPr>
            </w:pPr>
            <w:r>
              <w:rPr>
                <w:rFonts w:ascii="Courier New" w:cs="Courier New" w:eastAsia="Courier New" w:hAnsi="Courier New"/>
                <w:sz w:val="15"/>
                <w:szCs w:val="15"/>
                <w:color w:val="auto"/>
              </w:rPr>
              <w:t>liabilities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14,404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10,143</w:t>
            </w:r>
          </w:p>
        </w:tc>
      </w:tr>
      <w:tr>
        <w:trPr>
          <w:trHeight w:val="170"/>
        </w:trPr>
        <w:tc>
          <w:tcPr>
            <w:tcW w:w="4140" w:type="dxa"/>
            <w:vAlign w:val="bottom"/>
          </w:tcPr>
          <w:p>
            <w:pPr>
              <w:ind w:left="1220"/>
              <w:spacing w:after="0"/>
              <w:rPr>
                <w:sz w:val="20"/>
                <w:szCs w:val="20"/>
                <w:color w:val="auto"/>
              </w:rPr>
            </w:pPr>
            <w:r>
              <w:rPr>
                <w:rFonts w:ascii="Courier New" w:cs="Courier New" w:eastAsia="Courier New" w:hAnsi="Courier New"/>
                <w:sz w:val="15"/>
                <w:szCs w:val="15"/>
                <w:color w:val="auto"/>
              </w:rPr>
              <w:t>Deferred revenue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6,660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601</w:t>
            </w:r>
          </w:p>
        </w:tc>
      </w:tr>
      <w:tr>
        <w:trPr>
          <w:trHeight w:val="170"/>
        </w:trPr>
        <w:tc>
          <w:tcPr>
            <w:tcW w:w="4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36,233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17,987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18,527</w:t>
            </w:r>
          </w:p>
        </w:tc>
      </w:tr>
      <w:tr>
        <w:trPr>
          <w:trHeight w:val="170"/>
        </w:trPr>
        <w:tc>
          <w:tcPr>
            <w:tcW w:w="4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Capital expenditures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(30,710)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(27,225)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(20,453)</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Long-term investments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(7,145)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w w:val="97"/>
              </w:rPr>
              <w:t>Purchase of Hexagen (net of cash received)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(3,977)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Transfer to restricted cash</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(6,000)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assets leased back</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ind w:left="780"/>
              <w:spacing w:after="0"/>
              <w:rPr>
                <w:sz w:val="20"/>
                <w:szCs w:val="20"/>
                <w:color w:val="auto"/>
              </w:rPr>
            </w:pPr>
            <w:r>
              <w:rPr>
                <w:rFonts w:ascii="Courier New" w:cs="Courier New" w:eastAsia="Courier New" w:hAnsi="Courier New"/>
                <w:sz w:val="15"/>
                <w:szCs w:val="15"/>
                <w:color w:val="auto"/>
              </w:rPr>
              <w:t>under operating leases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Purchases of marketable securities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(98,512)</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(53,464)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(16,526)</w:t>
            </w:r>
          </w:p>
        </w:tc>
      </w:tr>
    </w:tbl>
    <w:p>
      <w:pPr>
        <w:sectPr>
          <w:pgSz w:w="11900" w:h="16838" w:orient="portrait"/>
          <w:cols w:equalWidth="0" w:num="1">
            <w:col w:w="10219"/>
          </w:cols>
          <w:pgMar w:left="240" w:top="136" w:right="1440"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Sales of marketable securities</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88,081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8,515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Maturities of marketable securities</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6,900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18,225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16,336</w:t>
            </w:r>
          </w:p>
        </w:tc>
      </w:tr>
      <w:tr>
        <w:trPr>
          <w:trHeight w:val="170"/>
        </w:trPr>
        <w:tc>
          <w:tcPr>
            <w:tcW w:w="39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(45,363)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(66,790)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(20,956)</w:t>
            </w:r>
          </w:p>
        </w:tc>
      </w:tr>
      <w:tr>
        <w:trPr>
          <w:trHeight w:val="170"/>
        </w:trPr>
        <w:tc>
          <w:tcPr>
            <w:tcW w:w="39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common stock</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4,749</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93,831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1,582</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Proceeds from capital leases and note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960" w:type="dxa"/>
            <w:vAlign w:val="bottom"/>
          </w:tcPr>
          <w:p>
            <w:pPr>
              <w:ind w:left="780"/>
              <w:spacing w:after="0"/>
              <w:rPr>
                <w:sz w:val="20"/>
                <w:szCs w:val="20"/>
                <w:color w:val="auto"/>
              </w:rPr>
            </w:pPr>
            <w:r>
              <w:rPr>
                <w:rFonts w:ascii="Courier New" w:cs="Courier New" w:eastAsia="Courier New" w:hAnsi="Courier New"/>
                <w:sz w:val="15"/>
                <w:szCs w:val="15"/>
                <w:color w:val="auto"/>
              </w:rPr>
              <w:t>payable</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Principal payments on capital lease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960" w:type="dxa"/>
            <w:vAlign w:val="bottom"/>
          </w:tcPr>
          <w:p>
            <w:pPr>
              <w:ind w:left="780"/>
              <w:spacing w:after="0"/>
              <w:rPr>
                <w:sz w:val="20"/>
                <w:szCs w:val="20"/>
                <w:color w:val="auto"/>
              </w:rPr>
            </w:pPr>
            <w:r>
              <w:rPr>
                <w:rFonts w:ascii="Courier New" w:cs="Courier New" w:eastAsia="Courier New" w:hAnsi="Courier New"/>
                <w:sz w:val="15"/>
                <w:szCs w:val="15"/>
                <w:color w:val="auto"/>
              </w:rPr>
              <w:t>obligations and note payable</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Proceeds from repayment of receivable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960" w:type="dxa"/>
            <w:vAlign w:val="bottom"/>
          </w:tcPr>
          <w:p>
            <w:pPr>
              <w:ind w:left="780"/>
              <w:spacing w:after="0"/>
              <w:rPr>
                <w:sz w:val="20"/>
                <w:szCs w:val="20"/>
                <w:color w:val="auto"/>
              </w:rPr>
            </w:pPr>
            <w:r>
              <w:rPr>
                <w:rFonts w:ascii="Courier New" w:cs="Courier New" w:eastAsia="Courier New" w:hAnsi="Courier New"/>
                <w:sz w:val="15"/>
                <w:szCs w:val="15"/>
                <w:color w:val="auto"/>
              </w:rPr>
              <w:t>from shareholders</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3,984</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94,785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1,461</w:t>
            </w:r>
          </w:p>
        </w:tc>
      </w:tr>
      <w:tr>
        <w:trPr>
          <w:trHeight w:val="170"/>
        </w:trPr>
        <w:tc>
          <w:tcPr>
            <w:tcW w:w="39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Effect of exchange rate on cash and cash</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equivalents</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(404)</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equivalents</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(5,550)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45,982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(968)</w:t>
            </w:r>
          </w:p>
        </w:tc>
      </w:tr>
      <w:tr>
        <w:trPr>
          <w:trHeight w:val="170"/>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55,598</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9,616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10,584</w:t>
            </w:r>
          </w:p>
        </w:tc>
      </w:tr>
      <w:tr>
        <w:trPr>
          <w:trHeight w:val="170"/>
        </w:trPr>
        <w:tc>
          <w:tcPr>
            <w:tcW w:w="39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50,048</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$ 55,598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9,616</w:t>
            </w:r>
          </w:p>
        </w:tc>
      </w:tr>
      <w:tr>
        <w:trPr>
          <w:trHeight w:val="170"/>
        </w:trPr>
        <w:tc>
          <w:tcPr>
            <w:tcW w:w="39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(Continued)</w:t>
      </w:r>
    </w:p>
    <w:p>
      <w:pPr>
        <w:ind w:left="2540"/>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219"/>
          </w:cols>
          <w:pgMar w:left="240" w:top="136" w:right="1440" w:bottom="1440" w:gutter="0" w:footer="0" w:header="0"/>
        </w:sectPr>
      </w:pPr>
    </w:p>
    <w:bookmarkStart w:id="47" w:name="page48"/>
    <w:bookmarkEnd w:id="47"/>
    <w:p>
      <w:pPr>
        <w:jc w:val="center"/>
        <w:ind w:right="3179"/>
        <w:spacing w:after="0"/>
        <w:rPr>
          <w:sz w:val="20"/>
          <w:szCs w:val="20"/>
          <w:color w:val="auto"/>
        </w:rPr>
      </w:pPr>
      <w:r>
        <w:rPr>
          <w:rFonts w:ascii="Courier New" w:cs="Courier New" w:eastAsia="Courier New" w:hAnsi="Courier New"/>
          <w:sz w:val="15"/>
          <w:szCs w:val="15"/>
          <w:color w:val="auto"/>
        </w:rPr>
        <w:t>INCYTE PHARMACEUTICALS, INC.</w:t>
      </w:r>
    </w:p>
    <w:p>
      <w:pPr>
        <w:jc w:val="center"/>
        <w:ind w:right="3099"/>
        <w:spacing w:after="0"/>
        <w:rPr>
          <w:sz w:val="20"/>
          <w:szCs w:val="20"/>
          <w:color w:val="auto"/>
        </w:rPr>
      </w:pPr>
      <w:r>
        <w:rPr>
          <w:rFonts w:ascii="Courier New" w:cs="Courier New" w:eastAsia="Courier New" w:hAnsi="Courier New"/>
          <w:sz w:val="15"/>
          <w:szCs w:val="15"/>
          <w:color w:val="auto"/>
        </w:rPr>
        <w:t>CONSOLIDATED STATEMENTS OF CASH FLOWS - CONTINUED</w:t>
      </w:r>
    </w:p>
    <w:p>
      <w:pPr>
        <w:jc w:val="center"/>
        <w:ind w:right="31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08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4080" w:type="dxa"/>
            <w:vAlign w:val="bottom"/>
          </w:tcPr>
          <w:p>
            <w:pPr>
              <w:spacing w:after="0"/>
              <w:rPr>
                <w:sz w:val="20"/>
                <w:szCs w:val="20"/>
                <w:color w:val="auto"/>
              </w:rPr>
            </w:pPr>
            <w:r>
              <w:rPr>
                <w:rFonts w:ascii="Courier New" w:cs="Courier New" w:eastAsia="Courier New" w:hAnsi="Courier New"/>
                <w:sz w:val="15"/>
                <w:szCs w:val="15"/>
                <w:color w:val="auto"/>
                <w:w w:val="98"/>
              </w:rPr>
              <w:t>SUPPLEMENTAL SCHEDULE OF CASH FLOW INFORMATION</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Interest paid</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138</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r>
      <w:tr>
        <w:trPr>
          <w:trHeight w:val="170"/>
        </w:trPr>
        <w:tc>
          <w:tcPr>
            <w:tcW w:w="408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Taxes paid</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705</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252</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509"/>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FLOW FOR ACQUISITION OF HEXAGEN</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Tangible assets acquired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80" w:type="dxa"/>
            <w:vAlign w:val="bottom"/>
          </w:tcPr>
          <w:p>
            <w:pPr>
              <w:ind w:left="780"/>
              <w:spacing w:after="0"/>
              <w:rPr>
                <w:sz w:val="20"/>
                <w:szCs w:val="20"/>
                <w:color w:val="auto"/>
              </w:rPr>
            </w:pPr>
            <w:r>
              <w:rPr>
                <w:rFonts w:ascii="Courier New" w:cs="Courier New" w:eastAsia="Courier New" w:hAnsi="Courier New"/>
                <w:sz w:val="15"/>
                <w:szCs w:val="15"/>
                <w:color w:val="auto"/>
              </w:rPr>
              <w:t>(excluding $1,023 cash received)</w:t>
            </w:r>
          </w:p>
        </w:tc>
        <w:tc>
          <w:tcPr>
            <w:tcW w:w="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$ 3,025</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Purchased in-process R&amp;D</w:t>
            </w:r>
          </w:p>
        </w:tc>
        <w:tc>
          <w:tcPr>
            <w:tcW w:w="14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10,978</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Goodwill and other intangible</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80" w:type="dxa"/>
            <w:vAlign w:val="bottom"/>
          </w:tcPr>
          <w:p>
            <w:pPr>
              <w:ind w:left="880"/>
              <w:spacing w:after="0"/>
              <w:rPr>
                <w:sz w:val="20"/>
                <w:szCs w:val="20"/>
                <w:color w:val="auto"/>
              </w:rPr>
            </w:pPr>
            <w:r>
              <w:rPr>
                <w:rFonts w:ascii="Courier New" w:cs="Courier New" w:eastAsia="Courier New" w:hAnsi="Courier New"/>
                <w:sz w:val="15"/>
                <w:szCs w:val="15"/>
                <w:color w:val="auto"/>
              </w:rPr>
              <w:t>assets acquired</w:t>
            </w:r>
          </w:p>
        </w:tc>
        <w:tc>
          <w:tcPr>
            <w:tcW w:w="14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17,553</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Acquisition costs incurred</w:t>
            </w:r>
          </w:p>
        </w:tc>
        <w:tc>
          <w:tcPr>
            <w:tcW w:w="1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(1,029)</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Liabilities assumed</w:t>
            </w:r>
          </w:p>
        </w:tc>
        <w:tc>
          <w:tcPr>
            <w:tcW w:w="1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(3,112)</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Common stock issued</w:t>
            </w:r>
          </w:p>
        </w:tc>
        <w:tc>
          <w:tcPr>
            <w:tcW w:w="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(23,438)</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8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Cash paid for acquisition (net of</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80" w:type="dxa"/>
            <w:vAlign w:val="bottom"/>
          </w:tcPr>
          <w:p>
            <w:pPr>
              <w:ind w:left="880"/>
              <w:spacing w:after="0"/>
              <w:rPr>
                <w:sz w:val="20"/>
                <w:szCs w:val="20"/>
                <w:color w:val="auto"/>
              </w:rPr>
            </w:pPr>
            <w:r>
              <w:rPr>
                <w:rFonts w:ascii="Courier New" w:cs="Courier New" w:eastAsia="Courier New" w:hAnsi="Courier New"/>
                <w:sz w:val="15"/>
                <w:szCs w:val="15"/>
                <w:color w:val="auto"/>
              </w:rPr>
              <w:t>$1,023 cash received)</w:t>
            </w:r>
          </w:p>
        </w:tc>
        <w:tc>
          <w:tcPr>
            <w:tcW w:w="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$ 3,977</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8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219"/>
          </w:cols>
          <w:pgMar w:left="240" w:top="452" w:right="1440" w:bottom="1440" w:gutter="0" w:footer="0" w:header="0"/>
        </w:sectPr>
      </w:pPr>
    </w:p>
    <w:bookmarkStart w:id="48" w:name="page49"/>
    <w:bookmarkEnd w:id="48"/>
    <w:p>
      <w:pPr>
        <w:ind w:left="2540"/>
        <w:spacing w:after="0"/>
        <w:tabs>
          <w:tab w:leader="none" w:pos="3240" w:val="left"/>
          <w:tab w:leader="none" w:pos="4820" w:val="left"/>
        </w:tabs>
        <w:rPr>
          <w:sz w:val="20"/>
          <w:szCs w:val="20"/>
          <w:color w:val="auto"/>
        </w:rPr>
      </w:pPr>
      <w:r>
        <w:rPr>
          <w:rFonts w:ascii="Courier New" w:cs="Courier New" w:eastAsia="Courier New" w:hAnsi="Courier New"/>
          <w:sz w:val="15"/>
          <w:szCs w:val="15"/>
          <w:color w:val="auto"/>
        </w:rPr>
        <w:t>INCYTE</w:t>
        <w:tab/>
        <w:t>PHARMACEUTICALS,</w:t>
        <w:tab/>
        <w:t>INC.</w:t>
      </w:r>
    </w:p>
    <w:p>
      <w:pPr>
        <w:ind w:left="1760"/>
        <w:spacing w:after="0"/>
        <w:tabs>
          <w:tab w:leader="none" w:pos="2360" w:val="left"/>
          <w:tab w:leader="none" w:pos="2700" w:val="left"/>
          <w:tab w:leader="none" w:pos="3940" w:val="left"/>
          <w:tab w:leader="none" w:pos="4900" w:val="left"/>
        </w:tabs>
        <w:rPr>
          <w:sz w:val="20"/>
          <w:szCs w:val="20"/>
          <w:color w:val="auto"/>
        </w:rPr>
      </w:pPr>
      <w:r>
        <w:rPr>
          <w:rFonts w:ascii="Courier New" w:cs="Courier New" w:eastAsia="Courier New" w:hAnsi="Courier New"/>
          <w:sz w:val="15"/>
          <w:szCs w:val="15"/>
          <w:color w:val="auto"/>
        </w:rPr>
        <w:t>NOTES</w:t>
        <w:tab/>
        <w:t>TO</w:t>
        <w:tab/>
        <w:t>CONSOLIDATED</w:t>
        <w:tab/>
        <w:t>FINANCIAL</w:t>
      </w:r>
      <w:r>
        <w:rPr>
          <w:sz w:val="20"/>
          <w:szCs w:val="20"/>
          <w:color w:val="auto"/>
        </w:rPr>
        <w:tab/>
      </w:r>
      <w:r>
        <w:rPr>
          <w:rFonts w:ascii="Courier New" w:cs="Courier New" w:eastAsia="Courier New" w:hAnsi="Courier New"/>
          <w:sz w:val="14"/>
          <w:szCs w:val="14"/>
          <w:color w:val="auto"/>
        </w:rPr>
        <w:t>STATEMENTS</w:t>
      </w:r>
    </w:p>
    <w:p>
      <w:pPr>
        <w:spacing w:after="0" w:line="338" w:lineRule="exact"/>
        <w:rPr>
          <w:sz w:val="20"/>
          <w:szCs w:val="20"/>
          <w:color w:val="auto"/>
        </w:rPr>
      </w:pPr>
    </w:p>
    <w:p>
      <w:pPr>
        <w:spacing w:after="0"/>
        <w:tabs>
          <w:tab w:leader="none" w:pos="500" w:val="left"/>
          <w:tab w:leader="none" w:pos="1120" w:val="left"/>
          <w:tab w:leader="none" w:pos="2360" w:val="left"/>
          <w:tab w:leader="none" w:pos="2800" w:val="left"/>
          <w:tab w:leader="none" w:pos="3580" w:val="left"/>
          <w:tab w:leader="none" w:pos="3940" w:val="left"/>
          <w:tab w:leader="none" w:pos="5080" w:val="left"/>
          <w:tab w:leader="none" w:pos="6140" w:val="left"/>
        </w:tabs>
        <w:rPr>
          <w:sz w:val="20"/>
          <w:szCs w:val="20"/>
          <w:color w:val="auto"/>
        </w:rPr>
      </w:pPr>
      <w:r>
        <w:rPr>
          <w:rFonts w:ascii="Courier New" w:cs="Courier New" w:eastAsia="Courier New" w:hAnsi="Courier New"/>
          <w:sz w:val="15"/>
          <w:szCs w:val="15"/>
          <w:color w:val="auto"/>
        </w:rPr>
        <w:t>NOTE</w:t>
        <w:tab/>
        <w:t>1.</w:t>
      </w:r>
      <w:r>
        <w:rPr>
          <w:sz w:val="20"/>
          <w:szCs w:val="20"/>
          <w:color w:val="auto"/>
        </w:rPr>
        <w:tab/>
      </w:r>
      <w:r>
        <w:rPr>
          <w:rFonts w:ascii="Courier New" w:cs="Courier New" w:eastAsia="Courier New" w:hAnsi="Courier New"/>
          <w:sz w:val="15"/>
          <w:szCs w:val="15"/>
          <w:color w:val="auto"/>
        </w:rPr>
        <w:t>ORGANIZATION</w:t>
        <w:tab/>
        <w:t>AND</w:t>
        <w:tab/>
        <w:t>SUMMARY</w:t>
        <w:tab/>
        <w:t>OF</w:t>
        <w:tab/>
        <w:t>SIGNIFICANT</w:t>
        <w:tab/>
        <w:t>ACCOUNTING</w:t>
      </w:r>
      <w:r>
        <w:rPr>
          <w:sz w:val="20"/>
          <w:szCs w:val="20"/>
          <w:color w:val="auto"/>
        </w:rPr>
        <w:tab/>
      </w:r>
      <w:r>
        <w:rPr>
          <w:rFonts w:ascii="Courier New" w:cs="Courier New" w:eastAsia="Courier New" w:hAnsi="Courier New"/>
          <w:sz w:val="14"/>
          <w:szCs w:val="14"/>
          <w:color w:val="auto"/>
        </w:rPr>
        <w:t>POLICIES</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Organization and Business. Incyte Pharmaceuticals, Inc. (the "Company") was incorporated in Delaware in April 1991. The Company designs, develops, and markets genomic information-based tools including database products, genomic data management software tools, microarray-based gene expression services and genomic reagents and related services. The Company's genomic databases integrate bioinformatics software with proprietary and, when appropriate, publicly available genetic information to create information-based tools used by pharmaceutical and biotechnology companies in drug discovery and development.</w:t>
      </w:r>
    </w:p>
    <w:p>
      <w:pPr>
        <w:spacing w:after="0" w:line="167"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Principles of Consolidation. The consolidated financial statements include the accounts of Incyte Pharmaceuticals, Inc., and its wholly owned subsidiaries. All material intercompany accounts, transactions, and profits have been eliminated in consolidation.</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September 1998, the Company completed the acquisition of Hexagen Limited ("Hexagen"), which was accounted for as a purchase. The Company issued 976,130 shares of the its common stock and $5.0 million in cash in exchange for all of Hexagen's outstanding capital stock. In addition, the Company assumed Hexagen's outstanding stock options, which if fully vested and exercised, would amount to 125,909 shares of common stock. The consolidated financial statements discussed herein reflect the inclusion of the results of Hexagen from the date of acquisition, September 21, 1998.</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January 1998, the Company issued shares of common stock in exchange for all of the capital stock of Synteni, Inc. ("Synteni"). The merger has been accounted for as a pooling of interests and, accordingly, the Company's financial statements and financial data for all periods have been retroactively restated to include the accounts and operations of Synteni since inception. Synteni's fiscal year ends on September 30. Synteni's results of operations for the period from October 1, 1997 to December 31, 1997 were recorded directly in retained earnings in 1998.</w:t>
      </w:r>
    </w:p>
    <w:p>
      <w:pPr>
        <w:spacing w:after="0" w:line="178"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 August 1996, the Company acquired Combion, Inc. ("Combion") for shares of the Company's Common Stock. The acquisition of Combion has been accounted for as a purchase, and the consolidated financial statements discussed herein reflect the inclusion of the results of Combion from the date of acquisition, August 15, 1996.</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July 1996, the Company issued shares of its common stock in exchange for all of the outstanding shares of Genome Systems, Inc. ("Genome Systems"). The transaction has been accounted for as a pooling of interests, and the consolidated financial statements discussed herein and all historical financial information have been restated to reflect the combined operations of both companies. See Note 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gridSpan w:val="4"/>
          </w:tcPr>
          <w:p>
            <w:pPr>
              <w:spacing w:after="0"/>
              <w:rPr>
                <w:sz w:val="20"/>
                <w:szCs w:val="20"/>
                <w:color w:val="auto"/>
              </w:rPr>
            </w:pPr>
            <w:r>
              <w:rPr>
                <w:rFonts w:ascii="Courier New" w:cs="Courier New" w:eastAsia="Courier New" w:hAnsi="Courier New"/>
                <w:sz w:val="15"/>
                <w:szCs w:val="15"/>
                <w:color w:val="auto"/>
              </w:rPr>
              <w:t>Reclassifications.  Certain</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reclassifications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were</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made</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6"/>
              </w:rPr>
              <w:t>prior  periods'</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balances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w w:val="95"/>
              </w:rPr>
              <w:t>conform</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9"/>
              </w:rPr>
              <w:t>with</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the  1998</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presentation.</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Use  of</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Estimates.</w:t>
            </w:r>
          </w:p>
        </w:tc>
        <w:tc>
          <w:tcPr>
            <w:tcW w:w="520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The  preparation of financial statements in conformity with</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generally</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accepted</w:t>
            </w:r>
          </w:p>
        </w:tc>
        <w:tc>
          <w:tcPr>
            <w:tcW w:w="38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accounting principles requires management to</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make estimates</w:t>
            </w:r>
          </w:p>
        </w:tc>
      </w:t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rPr>
              <w:t>and assumptions that</w:t>
            </w:r>
          </w:p>
        </w:tc>
        <w:tc>
          <w:tcPr>
            <w:tcW w:w="38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affect the amounts reported in the financial</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statements and</w:t>
            </w:r>
          </w:p>
        </w:tc>
      </w:t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accompanying</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notes.</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9"/>
              </w:rPr>
              <w:t>Actual</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results</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could</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differ</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from</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those</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estimates.</w:t>
            </w:r>
          </w:p>
        </w:tc>
      </w:tr>
    </w:tbl>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Foreign Currency Translation. The financial statements of subsidiaries outside the United States are measured using the local currency as the functional currency. Assets and liabilities of these subsidiaries are translated at the rates of exchange at the balance sheet date. The resultant translation adjustments are included in the cumulative translation adjustment, a separate component of stockholders' equity. Income and expense items are translated at average monthly rates of exchange.</w:t>
      </w:r>
    </w:p>
    <w:p>
      <w:pPr>
        <w:sectPr>
          <w:pgSz w:w="11900" w:h="16838" w:orient="portrait"/>
          <w:cols w:equalWidth="0" w:num="1">
            <w:col w:w="10219"/>
          </w:cols>
          <w:pgMar w:left="240" w:top="452" w:right="1440" w:bottom="1440" w:gutter="0" w:footer="0" w:header="0"/>
        </w:sectPr>
      </w:pPr>
    </w:p>
    <w:bookmarkStart w:id="49" w:name="page50"/>
    <w:bookmarkEnd w:id="49"/>
    <w:p>
      <w:pPr>
        <w:jc w:val="both"/>
        <w:ind w:right="3179"/>
        <w:spacing w:after="0" w:line="238" w:lineRule="auto"/>
        <w:rPr>
          <w:sz w:val="20"/>
          <w:szCs w:val="20"/>
          <w:color w:val="auto"/>
        </w:rPr>
      </w:pPr>
      <w:r>
        <w:rPr>
          <w:rFonts w:ascii="Courier New" w:cs="Courier New" w:eastAsia="Courier New" w:hAnsi="Courier New"/>
          <w:sz w:val="15"/>
          <w:szCs w:val="15"/>
          <w:color w:val="auto"/>
        </w:rPr>
        <w:t>Concentrations of Credit Risk. Cash, cash equivalents, and short-term investments, trade receivables, and long term strategic investments are financial instruments which potentially subject the Company to concentrations of credit risk. The estimated fair value of financial instruments approximates the carrying value based on available market information. The Company primarily invests its excess available funds in notes and bills issued by the U.S. government and its agencies and corporate debt securities and, by policy, limits the amount of credit exposure to any one issuer and to any one type of investment, other than securities issued or guaranteed by the U.S. Government. The Company's customers are pharmaceutical, biotechnology and agricultural companies which are typically located in the United States and Europe. The Company has not experienced any credit losses to date and does not require collateral on receivables. The Company's long-term investments represent equity investments in a number of companies whose businesses may be complementary to the Company's business. The Company evaluates the long-term investments quarterly for impairment, and to date has not incurred a material impairment related to these investments. (See Long-Term Investments)</w:t>
      </w:r>
    </w:p>
    <w:p>
      <w:pPr>
        <w:spacing w:after="0" w:line="18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Cash and Cash Equivalents. Cash and cash equivalents are held in U.S. and U.K. banks or in custodial accounts with U.S. and U.K. banks. Cash equivalents are defined as all liquid investments with maturity from date of purchase of 90 days or less that are readily convertible into cash and have insignificant interest rate risk. All other investments are reported as marketable securities - available-for-sale.</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Restricted Cash. Restricted cash at December 31, 1997 consists of cash held in an escrow account which was disbursed to the Company's joint venture, diaDexus, LLC ("diaDexus"), in 1998 in accordance with the joint venture agreement (see Joint Venture and Note 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Marketable</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Securities  Available-for-Sale.</w:t>
            </w:r>
          </w:p>
        </w:tc>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All  marketable  securities  are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classified</w:t>
            </w:r>
          </w:p>
        </w:tc>
        <w:tc>
          <w:tcPr>
            <w:tcW w:w="6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as  available-for-sale. Available-for-sale securities are carried at</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fair value,</w:t>
            </w:r>
          </w:p>
        </w:tc>
        <w:tc>
          <w:tcPr>
            <w:tcW w:w="6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with unrealized gains and losses reported as a separate component of</w:t>
            </w:r>
          </w:p>
        </w:tc>
      </w:tr>
    </w:tbl>
    <w:p>
      <w:pPr>
        <w:spacing w:after="0"/>
        <w:tabs>
          <w:tab w:leader="none" w:pos="2000" w:val="left"/>
        </w:tabs>
        <w:rPr>
          <w:sz w:val="20"/>
          <w:szCs w:val="20"/>
          <w:color w:val="auto"/>
        </w:rPr>
      </w:pPr>
      <w:r>
        <w:rPr>
          <w:rFonts w:ascii="Courier New" w:cs="Courier New" w:eastAsia="Courier New" w:hAnsi="Courier New"/>
          <w:sz w:val="15"/>
          <w:szCs w:val="15"/>
          <w:color w:val="auto"/>
        </w:rPr>
        <w:t>stockholders' equity.</w:t>
      </w:r>
      <w:r>
        <w:rPr>
          <w:sz w:val="20"/>
          <w:szCs w:val="20"/>
          <w:color w:val="auto"/>
        </w:rPr>
        <w:tab/>
      </w:r>
      <w:r>
        <w:rPr>
          <w:rFonts w:ascii="Courier New" w:cs="Courier New" w:eastAsia="Courier New" w:hAnsi="Courier New"/>
          <w:sz w:val="14"/>
          <w:szCs w:val="14"/>
          <w:color w:val="auto"/>
        </w:rPr>
        <w:t>The amortized cost of debt securities in this category is</w:t>
      </w:r>
    </w:p>
    <w:tbl>
      <w:tblPr>
        <w:tblLayout w:type="fixed"/>
        <w:tblInd w:w="0" w:type="dxa"/>
        <w:tblCellMar>
          <w:top w:w="0" w:type="dxa"/>
          <w:left w:w="0" w:type="dxa"/>
          <w:bottom w:w="0" w:type="dxa"/>
          <w:right w:w="0" w:type="dxa"/>
        </w:tblCellMar>
      </w:tblPr>
      <w:tr>
        <w:trPr>
          <w:trHeight w:val="169"/>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adjusted</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15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amortization of</w:t>
            </w:r>
          </w:p>
        </w:tc>
        <w:tc>
          <w:tcPr>
            <w:tcW w:w="43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premiums and accretions of discounts to maturity.</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Such</w:t>
            </w:r>
          </w:p>
        </w:tc>
        <w:tc>
          <w:tcPr>
            <w:tcW w:w="11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4"/>
              </w:rPr>
              <w:t>amortization</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w:t>
            </w:r>
          </w:p>
        </w:tc>
        <w:tc>
          <w:tcPr>
            <w:tcW w:w="520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included in interest income.  Realized gains and losses and</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declines</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3"/>
              </w:rPr>
              <w:t>value</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judged  to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be</w:t>
            </w:r>
          </w:p>
        </w:tc>
        <w:tc>
          <w:tcPr>
            <w:tcW w:w="3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other than temporary for available-for-sale</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securities</w:t>
            </w:r>
          </w:p>
        </w:tc>
        <w:tc>
          <w:tcPr>
            <w:tcW w:w="6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are</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included</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interest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income/expense. The cost of</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securities</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w w:val="88"/>
              </w:rPr>
              <w:t>is</w:t>
            </w:r>
          </w:p>
        </w:tc>
        <w:tc>
          <w:tcPr>
            <w:tcW w:w="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sold</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based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specific</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identification  method.</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1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4"/>
              </w:rPr>
              <w:t>following is</w:t>
            </w:r>
          </w:p>
        </w:tc>
        <w:tc>
          <w:tcPr>
            <w:tcW w:w="12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a summary of</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the</w:t>
            </w:r>
          </w:p>
        </w:tc>
        <w:tc>
          <w:tcPr>
            <w:tcW w:w="39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Company's investment portfolio, excluding the</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Company's</w:t>
            </w:r>
          </w:p>
        </w:tc>
        <w:tc>
          <w:tcPr>
            <w:tcW w:w="9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5"/>
              </w:rPr>
              <w:t>investment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diaDexus</w:t>
            </w:r>
          </w:p>
        </w:tc>
        <w:tc>
          <w:tcPr>
            <w:tcW w:w="39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and including cash equivalents of $26,203,000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11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$40,064,000</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of</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December</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and</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1997,  respectively.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NET</w:t>
            </w:r>
          </w:p>
        </w:tc>
        <w:tc>
          <w:tcPr>
            <w:tcW w:w="90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UNREALIZED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ESTIMATED</w:t>
            </w:r>
          </w:p>
        </w:tc>
      </w:t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AMORTIZED</w:t>
            </w: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GAINS</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FAIR</w:t>
            </w:r>
          </w:p>
        </w:tc>
      </w:t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COST</w:t>
            </w: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(LOSSES)</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440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U.S. Treasury notes and other U.S. government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4400" w:type="dxa"/>
            <w:vAlign w:val="bottom"/>
          </w:tcPr>
          <w:p>
            <w:pPr>
              <w:ind w:left="260"/>
              <w:spacing w:after="0"/>
              <w:rPr>
                <w:sz w:val="20"/>
                <w:szCs w:val="20"/>
                <w:color w:val="auto"/>
              </w:rPr>
            </w:pPr>
            <w:r>
              <w:rPr>
                <w:rFonts w:ascii="Courier New" w:cs="Courier New" w:eastAsia="Courier New" w:hAnsi="Courier New"/>
                <w:sz w:val="15"/>
                <w:szCs w:val="15"/>
                <w:color w:val="auto"/>
              </w:rPr>
              <w:t>agency securities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72,635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$ 72,845</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Corporate debt securities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14,543</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14,543</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Long term equity investments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12,245</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12,427</w:t>
            </w:r>
          </w:p>
        </w:tc>
      </w:tr>
      <w:tr>
        <w:trPr>
          <w:trHeight w:val="170"/>
        </w:trPr>
        <w:tc>
          <w:tcPr>
            <w:tcW w:w="440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99,423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392</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$ 99,815</w:t>
            </w:r>
          </w:p>
        </w:tc>
      </w:tr>
      <w:tr>
        <w:trPr>
          <w:trHeight w:val="170"/>
        </w:trPr>
        <w:tc>
          <w:tcPr>
            <w:tcW w:w="440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U.S. Treasury notes and other U.S. government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4400" w:type="dxa"/>
            <w:vAlign w:val="bottom"/>
          </w:tcPr>
          <w:p>
            <w:pPr>
              <w:ind w:left="260"/>
              <w:spacing w:after="0"/>
              <w:rPr>
                <w:sz w:val="20"/>
                <w:szCs w:val="20"/>
                <w:color w:val="auto"/>
              </w:rPr>
            </w:pPr>
            <w:r>
              <w:rPr>
                <w:rFonts w:ascii="Courier New" w:cs="Courier New" w:eastAsia="Courier New" w:hAnsi="Courier New"/>
                <w:sz w:val="15"/>
                <w:szCs w:val="15"/>
                <w:color w:val="auto"/>
              </w:rPr>
              <w:t>agency securities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53,951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$ 53,998</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Corporate debt securities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30,543</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30,543</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Floating rate notes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13,013</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13,020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Long term equity investments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5,100</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5,100</w:t>
            </w:r>
          </w:p>
        </w:tc>
      </w:tr>
      <w:tr>
        <w:trPr>
          <w:trHeight w:val="170"/>
        </w:trPr>
        <w:tc>
          <w:tcPr>
            <w:tcW w:w="440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102,607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$102,661</w:t>
            </w:r>
          </w:p>
        </w:tc>
      </w:tr>
      <w:tr>
        <w:trPr>
          <w:trHeight w:val="170"/>
        </w:trPr>
        <w:tc>
          <w:tcPr>
            <w:tcW w:w="440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At December 31, 1998 and 1997, all of the Company's investments are classified as short-term, as the Company has classified its investments as available for sale and may not hold its investments until maturity in order to take advantage of market conditions. At December 31, 1998, marketable securities with a market value of $46,355,000 and an amortized cost of $46,227,000 had maturities under a year and marketable securities with a market value of $41,033,000 and an amortized cost of $40,958,000 had maturities over a year, but less than two years. Unrealized losses were not material and have therefore been netted against unrealized gains. Net realized gains of $380,000 from sales of marketable securities were included in Interest and Other Income in 1998 and net realized losses of $25,000 losses from sales of marketable securities were included in Interest and Other Expense in 1997.</w:t>
      </w:r>
    </w:p>
    <w:p>
      <w:pPr>
        <w:spacing w:after="0" w:line="182" w:lineRule="exact"/>
        <w:rPr>
          <w:sz w:val="20"/>
          <w:szCs w:val="20"/>
          <w:color w:val="auto"/>
        </w:rPr>
      </w:pPr>
    </w:p>
    <w:p>
      <w:pPr>
        <w:jc w:val="both"/>
        <w:ind w:right="3179"/>
        <w:spacing w:after="0" w:line="265" w:lineRule="auto"/>
        <w:rPr>
          <w:sz w:val="20"/>
          <w:szCs w:val="20"/>
          <w:color w:val="auto"/>
        </w:rPr>
      </w:pPr>
      <w:r>
        <w:rPr>
          <w:rFonts w:ascii="Courier New" w:cs="Courier New" w:eastAsia="Courier New" w:hAnsi="Courier New"/>
          <w:sz w:val="14"/>
          <w:szCs w:val="14"/>
          <w:color w:val="auto"/>
        </w:rPr>
        <w:t>Accounts Receivable. Accounts receivable at December 31, 1998 and 1997 included an allowance for doubtful accounts of $434,000 and $225,000,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Property  and</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Equipment.</w:t>
            </w:r>
          </w:p>
        </w:tc>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Property  and  equipment  is</w:t>
            </w: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at  cost,  less</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accumulated</w:t>
            </w:r>
          </w:p>
        </w:tc>
        <w:tc>
          <w:tcPr>
            <w:tcW w:w="13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depreciation</w:t>
            </w:r>
          </w:p>
        </w:tc>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w w:val="98"/>
              </w:rPr>
              <w:t>and  amortization. Depreciation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is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8"/>
              </w:rPr>
              <w:t>recorded using the</w:t>
            </w: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straight-line</w:t>
            </w:r>
          </w:p>
        </w:tc>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6"/>
              </w:rPr>
              <w:t>method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over</w:t>
            </w:r>
          </w:p>
        </w:tc>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w w:val="99"/>
              </w:rPr>
              <w:t>the estimated useful lives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respective assets</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(generally</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two</w:t>
            </w:r>
          </w:p>
        </w:tc>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five</w:t>
            </w:r>
          </w:p>
        </w:tc>
        <w:tc>
          <w:tcPr>
            <w:tcW w:w="3040" w:type="dxa"/>
            <w:vAlign w:val="bottom"/>
            <w:gridSpan w:val="3"/>
          </w:tcPr>
          <w:p>
            <w:pPr>
              <w:spacing w:after="0"/>
              <w:rPr>
                <w:sz w:val="20"/>
                <w:szCs w:val="20"/>
                <w:color w:val="auto"/>
              </w:rPr>
            </w:pPr>
            <w:r>
              <w:rPr>
                <w:rFonts w:ascii="Courier New" w:cs="Courier New" w:eastAsia="Courier New" w:hAnsi="Courier New"/>
                <w:sz w:val="15"/>
                <w:szCs w:val="15"/>
                <w:color w:val="auto"/>
                <w:w w:val="98"/>
              </w:rPr>
              <w:t>years). Leasehold improvements are</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8"/>
              </w:rPr>
              <w:t>amortized over the</w:t>
            </w:r>
          </w:p>
        </w:tc>
      </w:tr>
    </w:tbl>
    <w:p>
      <w:pPr>
        <w:sectPr>
          <w:pgSz w:w="11900" w:h="16838" w:orient="portrait"/>
          <w:cols w:equalWidth="0" w:num="1">
            <w:col w:w="10219"/>
          </w:cols>
          <w:pgMar w:left="240" w:top="458" w:right="1440" w:bottom="0" w:gutter="0" w:footer="0" w:header="0"/>
        </w:sectPr>
      </w:pPr>
    </w:p>
    <w:bookmarkStart w:id="50" w:name="page51"/>
    <w:bookmarkEnd w:id="50"/>
    <w:p>
      <w:pPr>
        <w:jc w:val="both"/>
        <w:ind w:right="3179"/>
        <w:spacing w:after="0" w:line="235" w:lineRule="auto"/>
        <w:rPr>
          <w:sz w:val="20"/>
          <w:szCs w:val="20"/>
          <w:color w:val="auto"/>
        </w:rPr>
      </w:pPr>
      <w:r>
        <w:rPr>
          <w:rFonts w:ascii="Courier New" w:cs="Courier New" w:eastAsia="Courier New" w:hAnsi="Courier New"/>
          <w:sz w:val="15"/>
          <w:szCs w:val="15"/>
          <w:color w:val="auto"/>
        </w:rPr>
        <w:t>shorter of the estimated useful life of the assets or lease term. Property and equipment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1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Office equipment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3,577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$ 2,588</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Laboratory equipment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25,665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18,939</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35,209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22,168</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26,026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14,495</w:t>
            </w:r>
          </w:p>
        </w:tc>
      </w:tr>
      <w:tr>
        <w:trPr>
          <w:trHeight w:val="170"/>
        </w:trPr>
        <w:tc>
          <w:tcPr>
            <w:tcW w:w="4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90,477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58,190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Less accumulated depreciation and amortization</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36,048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20,120</w:t>
            </w:r>
          </w:p>
        </w:tc>
      </w:tr>
      <w:tr>
        <w:trPr>
          <w:trHeight w:val="170"/>
        </w:trPr>
        <w:tc>
          <w:tcPr>
            <w:tcW w:w="4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$ 54,429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$38,070</w:t>
            </w:r>
          </w:p>
        </w:tc>
      </w:tr>
      <w:tr>
        <w:trPr>
          <w:trHeight w:val="170"/>
        </w:trPr>
        <w:tc>
          <w:tcPr>
            <w:tcW w:w="4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Depreciation expense, including depreciation expense of assets under capital leases, was $13,420,000, $8,758,000, and $5,298,000, for 1998, 1997, and 1996, respectively. Amortization of leasehold improvements was $3,343,000, $2,260,000, and $1,061,000 for 1998, 1997, and 1996, respectively.</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Certain laboratory and computer equipment used by the Company could be subject to technological obsolescence in the event that significant advancement is made in competing or developing equipment technologies. Management continually reviews the estimated useful lives of technologically sensitive equipment and believes that those estimates appropriately reflect the current useful life of its assets. In the event that a currently unknown significantly advanced technology became commercially available, the Company would re-evaluate the value and estimated useful lives of its existing equipment, possibly having a material impact on the financial statements.</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Long-Term Investments. The Company has made equity investments in a number of companies whose businesses may be complementary to the Company's business. The Company accounts for its investment in diaDexus ($8,226,000 and $9,700,000 at December 31, 1998 and 1997, respectively) under the equity method of accounting (see Joint Venture and Note 10 ). All investments in which the shares are freely tradable or become freely tradable within one year of the balance sheet date are accounted for in accordance with SFAS 115, with unrealized gains and losses being reported as a separate component of stockholders' equity. In all other cases, the cost method of accounting is used. The Company holds less than 10% of each long-term investment and does not exert significant influence over these investments.</w:t>
      </w:r>
    </w:p>
    <w:p>
      <w:pPr>
        <w:sectPr>
          <w:pgSz w:w="11900" w:h="16838" w:orient="portrait"/>
          <w:cols w:equalWidth="0" w:num="1">
            <w:col w:w="10219"/>
          </w:cols>
          <w:pgMar w:left="240" w:top="142" w:right="1440" w:bottom="1440" w:gutter="0" w:footer="0" w:header="0"/>
        </w:sectPr>
      </w:pPr>
    </w:p>
    <w:bookmarkStart w:id="51" w:name="page52"/>
    <w:bookmarkEnd w:id="51"/>
    <w:p>
      <w:pPr>
        <w:jc w:val="both"/>
        <w:ind w:right="3179"/>
        <w:spacing w:after="0" w:line="237" w:lineRule="auto"/>
        <w:rPr>
          <w:sz w:val="20"/>
          <w:szCs w:val="20"/>
          <w:color w:val="auto"/>
        </w:rPr>
      </w:pPr>
      <w:r>
        <w:rPr>
          <w:rFonts w:ascii="Courier New" w:cs="Courier New" w:eastAsia="Courier New" w:hAnsi="Courier New"/>
          <w:sz w:val="15"/>
          <w:szCs w:val="15"/>
          <w:color w:val="auto"/>
        </w:rPr>
        <w:t>Goodwill and Other Intangible Assets. Goodwill and other intangible assets were generated in the acquisition of Hexagen. Goodwill is being amortized on a straight line basis over 8 years and the other intangible assets of developed technology and assembled workforce are being amortized on a straight line basis over 5 and 3 years, respectively.</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Software Costs. In accordance with the provisions of the Financial Accounting Standards Board Statement No. 86, "Accounting for the Costs of Computer Software to be Sold, Leased or Otherwise Marketed," the Company has capitalized software development costs incurred in developing certain products once technological feasibility of the products has been determined. The Company recorded capitalized software, net of amortization of $6,315,000 and $2,987,000 at December 31, 1998 and 1997, respectively, and recorded amortization of capitalized software of $1,379,000, $391,000 and none for the years ended December 31, 1998, 1997 and 1996, respectively</w:t>
      </w:r>
    </w:p>
    <w:p>
      <w:pPr>
        <w:spacing w:after="0" w:line="179"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Accumulated Other Comprehensive Income. Accumulated Other Comprehensive Income consists of the following at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7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Unrealized gains on marketable securities</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37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0"/>
        </w:trPr>
        <w:tc>
          <w:tcPr>
            <w:tcW w:w="37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Revenue Recognition. The Company recognizes revenue for database collaboration agreements evenly over the term of each agreement. Revenue is deferred for fees received before earned. Revenues from custom orders, such as contract sequencing, and reagents are recognized upon completion and shipment. Revenues from genomic screening services are recognized upon completion. Revenue from gene expression microarray services includes; technology access fees, which are generally recognized ratably over the access term; capacity ramp up charges, which are recognized ratably as capacity is increased; and usage fees which are recognized at the completion of key stages in the performance of the service, in proportion to costs incurred. Generally, software revenue is allocated between license fees and maintenance fees, in accordance with SOP 97-2, with the license revenue being recognized upon installation, and maintenance fees recognized evenly over the maintenance term.</w:t>
      </w:r>
    </w:p>
    <w:p>
      <w:pPr>
        <w:spacing w:after="0" w:line="18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Stock-Based Compensation. The Company accounts for stock option grants to employees in accordance with APB Opinion No. 25, Accounting for Stock Issued to Employees. The Company currently grants stock options for a fixed number of shares to employees and directors with an exercise price equal to the fair value of the shares at the date of grant, and therefore records no compensation expense. Prior to the merger with Incyte, Synteni recorded deferred compensation of $1,658,000 for options issued to employees with an exercise price below the fair market value of the underlying stock. The amount is being amortized over the vesting period of the options issued.</w:t>
      </w:r>
    </w:p>
    <w:p>
      <w:pPr>
        <w:spacing w:after="0" w:line="179"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Advertising Costs. All costs associated with advertising products are expensed in the year incurred. Advertising expense for the years ended December 31, 1998, 1997, and 1996 were $1,092,000, $772,000, and $573,000, respectively.</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Joint Venture. In September 1997, the Company formed a joint venture, diaDexus, LLC with SmithKline Beecham Corporation ("SB"), which will utilize genomic and bioinformatic technologies in the discovery and commercialization of molecular diagnostics. The Company and SB each hold a 50 percent equity interest in diaDexus and the Company accounts for the investment under the equity method. See Note 10</w:t>
      </w:r>
    </w:p>
    <w:p>
      <w:pPr>
        <w:sectPr>
          <w:pgSz w:w="11900" w:h="16838" w:orient="portrait"/>
          <w:cols w:equalWidth="0" w:num="1">
            <w:col w:w="10219"/>
          </w:cols>
          <w:pgMar w:left="240" w:top="458"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New</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Pronouncements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w:t>
            </w:r>
          </w:p>
        </w:tc>
        <w:tc>
          <w:tcPr>
            <w:tcW w:w="49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June 1998, the FASB issued Statement No. 133, Accounting</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666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8"/>
              </w:rPr>
              <w:t>Derivative Instruments and Hedging Activities. ("SFAS 133"). This statement</w:t>
            </w:r>
          </w:p>
        </w:tc>
      </w:tr>
      <w:tr>
        <w:trPr>
          <w:trHeight w:val="170"/>
        </w:trPr>
        <w:tc>
          <w:tcPr>
            <w:tcW w:w="4580" w:type="dxa"/>
            <w:vAlign w:val="bottom"/>
            <w:gridSpan w:val="8"/>
          </w:tcPr>
          <w:p>
            <w:pPr>
              <w:spacing w:after="0"/>
              <w:rPr>
                <w:sz w:val="20"/>
                <w:szCs w:val="20"/>
                <w:color w:val="auto"/>
              </w:rPr>
            </w:pPr>
            <w:r>
              <w:rPr>
                <w:rFonts w:ascii="Courier New" w:cs="Courier New" w:eastAsia="Courier New" w:hAnsi="Courier New"/>
                <w:sz w:val="15"/>
                <w:szCs w:val="15"/>
                <w:color w:val="auto"/>
                <w:w w:val="99"/>
              </w:rPr>
              <w:t>is  effective  for  fiscal  years  beginning  after</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June  15,  1999.  SFAS  133</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established</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standards</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reporting</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derivative</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instruments   and   hedging</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activities.</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Application</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of</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SFAS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will have no impact on the consolidated</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financial</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position</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or</w:t>
            </w:r>
          </w:p>
        </w:tc>
        <w:tc>
          <w:tcPr>
            <w:tcW w:w="49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results  of  operations  as  currently  reported.</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NOTE</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  DATABASE</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AND</w:t>
            </w: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MICROARRAY</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AGREEMENTS</w:t>
            </w:r>
          </w:p>
        </w:tc>
        <w:tc>
          <w:tcPr>
            <w:tcW w:w="2460" w:type="dxa"/>
            <w:vAlign w:val="bottom"/>
          </w:tcPr>
          <w:p>
            <w:pPr>
              <w:spacing w:after="0"/>
              <w:rPr>
                <w:sz w:val="24"/>
                <w:szCs w:val="24"/>
                <w:color w:val="auto"/>
              </w:rPr>
            </w:pPr>
          </w:p>
        </w:tc>
      </w:tr>
    </w:tbl>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As of December 31, 1998, the Company had entered into database collaboration agreements with twenty-two pharmaceutical, biotechnology and agricultural companies. Over 78% of revenues in 1998 were derived from such collaborations. Each collaborator has agreed to pay, during the term of the agreement, annual fees to receive non-exclusive access to selected modules of the Company's databases. In addition, if a customer develops certain products utilizing the Company's technology and proprietary database information, milestone and royalty payments could potentially be received by the Company. The loss of revenues from any individual database agreement, if terminated or not renewed, could have an adverse impact on the Company's results of operations, although it is not anticipated to have a material adverse impact on the Company's business or financial condition.</w:t>
      </w:r>
    </w:p>
    <w:p>
      <w:pPr>
        <w:spacing w:after="0" w:line="182"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has also entered into microarray production agreements with pharmaceutical, biotechnology and agricultural companies. The agreements range from small volume pilot agreements to large volume production agreements. The large volume production agreements require an up front technology access fee that entitles the customer to order products and services at set prices over the term of the agreement.</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One of the collaborators contributed 12% of the Company's total revenues in 1998. No collaborators individually contributed more than 10% of the Company's total revenues in 1997. Over 90% of the revenues in 1996 were derived from ten collaborators, three of which individually contributed more than 10% of the total, or approximately 37% in the aggregate.</w:t>
      </w:r>
    </w:p>
    <w:p>
      <w:pPr>
        <w:spacing w:after="0" w:line="173" w:lineRule="exact"/>
        <w:rPr>
          <w:sz w:val="20"/>
          <w:szCs w:val="20"/>
          <w:color w:val="auto"/>
        </w:rPr>
      </w:pPr>
    </w:p>
    <w:p>
      <w:pPr>
        <w:spacing w:after="0"/>
        <w:tabs>
          <w:tab w:leader="none" w:pos="500" w:val="left"/>
          <w:tab w:leader="none" w:pos="860" w:val="left"/>
        </w:tabs>
        <w:rPr>
          <w:sz w:val="20"/>
          <w:szCs w:val="20"/>
          <w:color w:val="auto"/>
        </w:rPr>
      </w:pPr>
      <w:r>
        <w:rPr>
          <w:rFonts w:ascii="Courier New" w:cs="Courier New" w:eastAsia="Courier New" w:hAnsi="Courier New"/>
          <w:sz w:val="15"/>
          <w:szCs w:val="15"/>
          <w:color w:val="auto"/>
        </w:rPr>
        <w:t>NOTE</w:t>
        <w:tab/>
        <w:t>3.</w:t>
      </w:r>
      <w:r>
        <w:rPr>
          <w:sz w:val="20"/>
          <w:szCs w:val="20"/>
          <w:color w:val="auto"/>
        </w:rPr>
        <w:tab/>
      </w:r>
      <w:r>
        <w:rPr>
          <w:rFonts w:ascii="Courier New" w:cs="Courier New" w:eastAsia="Courier New" w:hAnsi="Courier New"/>
          <w:sz w:val="14"/>
          <w:szCs w:val="14"/>
          <w:color w:val="auto"/>
        </w:rPr>
        <w:t>COMMITMENTS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At December 31, 1998, the Company had signed noncancelable operating leases on multiple facilities, including facilities in Palo Alto and Fremont, California, St. Louis, Missouri and Cambridge, England. The leases expire on various dates ranging from March 1999 to March 2009. Rent expense for the years ended December 31, 1998, 1997, and 1996, was approximately $5,218,000, $3,490,000, and $1,675,000, respectively.</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had laboratory and office equipment with a cost of approximately $2,334,000 and $189,000 at December 31, 1998 and 1997, respectively, and related accumulated amortization of approximately $177,000 and $136,000 at December 31, 1998 and 1997, respectively, under capital leases. These leases are secured by the equipment leased thereunder.</w:t>
      </w:r>
    </w:p>
    <w:p>
      <w:pPr>
        <w:sectPr>
          <w:pgSz w:w="11900" w:h="16838" w:orient="portrait"/>
          <w:cols w:equalWidth="0" w:num="1">
            <w:col w:w="10219"/>
          </w:cols>
          <w:pgMar w:left="240" w:top="452" w:right="1440" w:bottom="1440" w:gutter="0" w:footer="0" w:header="0"/>
        </w:sectPr>
      </w:pPr>
    </w:p>
    <w:bookmarkStart w:id="53" w:name="page54"/>
    <w:bookmarkEnd w:id="53"/>
    <w:p>
      <w:pPr>
        <w:jc w:val="both"/>
        <w:ind w:right="3179"/>
        <w:spacing w:after="0" w:line="235" w:lineRule="auto"/>
        <w:rPr>
          <w:sz w:val="20"/>
          <w:szCs w:val="20"/>
          <w:color w:val="auto"/>
        </w:rPr>
      </w:pPr>
      <w:r>
        <w:rPr>
          <w:rFonts w:ascii="Courier New" w:cs="Courier New" w:eastAsia="Courier New" w:hAnsi="Courier New"/>
          <w:sz w:val="15"/>
          <w:szCs w:val="15"/>
          <w:color w:val="auto"/>
        </w:rPr>
        <w:t>At December 31, 1998, future noncancelable minimum payments under the operating and capital leases and notes payable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CAPITAL LEASES</w:t>
            </w:r>
          </w:p>
        </w:tc>
      </w:tr>
      <w:tr>
        <w:trPr>
          <w:trHeight w:val="170"/>
        </w:trPr>
        <w:tc>
          <w:tcPr>
            <w:tcW w:w="3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OPERATING</w:t>
            </w:r>
          </w:p>
        </w:tc>
        <w:tc>
          <w:tcPr>
            <w:tcW w:w="18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AND</w:t>
            </w:r>
          </w:p>
        </w:tc>
      </w:tr>
      <w:tr>
        <w:trPr>
          <w:trHeight w:val="170"/>
        </w:trPr>
        <w:tc>
          <w:tcPr>
            <w:tcW w:w="3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LEASES</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NOTE PAYABLE</w:t>
            </w:r>
          </w:p>
        </w:tc>
      </w:tr>
      <w:tr>
        <w:trPr>
          <w:trHeight w:val="170"/>
        </w:trPr>
        <w:tc>
          <w:tcPr>
            <w:tcW w:w="3520" w:type="dxa"/>
            <w:vAlign w:val="bottom"/>
          </w:tcPr>
          <w:p>
            <w:pPr>
              <w:spacing w:after="0"/>
              <w:rPr>
                <w:sz w:val="14"/>
                <w:szCs w:val="14"/>
                <w:color w:val="auto"/>
              </w:rPr>
            </w:pP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300" w:type="dxa"/>
            <w:vAlign w:val="bottom"/>
          </w:tcPr>
          <w:p>
            <w:pPr>
              <w:spacing w:after="0"/>
              <w:rPr>
                <w:sz w:val="14"/>
                <w:szCs w:val="14"/>
                <w:color w:val="auto"/>
              </w:rPr>
            </w:pPr>
          </w:p>
        </w:tc>
        <w:tc>
          <w:tcPr>
            <w:tcW w:w="260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10,912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1,457</w:t>
            </w:r>
          </w:p>
        </w:tc>
      </w:tr>
      <w:tr>
        <w:trPr>
          <w:trHeight w:val="170"/>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10,567</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702</w:t>
            </w:r>
          </w:p>
        </w:tc>
      </w:tr>
      <w:tr>
        <w:trPr>
          <w:trHeight w:val="170"/>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9,708</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0"/>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7,958</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6,326</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Thereafter</w:t>
            </w:r>
          </w:p>
        </w:tc>
        <w:tc>
          <w:tcPr>
            <w:tcW w:w="30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27,123</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72,594</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2,358</w:t>
            </w:r>
          </w:p>
        </w:tc>
      </w:tr>
      <w:tr>
        <w:trPr>
          <w:trHeight w:val="170"/>
        </w:trPr>
        <w:tc>
          <w:tcPr>
            <w:tcW w:w="3520" w:type="dxa"/>
            <w:vAlign w:val="bottom"/>
          </w:tcPr>
          <w:p>
            <w:pPr>
              <w:spacing w:after="0"/>
              <w:rPr>
                <w:sz w:val="14"/>
                <w:szCs w:val="14"/>
                <w:color w:val="auto"/>
              </w:rPr>
            </w:pP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r>
      <w:tr>
        <w:trPr>
          <w:trHeight w:val="170"/>
        </w:trPr>
        <w:tc>
          <w:tcPr>
            <w:tcW w:w="3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9"/>
              </w:rPr>
              <w:t>Present value of minimum lease payments</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1,933</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1,137</w:t>
            </w:r>
          </w:p>
        </w:tc>
      </w:tr>
      <w:tr>
        <w:trPr>
          <w:trHeight w:val="170"/>
        </w:trPr>
        <w:tc>
          <w:tcPr>
            <w:tcW w:w="3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Non-current portion</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796</w:t>
            </w:r>
          </w:p>
        </w:tc>
      </w:tr>
      <w:tr>
        <w:trPr>
          <w:trHeight w:val="170"/>
        </w:trPr>
        <w:tc>
          <w:tcPr>
            <w:tcW w:w="3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July 1997, Synteni obtained $1,000,000 in debt financing secured by its property and equipment. The loan is repayable in 48 equal monthly installments commencing on September 1, 1997 and carries an annual interest rate of 9%. In connection with the financing, Synteni issued a warrant to purchase 2,569 shares of common stock, exercisable for a period of seven years from the date of issue at an exercise price of $7.79 per share. Using the Black-Scholes model to determine the fair market value of the warrant, management has determined that such fair value is nominal.</w:t>
      </w:r>
    </w:p>
    <w:p>
      <w:pPr>
        <w:spacing w:after="0" w:line="34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July 1997, the Company entered into a multi-year lease with respect to a 95,000 square foot building to be constructed adjacent to the Company's Palo Alto headquarters. The term of the lease is twelve years at an approximate annual rent of $3.4 million. The Company's share of tenant improvements is estimated to be between $10.0 million and $15.0 million, of which approximately $6.8 million has been expended through December 31, 1998.</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has entered into a number of research and development alliances with companies and research institutions. These agreements provide for the funding of research activities by the Company and the possible payment of milestones, license fees, and, in some cases, royalties. As part of a collaborative agreement with Oxford GlycoSciences plc ("OGS") relating to the joint development of a proteomics database, the Company has agreed to reimburse up to $5.0 million in 1999 if OGS' revenues are not sufficient to offset expenses for services rendered. The Company's commitments under any other of these agreements do not represent a significant expenditure in relation to the Company's total research and development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NOTE</w:t>
            </w:r>
          </w:p>
        </w:tc>
        <w:tc>
          <w:tcPr>
            <w:tcW w:w="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1180" w:type="dxa"/>
            <w:vAlign w:val="bottom"/>
            <w:gridSpan w:val="3"/>
          </w:tcPr>
          <w:p>
            <w:pPr>
              <w:spacing w:after="0"/>
              <w:rPr>
                <w:sz w:val="20"/>
                <w:szCs w:val="20"/>
                <w:color w:val="auto"/>
              </w:rPr>
            </w:pPr>
            <w:r>
              <w:rPr>
                <w:rFonts w:ascii="Courier New" w:cs="Courier New" w:eastAsia="Courier New" w:hAnsi="Courier New"/>
                <w:sz w:val="15"/>
                <w:szCs w:val="15"/>
                <w:color w:val="auto"/>
                <w:w w:val="99"/>
              </w:rPr>
              <w:t>STOCKHOLDERS'</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EQUITY</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9"/>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Common</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Stock.</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At</w:t>
            </w:r>
          </w:p>
        </w:tc>
        <w:tc>
          <w:tcPr>
            <w:tcW w:w="8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December</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the</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Company</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had</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reserved a total of</w:t>
            </w:r>
          </w:p>
        </w:tc>
      </w:tr>
      <w:tr>
        <w:trPr>
          <w:trHeight w:val="170"/>
        </w:trPr>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5,996,589</w:t>
            </w:r>
          </w:p>
        </w:tc>
        <w:tc>
          <w:tcPr>
            <w:tcW w:w="7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shares</w:t>
            </w:r>
          </w:p>
        </w:tc>
        <w:tc>
          <w:tcPr>
            <w:tcW w:w="326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of its Common Stock for issuance upon</w:t>
            </w: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exercise of outstanding</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stock</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options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32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purchases  under the Employee Stock</w:t>
            </w: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Purchase Plan described</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below.</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October</w:t>
            </w:r>
          </w:p>
        </w:tc>
        <w:tc>
          <w:tcPr>
            <w:tcW w:w="3260" w:type="dxa"/>
            <w:vAlign w:val="bottom"/>
            <w:gridSpan w:val="7"/>
          </w:tcPr>
          <w:p>
            <w:pPr>
              <w:jc w:val="right"/>
              <w:ind w:right="187"/>
              <w:spacing w:after="0"/>
              <w:rPr>
                <w:sz w:val="20"/>
                <w:szCs w:val="20"/>
                <w:color w:val="auto"/>
              </w:rPr>
            </w:pPr>
            <w:r>
              <w:rPr>
                <w:rFonts w:ascii="Courier New" w:cs="Courier New" w:eastAsia="Courier New" w:hAnsi="Courier New"/>
                <w:sz w:val="15"/>
                <w:szCs w:val="15"/>
                <w:color w:val="auto"/>
              </w:rPr>
              <w:t>1997,  the  Company's  Board  of</w:t>
            </w:r>
          </w:p>
        </w:tc>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Directors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authorized  a</w:t>
            </w:r>
          </w:p>
        </w:tc>
      </w:tr>
      <w:tr>
        <w:trPr>
          <w:trHeight w:val="170"/>
        </w:trPr>
        <w:tc>
          <w:tcPr>
            <w:tcW w:w="1660" w:type="dxa"/>
            <w:vAlign w:val="bottom"/>
            <w:gridSpan w:val="5"/>
          </w:tcPr>
          <w:p>
            <w:pPr>
              <w:spacing w:after="0"/>
              <w:rPr>
                <w:sz w:val="20"/>
                <w:szCs w:val="20"/>
                <w:color w:val="auto"/>
              </w:rPr>
            </w:pPr>
            <w:r>
              <w:rPr>
                <w:rFonts w:ascii="Courier New" w:cs="Courier New" w:eastAsia="Courier New" w:hAnsi="Courier New"/>
                <w:sz w:val="15"/>
                <w:szCs w:val="15"/>
                <w:color w:val="auto"/>
              </w:rPr>
              <w:t>two-for-one  stock</w:t>
            </w:r>
          </w:p>
        </w:tc>
        <w:tc>
          <w:tcPr>
            <w:tcW w:w="142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6"/>
              </w:rPr>
              <w:t>split  effected</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in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form</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of</w:t>
            </w: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 stock dividend paid on</w:t>
            </w:r>
          </w:p>
        </w:tc>
      </w:tr>
      <w:tr>
        <w:trPr>
          <w:trHeight w:val="170"/>
        </w:trPr>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November</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1997</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holders of</w:t>
            </w:r>
          </w:p>
        </w:tc>
        <w:tc>
          <w:tcPr>
            <w:tcW w:w="18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record on October 17,</w:t>
            </w: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1997. All share and per</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share</w:t>
            </w:r>
          </w:p>
        </w:tc>
        <w:tc>
          <w:tcPr>
            <w:tcW w:w="10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5"/>
              </w:rPr>
              <w:t>data  have</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been</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adjusted</w:t>
            </w:r>
          </w:p>
        </w:tc>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retroactively</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to  reflect</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the</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split.</w:t>
            </w:r>
          </w:p>
        </w:tc>
      </w:tr>
      <w:tr>
        <w:trPr>
          <w:trHeight w:val="339"/>
        </w:trPr>
        <w:tc>
          <w:tcPr>
            <w:tcW w:w="340" w:type="dxa"/>
            <w:vAlign w:val="bottom"/>
          </w:tcPr>
          <w:p>
            <w:pPr>
              <w:spacing w:after="0"/>
              <w:rPr>
                <w:sz w:val="20"/>
                <w:szCs w:val="20"/>
                <w:color w:val="auto"/>
              </w:rPr>
            </w:pPr>
            <w:r>
              <w:rPr>
                <w:rFonts w:ascii="Courier New" w:cs="Courier New" w:eastAsia="Courier New" w:hAnsi="Courier New"/>
                <w:sz w:val="15"/>
                <w:szCs w:val="15"/>
                <w:color w:val="auto"/>
              </w:rPr>
              <w:t>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May</w:t>
            </w:r>
          </w:p>
        </w:tc>
        <w:tc>
          <w:tcPr>
            <w:tcW w:w="10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21, 1997,</w:t>
            </w:r>
          </w:p>
        </w:tc>
        <w:tc>
          <w:tcPr>
            <w:tcW w:w="538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7"/>
              </w:rPr>
              <w:t>the Company's stockholders approved an increase in the number</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shares</w:t>
            </w:r>
          </w:p>
        </w:tc>
        <w:tc>
          <w:tcPr>
            <w:tcW w:w="11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authorized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14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issuance  from</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20,000,000</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16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6"/>
              </w:rPr>
              <w:t>75,000,000.</w:t>
            </w:r>
          </w:p>
        </w:tc>
      </w:tr>
    </w:tbl>
    <w:p>
      <w:pPr>
        <w:sectPr>
          <w:pgSz w:w="11900" w:h="16838" w:orient="portrait"/>
          <w:cols w:equalWidth="0" w:num="1">
            <w:col w:w="10219"/>
          </w:cols>
          <w:pgMar w:left="240" w:top="458" w:right="1440" w:bottom="1440" w:gutter="0" w:footer="0" w:header="0"/>
        </w:sectPr>
      </w:pPr>
    </w:p>
    <w:bookmarkStart w:id="54" w:name="page55"/>
    <w:bookmarkEnd w:id="54"/>
    <w:p>
      <w:pPr>
        <w:jc w:val="both"/>
        <w:ind w:right="3179"/>
        <w:spacing w:after="0" w:line="237" w:lineRule="auto"/>
        <w:rPr>
          <w:sz w:val="20"/>
          <w:szCs w:val="20"/>
          <w:color w:val="auto"/>
        </w:rPr>
      </w:pPr>
      <w:r>
        <w:rPr>
          <w:rFonts w:ascii="Courier New" w:cs="Courier New" w:eastAsia="Courier New" w:hAnsi="Courier New"/>
          <w:sz w:val="15"/>
          <w:szCs w:val="15"/>
          <w:color w:val="auto"/>
        </w:rPr>
        <w:t>Sales of Stock. In August 1997, the Company completed a follow-on public stock offering and issued 2,755,426 shares of common stock, including 355,426 shares covered by the exercise of the underwriters' over-allotment option, at $33.50 per share. Net proceeds from this offering were approximately $87.2 million after deducting the underwriting discount and offering expenses.</w:t>
      </w:r>
    </w:p>
    <w:p>
      <w:pPr>
        <w:spacing w:after="0" w:line="178"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Stock Compensation Plans. The Company applies APB Opinion No. 25 and related Interpretations in accounting for its stock compensation plans. Accordingly, no compensation cost, excluding options issued by Synteni prior to the merger, has been recognized for its fixed stock option plans. Had compensation cost for the Company's three stock-based compensation plans been determined consistent with FASB Statement No. 123, the Company's pro forma net loss in 1998, 1997 and 1996 would have been approximately $7.4 million, $0.5 million and $11.0 million, respectively. The Company's pro forma basic and diluted net loss per share in 1998, 1997 and 1996 would have been $0.27 per share, $0.02 per share and $0.49 per share, respectively. The weighted average fair value of the options granted during 1998, 1997 and 1996 are estimated at $16.59, $14.66 and $9.44 per share, respectively, on the date of grant, using the Black-Scholes multiple-option pricing model with the following assumptions: dividend yield 0%, 0% and 0%, volatility of 57%, 56% and 55%, risk-free interest rate with an average of 5.06%, 6.05% and 6.10%, and an average expected life of 3.79, 3.37 and 3.25 years, for 1998, 1997 and 1996, respectively. The average fair value of the employees' purchase rights under the Employee Stock Purchase Plan during 1998 and 1997 is estimated at $12.15 and $11.86, respectively, on the date of grant, using the Black-Scholes multiple-option pricing model with the following assumptions: dividend yield 0% and 0%, volatility of 57% and 56%, risk free interest rate of 4.75% and 5.64%, and an expected life of 6 months, respectively.</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As FASB 123 is only applicable to options granted after December 31, 1994, the pro forma effect was not fully reflected until 1998.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and option life. Because the Company's employee stock options have characteristics significantly different from those of traded options, because changes in the subjective input assumptions can materially affect the fair value estimate, and because the Company has a relatively limited history with option behavior, in management's opinion the existing models do not necessarily provide a reliable single measure of the fair value of its employee stock options.</w:t>
      </w:r>
    </w:p>
    <w:p>
      <w:pPr>
        <w:spacing w:after="0" w:line="182"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Summaries of stock option activity for the Company's three fixed stock option plans as of December 31, 1998, 1997 and 1996, and related information for the years ended December 31 are included in the plan descriptions below.</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1991 Stock Plan. In November 1991, the Board of Directors adopted the 1991 Stock Plan (the "Stock Plan"), which was amended and restated in 1992, 1995, 1996 and 1997 for issuance of common stock to employees, consultants, and scientific advisors. Options issued under the plan shall, at the discretion of the compensation committee of the Board of Directors, be either incentive stock options or nonstatutory stock options. The exercise prices of incentive stock options granted under the plan are not less than the fair market value on the date of the grant, as determined by the Board of Directors. The exercise prices of nonstatutory stock options granted under the plan cannot be less than 85% of the fair market value on the date of the grant, as determined by the Board of Directors. Options generally vest over four years, pursuant to a formula determined by the Company's Board of Directors, and expire after ten years. On May 21, 1997, the Company's stockholders approved an increase in the number of shares of Common Stock reserved for issuance under the plan from 4,000,000 to 4,800,000. On June 15, 1998, the Company's stockholders approved an increase in the number of shares of Common Stock reserved for issuance under the plan from 4,800,000 to 6,300,000.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1996</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Synteni</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Stock</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Plan.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7"/>
              </w:rPr>
              <w:t>December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w w:val="98"/>
              </w:rPr>
              <w:t>Synteni's  board  of</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directors</w:t>
            </w:r>
          </w:p>
        </w:tc>
      </w:tr>
      <w:tr>
        <w:trPr>
          <w:trHeight w:val="170"/>
        </w:trPr>
        <w:tc>
          <w:tcPr>
            <w:tcW w:w="1760" w:type="dxa"/>
            <w:vAlign w:val="bottom"/>
            <w:gridSpan w:val="5"/>
          </w:tcPr>
          <w:p>
            <w:pPr>
              <w:spacing w:after="0"/>
              <w:rPr>
                <w:sz w:val="20"/>
                <w:szCs w:val="20"/>
                <w:color w:val="auto"/>
              </w:rPr>
            </w:pPr>
            <w:r>
              <w:rPr>
                <w:rFonts w:ascii="Courier New" w:cs="Courier New" w:eastAsia="Courier New" w:hAnsi="Courier New"/>
                <w:sz w:val="15"/>
                <w:szCs w:val="15"/>
                <w:color w:val="auto"/>
                <w:w w:val="96"/>
              </w:rPr>
              <w:t>approved and adopted</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410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1996 Equity Incentive Plan ("Synteni Plan").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Under the</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Synteni</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Plan,</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Synteni</w:t>
            </w:r>
          </w:p>
        </w:tc>
        <w:tc>
          <w:tcPr>
            <w:tcW w:w="49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could grant incentive stock options, nonstatutory stock</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options,</w:t>
            </w:r>
          </w:p>
        </w:tc>
        <w:tc>
          <w:tcPr>
            <w:tcW w:w="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stock</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bonuses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or</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restricted</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stock</w:t>
            </w: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purchase rights to purchase the</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w w:val="93"/>
              </w:rPr>
              <w:t>aggregate</w:t>
            </w:r>
          </w:p>
        </w:tc>
        <w:tc>
          <w:tcPr>
            <w:tcW w:w="626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equivalent  of 436,100 shares of Incyte Common Stock. Incentive stock</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options</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could</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be</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granted</w:t>
            </w:r>
          </w:p>
        </w:tc>
        <w:tc>
          <w:tcPr>
            <w:tcW w:w="45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to employees and nonstatutory options and rights to</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purchase</w:t>
            </w:r>
          </w:p>
        </w:tc>
        <w:tc>
          <w:tcPr>
            <w:tcW w:w="98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5"/>
              </w:rPr>
              <w:t>restricted</w:t>
            </w:r>
          </w:p>
        </w:tc>
        <w:tc>
          <w:tcPr>
            <w:tcW w:w="52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stock may be granted to employees, directors or consultants</w:t>
            </w:r>
          </w:p>
        </w:tc>
      </w:tr>
      <w:tr>
        <w:trPr>
          <w:trHeight w:val="170"/>
        </w:trPr>
        <w:tc>
          <w:tcPr>
            <w:tcW w:w="2100" w:type="dxa"/>
            <w:vAlign w:val="bottom"/>
            <w:gridSpan w:val="6"/>
          </w:tcPr>
          <w:p>
            <w:pPr>
              <w:spacing w:after="0"/>
              <w:rPr>
                <w:sz w:val="20"/>
                <w:szCs w:val="20"/>
                <w:color w:val="auto"/>
              </w:rPr>
            </w:pPr>
            <w:r>
              <w:rPr>
                <w:rFonts w:ascii="Courier New" w:cs="Courier New" w:eastAsia="Courier New" w:hAnsi="Courier New"/>
                <w:sz w:val="15"/>
                <w:szCs w:val="15"/>
                <w:color w:val="auto"/>
                <w:w w:val="96"/>
              </w:rPr>
              <w:t>at exercise prices of no</w:t>
            </w:r>
          </w:p>
        </w:tc>
        <w:tc>
          <w:tcPr>
            <w:tcW w:w="49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less than 100% and 85%, respectively, of the fair value</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14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the common stock</w:t>
            </w:r>
          </w:p>
        </w:tc>
        <w:tc>
          <w:tcPr>
            <w:tcW w:w="52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on the grant date, as determined by the board of directors.</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Options</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could</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be</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granted</w:t>
            </w:r>
          </w:p>
        </w:tc>
        <w:tc>
          <w:tcPr>
            <w:tcW w:w="45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with  different vesting terms from time to time and</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options</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expire</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 more</w:t>
            </w:r>
          </w:p>
        </w:tc>
        <w:tc>
          <w:tcPr>
            <w:tcW w:w="49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than 10 years after the date of grant.  All outstanding</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options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at</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the</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time</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of</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the</w:t>
            </w:r>
          </w:p>
        </w:tc>
        <w:tc>
          <w:tcPr>
            <w:tcW w:w="42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merger with Incyte were converted to options to</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purchase</w:t>
            </w:r>
          </w:p>
        </w:tc>
        <w:tc>
          <w:tcPr>
            <w:tcW w:w="6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2"/>
              </w:rPr>
              <w:t>Incyte</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w:t>
            </w:r>
          </w:p>
        </w:tc>
        <w:tc>
          <w:tcPr>
            <w:tcW w:w="494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Stock,  and  the  Synteni  Plan  was  terminated.</w:t>
            </w:r>
          </w:p>
        </w:tc>
      </w:tr>
      <w:tr>
        <w:trPr>
          <w:trHeight w:val="339"/>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Activity</w:t>
            </w:r>
          </w:p>
        </w:tc>
        <w:tc>
          <w:tcPr>
            <w:tcW w:w="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under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00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combined</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7"/>
              </w:rPr>
              <w:t>plans  was</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as</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8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19"/>
          </w:cols>
          <w:pgMar w:left="240" w:top="45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40"/>
        <w:spacing w:after="0" w:line="237" w:lineRule="auto"/>
        <w:rPr>
          <w:sz w:val="20"/>
          <w:szCs w:val="20"/>
          <w:color w:val="auto"/>
        </w:rPr>
      </w:pPr>
      <w:r>
        <w:rPr>
          <w:rFonts w:ascii="Courier New" w:cs="Courier New" w:eastAsia="Courier New" w:hAnsi="Courier New"/>
          <w:sz w:val="15"/>
          <w:szCs w:val="15"/>
          <w:color w:val="auto"/>
        </w:rPr>
        <w:t>Balance at January 1, 1996 Additional authorization Options granted Options exercised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w:t>
      </w:r>
    </w:p>
    <w:p>
      <w:pPr>
        <w:ind w:left="80"/>
        <w:spacing w:after="0"/>
        <w:rPr>
          <w:sz w:val="20"/>
          <w:szCs w:val="20"/>
          <w:color w:val="auto"/>
        </w:rPr>
      </w:pPr>
      <w:r>
        <w:rPr>
          <w:rFonts w:ascii="Courier New" w:cs="Courier New" w:eastAsia="Courier New" w:hAnsi="Courier New"/>
          <w:sz w:val="15"/>
          <w:szCs w:val="15"/>
          <w:color w:val="auto"/>
        </w:rPr>
        <w:t>AVAILABLE</w:t>
      </w:r>
    </w:p>
    <w:p>
      <w:pPr>
        <w:ind w:left="80"/>
        <w:spacing w:after="0"/>
        <w:rPr>
          <w:sz w:val="20"/>
          <w:szCs w:val="20"/>
          <w:color w:val="auto"/>
        </w:rPr>
      </w:pPr>
      <w:r>
        <w:rPr>
          <w:rFonts w:ascii="Courier New" w:cs="Courier New" w:eastAsia="Courier New" w:hAnsi="Courier New"/>
          <w:sz w:val="15"/>
          <w:szCs w:val="15"/>
          <w:color w:val="auto"/>
        </w:rPr>
        <w:t>FOR GRANT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590,782</w:t>
      </w:r>
    </w:p>
    <w:p>
      <w:pPr>
        <w:ind w:left="440"/>
        <w:spacing w:after="0"/>
        <w:rPr>
          <w:sz w:val="20"/>
          <w:szCs w:val="20"/>
          <w:color w:val="auto"/>
        </w:rPr>
      </w:pPr>
      <w:r>
        <w:rPr>
          <w:rFonts w:ascii="Courier New" w:cs="Courier New" w:eastAsia="Courier New" w:hAnsi="Courier New"/>
          <w:sz w:val="15"/>
          <w:szCs w:val="15"/>
          <w:color w:val="auto"/>
        </w:rPr>
        <w:t>800,000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(1,052,300)</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SHARES SUBJECT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OPTIONS</w:t>
      </w:r>
    </w:p>
    <w:p>
      <w:pPr>
        <w:spacing w:after="0" w:line="11"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WEIGHTED</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EXERCISE</w:t>
      </w:r>
    </w:p>
    <w:p>
      <w:pPr>
        <w:spacing w:after="0" w:line="5" w:lineRule="exact"/>
        <w:rPr>
          <w:sz w:val="20"/>
          <w:szCs w:val="20"/>
          <w:color w:val="auto"/>
        </w:rPr>
      </w:pPr>
    </w:p>
    <w:p>
      <w:pPr>
        <w:ind w:left="180"/>
        <w:spacing w:after="0"/>
        <w:tabs>
          <w:tab w:leader="none" w:pos="9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p>
    <w:p>
      <w:pPr>
        <w:spacing w:after="0"/>
        <w:tabs>
          <w:tab w:leader="none" w:pos="10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tabs>
          <w:tab w:leader="none" w:pos="1220" w:val="left"/>
        </w:tabs>
        <w:rPr>
          <w:sz w:val="20"/>
          <w:szCs w:val="20"/>
          <w:color w:val="auto"/>
        </w:rPr>
      </w:pPr>
      <w:r>
        <w:rPr>
          <w:rFonts w:ascii="Courier New" w:cs="Courier New" w:eastAsia="Courier New" w:hAnsi="Courier New"/>
          <w:sz w:val="15"/>
          <w:szCs w:val="15"/>
          <w:color w:val="auto"/>
        </w:rPr>
        <w:t>2,472,668</w:t>
      </w:r>
      <w:r>
        <w:rPr>
          <w:sz w:val="20"/>
          <w:szCs w:val="20"/>
          <w:color w:val="auto"/>
        </w:rPr>
        <w:tab/>
      </w:r>
      <w:r>
        <w:rPr>
          <w:rFonts w:ascii="Courier New" w:cs="Courier New" w:eastAsia="Courier New" w:hAnsi="Courier New"/>
          <w:sz w:val="15"/>
          <w:szCs w:val="15"/>
          <w:color w:val="auto"/>
        </w:rPr>
        <w:t>6.56</w:t>
      </w:r>
    </w:p>
    <w:p>
      <w:pPr>
        <w:ind w:left="700"/>
        <w:spacing w:after="0" w:line="238" w:lineRule="auto"/>
        <w:tabs>
          <w:tab w:leader="none" w:pos="1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tabs>
          <w:tab w:leader="none" w:pos="1120" w:val="left"/>
        </w:tabs>
        <w:rPr>
          <w:sz w:val="20"/>
          <w:szCs w:val="20"/>
          <w:color w:val="auto"/>
        </w:rPr>
      </w:pPr>
      <w:r>
        <w:rPr>
          <w:rFonts w:ascii="Courier New" w:cs="Courier New" w:eastAsia="Courier New" w:hAnsi="Courier New"/>
          <w:sz w:val="15"/>
          <w:szCs w:val="15"/>
          <w:color w:val="auto"/>
        </w:rPr>
        <w:t>1,052,300</w:t>
      </w:r>
      <w:r>
        <w:rPr>
          <w:sz w:val="20"/>
          <w:szCs w:val="20"/>
          <w:color w:val="auto"/>
        </w:rPr>
        <w:tab/>
      </w:r>
      <w:r>
        <w:rPr>
          <w:rFonts w:ascii="Courier New" w:cs="Courier New" w:eastAsia="Courier New" w:hAnsi="Courier New"/>
          <w:sz w:val="15"/>
          <w:szCs w:val="15"/>
          <w:color w:val="auto"/>
        </w:rPr>
        <w:t>19.75</w:t>
      </w:r>
    </w:p>
    <w:p>
      <w:pPr>
        <w:ind w:left="100"/>
        <w:spacing w:after="0"/>
        <w:tabs>
          <w:tab w:leader="none" w:pos="1220" w:val="left"/>
        </w:tabs>
        <w:rPr>
          <w:sz w:val="20"/>
          <w:szCs w:val="20"/>
          <w:color w:val="auto"/>
        </w:rPr>
      </w:pPr>
      <w:r>
        <w:rPr>
          <w:rFonts w:ascii="Courier New" w:cs="Courier New" w:eastAsia="Courier New" w:hAnsi="Courier New"/>
          <w:sz w:val="15"/>
          <w:szCs w:val="15"/>
          <w:color w:val="auto"/>
        </w:rPr>
        <w:t>(446,556)</w:t>
      </w:r>
      <w:r>
        <w:rPr>
          <w:sz w:val="20"/>
          <w:szCs w:val="20"/>
          <w:color w:val="auto"/>
        </w:rPr>
        <w:tab/>
      </w:r>
      <w:r>
        <w:rPr>
          <w:rFonts w:ascii="Courier New" w:cs="Courier New" w:eastAsia="Courier New" w:hAnsi="Courier New"/>
          <w:sz w:val="15"/>
          <w:szCs w:val="15"/>
          <w:color w:val="auto"/>
        </w:rPr>
        <w:t>3.54</w:t>
      </w:r>
    </w:p>
    <w:p>
      <w:pPr>
        <w:sectPr>
          <w:pgSz w:w="11900" w:h="16838" w:orient="portrait"/>
          <w:cols w:equalWidth="0" w:num="3">
            <w:col w:w="2620" w:space="720"/>
            <w:col w:w="1140" w:space="180"/>
            <w:col w:w="5559"/>
          </w:cols>
          <w:pgMar w:left="240" w:top="458" w:right="1440" w:bottom="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140,326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(140,326)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8.38</w:t>
            </w:r>
          </w:p>
        </w:tc>
      </w:tr>
      <w:tr>
        <w:trPr>
          <w:trHeight w:val="170"/>
        </w:trPr>
        <w:tc>
          <w:tcPr>
            <w:tcW w:w="326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Balance at December 31, 1996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478,808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2,938,086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11.63</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Additional authorization</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w w:val="99"/>
              </w:rPr>
              <w:t>Shares authorized under Synteni Plan</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436,100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(1,159,508)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1,159,508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25.56</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(408,171)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7.27</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109,398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(109,398)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19.27</w:t>
            </w:r>
          </w:p>
        </w:tc>
      </w:tr>
      <w:tr>
        <w:trPr>
          <w:trHeight w:val="170"/>
        </w:trPr>
        <w:tc>
          <w:tcPr>
            <w:tcW w:w="326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664,798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3,580,025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16.46</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Additional authorization</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1,500,000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(1,002,834)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1,002,834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28.70</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(421,010)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8.52</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207,763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(207,763)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30.73</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Termination of Synteni Plan</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(88,280)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1,281,447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3,954,086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$19.66</w:t>
            </w:r>
          </w:p>
        </w:tc>
      </w:tr>
      <w:tr>
        <w:trPr>
          <w:trHeight w:val="170"/>
        </w:trPr>
        <w:tc>
          <w:tcPr>
            <w:tcW w:w="326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Included in the above table, in the 1998 activity, were stock options issued by Synteni to purchase 89,587 Incyte equivalent common shares at a weighted average exercise price of $1.49, in the period from October 1, 1997 to December 31, 1997. The Company recorded $1,658,000 of deferred compensation related to these options, which is being amortized over the vesting period of the options.</w:t>
      </w:r>
    </w:p>
    <w:p>
      <w:pPr>
        <w:spacing w:after="0" w:line="334"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Options to purchase a total of 2,447,539; 2,145,403 and 2,914,596 shares at December 31, 1998, 1997 and 1996, respectively, were exercisable. Of the options exercisable, 1,851,549; 1,197,542 and 803,004 shares were vested at December 31, 1998, 1997 and 1996, respectively.</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Non-Employee Directors' Stock Option Plan. In August 1993, the Board of Directors approved the 1993 Directors' Stock Option Plan (the "Directors' Plan"), which was amended in 1995. The Directors' Plan provides for the automatic grant of options to purchase shares of Common Stock to non-employee directors of the Company. The maximum number of shares issuable under the Directors' Plan is 400,000.</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Directors' Plan provides immediate issuance of options to purchase an initial 40,000 shares of Common Stock to each new non-employee director joining the Board. The initial options are exercisable in five equal annual installments. Additionally, members who continue to serve on the Board will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w w:val="91"/>
              </w:rPr>
              <w:t>receive</w:t>
            </w:r>
          </w:p>
        </w:tc>
        <w:tc>
          <w:tcPr>
            <w:tcW w:w="2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annual option grants for</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10,000</w:t>
            </w:r>
          </w:p>
        </w:tc>
        <w:tc>
          <w:tcPr>
            <w:tcW w:w="34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shares exercisable in full on the first</w:t>
            </w:r>
          </w:p>
        </w:tc>
      </w:tr>
      <w:tr>
        <w:trPr>
          <w:trHeight w:val="170"/>
        </w:trPr>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w w:val="94"/>
              </w:rPr>
              <w:t>anniversary</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of</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the</w:t>
            </w: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date of the grant.</w:t>
            </w:r>
          </w:p>
        </w:tc>
        <w:tc>
          <w:tcPr>
            <w:tcW w:w="34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All options are exercisable at the fair</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market</w:t>
            </w:r>
          </w:p>
        </w:tc>
        <w:tc>
          <w:tcPr>
            <w:tcW w:w="12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value of the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stock on the</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date of grant.</w:t>
            </w: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Through December 31, 1998, the</w:t>
            </w:r>
          </w:p>
        </w:tc>
      </w:tr>
      <w:tr>
        <w:trPr>
          <w:trHeight w:val="170"/>
        </w:trPr>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w w:val="94"/>
              </w:rPr>
              <w:t>Company had</w:t>
            </w:r>
          </w:p>
        </w:tc>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granted options under</w:t>
            </w:r>
          </w:p>
        </w:tc>
        <w:tc>
          <w:tcPr>
            <w:tcW w:w="41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the Directors' Plan to purchase 287,500 shares</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Common</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Stock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at</w:t>
            </w:r>
          </w:p>
        </w:tc>
        <w:tc>
          <w:tcPr>
            <w:tcW w:w="490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8"/>
              </w:rPr>
              <w:t>a  weighted average exercise price of $11.18 (267,500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w w:val="91"/>
              </w:rPr>
              <w:t>227,500</w:t>
            </w:r>
          </w:p>
        </w:tc>
        <w:tc>
          <w:tcPr>
            <w:tcW w:w="2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shares of Common Stock at</w:t>
            </w:r>
          </w:p>
        </w:tc>
        <w:tc>
          <w:tcPr>
            <w:tcW w:w="38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a weighted average exercise price of $8.71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$5.37</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at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December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31, 1997 and</w:t>
            </w:r>
          </w:p>
        </w:tc>
        <w:tc>
          <w:tcPr>
            <w:tcW w:w="41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1996, respectively); 241,500 shares are vested</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11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exercisable</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at</w:t>
            </w:r>
          </w:p>
        </w:tc>
        <w:tc>
          <w:tcPr>
            <w:tcW w:w="23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December 31, 1998 (171,500</w:t>
            </w: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141,500 shares were vested</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11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exercisable</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at</w:t>
            </w:r>
          </w:p>
        </w:tc>
        <w:tc>
          <w:tcPr>
            <w:tcW w:w="17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December  31,  1997</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and</w:t>
            </w: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1996, respectively). To date, no</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options</w:t>
            </w:r>
          </w:p>
        </w:tc>
        <w:tc>
          <w:tcPr>
            <w:tcW w:w="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under</w:t>
            </w:r>
          </w:p>
        </w:tc>
        <w:tc>
          <w:tcPr>
            <w:tcW w:w="5780" w:type="dxa"/>
            <w:vAlign w:val="bottom"/>
            <w:gridSpan w:val="7"/>
          </w:tcPr>
          <w:p>
            <w:pPr>
              <w:ind w:left="140"/>
              <w:spacing w:after="0"/>
              <w:rPr>
                <w:sz w:val="20"/>
                <w:szCs w:val="20"/>
                <w:color w:val="auto"/>
              </w:rPr>
            </w:pPr>
            <w:r>
              <w:rPr>
                <w:rFonts w:ascii="Courier New" w:cs="Courier New" w:eastAsia="Courier New" w:hAnsi="Courier New"/>
                <w:sz w:val="15"/>
                <w:szCs w:val="15"/>
                <w:color w:val="auto"/>
                <w:w w:val="97"/>
              </w:rPr>
              <w:t>the  Director's  Plan  have  been  exercised  or  canceled.  The</w:t>
            </w:r>
          </w:p>
        </w:tc>
      </w:tr>
      <w:tr>
        <w:trPr>
          <w:trHeight w:val="170"/>
        </w:trPr>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w w:val="95"/>
              </w:rPr>
              <w:t>Directors'</w:t>
            </w:r>
          </w:p>
        </w:tc>
        <w:tc>
          <w:tcPr>
            <w:tcW w:w="1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Plan was amended in</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March</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1998</w:t>
            </w:r>
          </w:p>
        </w:tc>
        <w:tc>
          <w:tcPr>
            <w:tcW w:w="3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by the Board of Directors to eliminate</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grant</w:t>
            </w:r>
          </w:p>
        </w:tc>
        <w:tc>
          <w:tcPr>
            <w:tcW w:w="238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referred to above to each</w:t>
            </w:r>
          </w:p>
        </w:tc>
        <w:tc>
          <w:tcPr>
            <w:tcW w:w="3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new non-employee director and to reduce the</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annual</w:t>
            </w:r>
          </w:p>
        </w:tc>
        <w:tc>
          <w:tcPr>
            <w:tcW w:w="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grants</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from</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10,000</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shares</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5,000</w:t>
            </w:r>
          </w:p>
        </w:tc>
        <w:tc>
          <w:tcPr>
            <w:tcW w:w="278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shares.</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following</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table</w:t>
            </w:r>
          </w:p>
        </w:tc>
        <w:tc>
          <w:tcPr>
            <w:tcW w:w="51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summarizes information about stock options outstanding at</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December</w:t>
            </w:r>
          </w:p>
        </w:tc>
        <w:tc>
          <w:tcPr>
            <w:tcW w:w="180" w:type="dxa"/>
            <w:vAlign w:val="bottom"/>
          </w:tcPr>
          <w:p>
            <w:pPr>
              <w:spacing w:after="0"/>
              <w:rPr>
                <w:sz w:val="14"/>
                <w:szCs w:val="14"/>
                <w:color w:val="auto"/>
              </w:rPr>
            </w:pP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31,</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for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1991 Stock</w:t>
            </w:r>
          </w:p>
        </w:tc>
        <w:tc>
          <w:tcPr>
            <w:tcW w:w="3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Plan, the 1993 Directors' Stock Option</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Plan</w:t>
            </w:r>
          </w:p>
        </w:tc>
        <w:tc>
          <w:tcPr>
            <w:tcW w:w="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and</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Synteni</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1996</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Equity</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Incentive</w:t>
            </w:r>
          </w:p>
        </w:tc>
        <w:tc>
          <w:tcPr>
            <w:tcW w:w="2780" w:type="dxa"/>
            <w:vAlign w:val="bottom"/>
          </w:tcPr>
          <w:p>
            <w:pPr>
              <w:jc w:val="right"/>
              <w:ind w:right="2207"/>
              <w:spacing w:after="0"/>
              <w:rPr>
                <w:sz w:val="20"/>
                <w:szCs w:val="20"/>
                <w:color w:val="auto"/>
              </w:rPr>
            </w:pPr>
            <w:r>
              <w:rPr>
                <w:rFonts w:ascii="Courier New" w:cs="Courier New" w:eastAsia="Courier New" w:hAnsi="Courier New"/>
                <w:sz w:val="15"/>
                <w:szCs w:val="15"/>
                <w:color w:val="auto"/>
              </w:rPr>
              <w:t>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8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OPTIONS OUTSTANDING</w:t>
            </w:r>
          </w:p>
        </w:tc>
        <w:tc>
          <w:tcPr>
            <w:tcW w:w="140" w:type="dxa"/>
            <w:vAlign w:val="bottom"/>
          </w:tcPr>
          <w:p>
            <w:pPr>
              <w:spacing w:after="0"/>
              <w:rPr>
                <w:sz w:val="14"/>
                <w:szCs w:val="14"/>
                <w:color w:val="auto"/>
              </w:rPr>
            </w:pPr>
          </w:p>
        </w:tc>
        <w:tc>
          <w:tcPr>
            <w:tcW w:w="3080" w:type="dxa"/>
            <w:vAlign w:val="bottom"/>
            <w:gridSpan w:val="4"/>
          </w:tcPr>
          <w:p>
            <w:pPr>
              <w:jc w:val="right"/>
              <w:ind w:right="527"/>
              <w:spacing w:after="0"/>
              <w:rPr>
                <w:sz w:val="20"/>
                <w:szCs w:val="20"/>
                <w:color w:val="auto"/>
              </w:rPr>
            </w:pPr>
            <w:r>
              <w:rPr>
                <w:rFonts w:ascii="Courier New" w:cs="Courier New" w:eastAsia="Courier New" w:hAnsi="Courier New"/>
                <w:sz w:val="15"/>
                <w:szCs w:val="15"/>
                <w:color w:val="auto"/>
              </w:rPr>
              <w:t>OPTIONS EXERCISABLE</w:t>
            </w:r>
          </w:p>
        </w:tc>
      </w:tr>
      <w:tr>
        <w:trPr>
          <w:trHeight w:val="170"/>
        </w:trPr>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2"/>
              </w:rPr>
              <w:t>-----------------------------------</w:t>
            </w:r>
          </w:p>
        </w:tc>
        <w:tc>
          <w:tcPr>
            <w:tcW w:w="140" w:type="dxa"/>
            <w:vAlign w:val="bottom"/>
          </w:tcPr>
          <w:p>
            <w:pPr>
              <w:spacing w:after="0"/>
              <w:rPr>
                <w:sz w:val="14"/>
                <w:szCs w:val="14"/>
                <w:color w:val="auto"/>
              </w:rPr>
            </w:pP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WEIGHTED</w:t>
            </w:r>
          </w:p>
        </w:tc>
        <w:tc>
          <w:tcPr>
            <w:tcW w:w="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WEIGHTED</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AVERAGE</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14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RANGE OF</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NUMBER</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8"/>
              </w:rPr>
              <w:t>REMAINING</w:t>
            </w:r>
          </w:p>
        </w:tc>
        <w:tc>
          <w:tcPr>
            <w:tcW w:w="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NUMBER</w:t>
            </w:r>
          </w:p>
        </w:tc>
        <w:tc>
          <w:tcPr>
            <w:tcW w:w="1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rPr>
              <w:t>EXERCISE PRICES</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OUTSTANDING</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CONTRACTUAL LIFE</w:t>
            </w:r>
          </w:p>
        </w:tc>
        <w:tc>
          <w:tcPr>
            <w:tcW w:w="1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PRICE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EXERCISABLE</w:t>
            </w:r>
          </w:p>
        </w:tc>
        <w:tc>
          <w:tcPr>
            <w:tcW w:w="1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87"/>
              </w:rPr>
              <w:t>- ----------------</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w w:val="95"/>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 w:type="dxa"/>
            <w:vAlign w:val="bottom"/>
          </w:tcPr>
          <w:p>
            <w:pPr>
              <w:spacing w:after="0"/>
              <w:rPr>
                <w:sz w:val="20"/>
                <w:szCs w:val="20"/>
                <w:color w:val="auto"/>
              </w:rPr>
            </w:pPr>
            <w:r>
              <w:rPr>
                <w:rFonts w:ascii="Courier New" w:cs="Courier New" w:eastAsia="Courier New" w:hAnsi="Courier New"/>
                <w:sz w:val="15"/>
                <w:szCs w:val="15"/>
                <w:color w:val="auto"/>
              </w:rPr>
              <w:t>0.50</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- 2.00</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471,028</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1.21</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471,022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2.03</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- 7.25</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542,577</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6.71</w:t>
            </w:r>
          </w:p>
        </w:tc>
        <w:tc>
          <w:tcPr>
            <w:tcW w:w="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5.41</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433,648</w:t>
            </w:r>
          </w:p>
        </w:tc>
        <w:tc>
          <w:tcPr>
            <w:tcW w:w="1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6.23</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7.38</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- 8.88</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643,808</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6.77</w:t>
            </w:r>
          </w:p>
        </w:tc>
        <w:tc>
          <w:tcPr>
            <w:tcW w:w="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8.60</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643,808</w:t>
            </w:r>
          </w:p>
        </w:tc>
        <w:tc>
          <w:tcPr>
            <w:tcW w:w="1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8.60</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9.00</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- 19.13</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492,043</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7.16</w:t>
            </w:r>
          </w:p>
        </w:tc>
        <w:tc>
          <w:tcPr>
            <w:tcW w:w="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15.09</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480,043</w:t>
            </w:r>
          </w:p>
        </w:tc>
        <w:tc>
          <w:tcPr>
            <w:tcW w:w="1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15.03</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19.25</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- 20.94</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537,690</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7.85</w:t>
            </w:r>
          </w:p>
        </w:tc>
        <w:tc>
          <w:tcPr>
            <w:tcW w:w="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20.79</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328,087</w:t>
            </w:r>
          </w:p>
        </w:tc>
        <w:tc>
          <w:tcPr>
            <w:tcW w:w="1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20.69</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21.00</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- 31.69</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464,818</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8.82</w:t>
            </w:r>
          </w:p>
        </w:tc>
        <w:tc>
          <w:tcPr>
            <w:tcW w:w="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26.35</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171,111</w:t>
            </w:r>
          </w:p>
        </w:tc>
        <w:tc>
          <w:tcPr>
            <w:tcW w:w="1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26.52</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32.25</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- 35.63</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464,728</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9.53</w:t>
            </w:r>
          </w:p>
        </w:tc>
        <w:tc>
          <w:tcPr>
            <w:tcW w:w="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34.58</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37,803</w:t>
            </w:r>
          </w:p>
        </w:tc>
        <w:tc>
          <w:tcPr>
            <w:tcW w:w="1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34.42</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36.63</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- 42.25</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431,400</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8.92</w:t>
            </w:r>
          </w:p>
        </w:tc>
        <w:tc>
          <w:tcPr>
            <w:tcW w:w="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37.38</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109,464</w:t>
            </w:r>
          </w:p>
        </w:tc>
        <w:tc>
          <w:tcPr>
            <w:tcW w:w="1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37.42</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43.88</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- 47.00</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193,500</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9.13</w:t>
            </w:r>
          </w:p>
        </w:tc>
        <w:tc>
          <w:tcPr>
            <w:tcW w:w="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44.99</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14,053</w:t>
            </w:r>
          </w:p>
        </w:tc>
        <w:tc>
          <w:tcPr>
            <w:tcW w:w="1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43.88</w:t>
            </w:r>
          </w:p>
        </w:tc>
      </w:tr>
      <w:tr>
        <w:trPr>
          <w:trHeight w:val="170"/>
        </w:trPr>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0.50</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- 47.00</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4,241,592</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19.05</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2,689,039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12.40</w:t>
            </w:r>
          </w:p>
        </w:tc>
      </w:tr>
      <w:tr>
        <w:trPr>
          <w:trHeight w:val="170"/>
        </w:trPr>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In July 1996, in connection with the Genome Systems transaction described in Note 9 below, the Company issued, in exchange for an option to purchase capital stock of Genome Systems, an option to purchase 21,482 shares of Incyte Common Stock at an exercise price of $0.0235 per share. The option was not issued under the provisions of either plan described above. As of December 31, 1998, the</w:t>
      </w:r>
    </w:p>
    <w:p>
      <w:pPr>
        <w:sectPr>
          <w:pgSz w:w="11900" w:h="16838" w:orient="portrait"/>
          <w:cols w:equalWidth="0" w:num="1">
            <w:col w:w="10219"/>
          </w:cols>
          <w:pgMar w:left="240" w:top="136" w:right="1440" w:bottom="0" w:gutter="0" w:footer="0" w:header="0"/>
        </w:sectPr>
      </w:pPr>
    </w:p>
    <w:bookmarkStart w:id="56" w:name="page57"/>
    <w:bookmarkEnd w:id="56"/>
    <w:p>
      <w:pPr>
        <w:ind w:left="10"/>
        <w:spacing w:after="0"/>
        <w:tabs>
          <w:tab w:leader="none" w:pos="689" w:val="left"/>
          <w:tab w:leader="none" w:pos="1129" w:val="left"/>
          <w:tab w:leader="none" w:pos="1649" w:val="left"/>
          <w:tab w:leader="none" w:pos="2629" w:val="left"/>
          <w:tab w:leader="none" w:pos="2969" w:val="left"/>
        </w:tabs>
        <w:rPr>
          <w:sz w:val="20"/>
          <w:szCs w:val="20"/>
          <w:color w:val="auto"/>
        </w:rPr>
      </w:pPr>
      <w:r>
        <w:rPr>
          <w:rFonts w:ascii="Courier New" w:cs="Courier New" w:eastAsia="Courier New" w:hAnsi="Courier New"/>
          <w:sz w:val="15"/>
          <w:szCs w:val="15"/>
          <w:color w:val="auto"/>
        </w:rPr>
        <w:t>option</w:t>
        <w:tab/>
        <w:t>has</w:t>
        <w:tab/>
        <w:t>been</w:t>
        <w:tab/>
        <w:t>exercised</w:t>
        <w:tab/>
        <w:t>in</w:t>
      </w:r>
      <w:r>
        <w:rPr>
          <w:sz w:val="20"/>
          <w:szCs w:val="20"/>
          <w:color w:val="auto"/>
        </w:rPr>
        <w:tab/>
      </w:r>
      <w:r>
        <w:rPr>
          <w:rFonts w:ascii="Courier New" w:cs="Courier New" w:eastAsia="Courier New" w:hAnsi="Courier New"/>
          <w:sz w:val="14"/>
          <w:szCs w:val="14"/>
          <w:color w:val="auto"/>
        </w:rPr>
        <w:t>full.</w:t>
      </w:r>
    </w:p>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Employee Stock Purchase Plan. On May 21, 1997, the Company's stockholders adopted the 1997 Employee Stock Purchase Plan ("ESPP"). The Company has authorized 400,000 shares of Common Stock for issuance under the ESPP. Each regular full-time and part-time employee is eligible to participate after one year of employment. The Company issued 38,944 shares under the ESPP in 1998, and 361,056 shares remain available for issuance under the ESPP. As of December 31, 1998 and 1997, $162,000 and $238,000, respectively, has been deducted from employees' payroll for the purchase of shares under the ESPP</w:t>
      </w:r>
    </w:p>
    <w:p>
      <w:pPr>
        <w:spacing w:after="0" w:line="172" w:lineRule="exact"/>
        <w:rPr>
          <w:sz w:val="20"/>
          <w:szCs w:val="20"/>
          <w:color w:val="auto"/>
        </w:rPr>
      </w:pPr>
    </w:p>
    <w:p>
      <w:pPr>
        <w:ind w:left="10"/>
        <w:spacing w:after="0"/>
        <w:tabs>
          <w:tab w:leader="none" w:pos="2369" w:val="left"/>
        </w:tabs>
        <w:rPr>
          <w:sz w:val="20"/>
          <w:szCs w:val="20"/>
          <w:color w:val="auto"/>
        </w:rPr>
      </w:pPr>
      <w:r>
        <w:rPr>
          <w:rFonts w:ascii="Courier New" w:cs="Courier New" w:eastAsia="Courier New" w:hAnsi="Courier New"/>
          <w:sz w:val="15"/>
          <w:szCs w:val="15"/>
          <w:color w:val="auto"/>
        </w:rPr>
        <w:t>Stockholders Rights Plan.</w:t>
      </w:r>
      <w:r>
        <w:rPr>
          <w:sz w:val="20"/>
          <w:szCs w:val="20"/>
          <w:color w:val="auto"/>
        </w:rPr>
        <w:tab/>
      </w:r>
      <w:r>
        <w:rPr>
          <w:rFonts w:ascii="Courier New" w:cs="Courier New" w:eastAsia="Courier New" w:hAnsi="Courier New"/>
          <w:sz w:val="14"/>
          <w:szCs w:val="14"/>
          <w:color w:val="auto"/>
        </w:rPr>
        <w:t>On September 25, 1998, the Board of Directors adopted</w:t>
      </w:r>
    </w:p>
    <w:p>
      <w:pPr>
        <w:spacing w:after="0" w:line="5" w:lineRule="exact"/>
        <w:rPr>
          <w:sz w:val="20"/>
          <w:szCs w:val="20"/>
          <w:color w:val="auto"/>
        </w:rPr>
      </w:pPr>
    </w:p>
    <w:p>
      <w:pPr>
        <w:jc w:val="both"/>
        <w:ind w:left="10" w:right="3179" w:hanging="10"/>
        <w:spacing w:after="0" w:line="256" w:lineRule="auto"/>
        <w:tabs>
          <w:tab w:leader="none" w:pos="27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 Rights Plan (the "Rights Plan"), pursuant to which one preferred stock purchase right (a "Right") was distributed for each outstanding share of Common Stock held of record on October 13, 1998. One Right will also attach to each share of Common Stock issued by the Company subsequent to such date and prior to the distribution date defined below. Each Right represents a right to purchase, under certain circumstances, a fractional share of the Company's Series A Participating Preferred Stock at an exercise price of $200.00, subject to adjustment. In general, the Rights will become exercisable and trade independently from the Common Stock on a distribution date that will occur on the earlier of (i) the public announcement of the acquisition by a person or group of 15% or more of the Common Stock or (ii) ten days after commencement of</w:t>
      </w:r>
    </w:p>
    <w:p>
      <w:pPr>
        <w:spacing w:after="0" w:line="3" w:lineRule="exact"/>
        <w:rPr>
          <w:rFonts w:ascii="Courier New" w:cs="Courier New" w:eastAsia="Courier New" w:hAnsi="Courier New"/>
          <w:sz w:val="14"/>
          <w:szCs w:val="14"/>
          <w:color w:val="auto"/>
        </w:rPr>
      </w:pPr>
    </w:p>
    <w:p>
      <w:pPr>
        <w:jc w:val="both"/>
        <w:ind w:left="10" w:right="3179" w:hanging="10"/>
        <w:spacing w:after="0" w:line="256" w:lineRule="auto"/>
        <w:tabs>
          <w:tab w:leader="none" w:pos="27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tender or exchange offer for the Common Stock that would result in the acquisition of 15% or more of the Common Stock. Upon the occurrence of certain other events related to changes in ownership of the Common Stock, each holder of</w:t>
      </w:r>
    </w:p>
    <w:p>
      <w:pPr>
        <w:jc w:val="both"/>
        <w:ind w:left="10" w:right="3179" w:hanging="10"/>
        <w:spacing w:after="0" w:line="237" w:lineRule="auto"/>
        <w:tabs>
          <w:tab w:leader="none" w:pos="27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would be entitled to purchase shares of Common Stock, or an acquiring corporation's common stock, having a market value of twice the exercise price. Under certain conditions, the Rights may be redeemed at $0.01 per Right by the Board of Directors. The Rights expire on September 25, 2008</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NOTE</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INCOME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678"/>
        </w:trPr>
        <w:tc>
          <w:tcPr>
            <w:tcW w:w="38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provision</w:t>
            </w: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w w:val="96"/>
              </w:rPr>
              <w:t>for  income</w:t>
            </w:r>
          </w:p>
        </w:tc>
        <w:tc>
          <w:tcPr>
            <w:tcW w:w="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consists</w:t>
            </w:r>
          </w:p>
        </w:tc>
        <w:tc>
          <w:tcPr>
            <w:tcW w:w="1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of</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following:</w:t>
            </w:r>
          </w:p>
        </w:tc>
      </w:tr>
      <w:tr>
        <w:trPr>
          <w:trHeight w:val="509"/>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1997</w:t>
            </w:r>
          </w:p>
        </w:tc>
        <w:tc>
          <w:tcPr>
            <w:tcW w:w="238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w:t>
            </w:r>
          </w:p>
        </w:tc>
        <w:tc>
          <w:tcPr>
            <w:tcW w:w="2380" w:type="dxa"/>
            <w:vAlign w:val="bottom"/>
          </w:tcPr>
          <w:p>
            <w:pPr>
              <w:spacing w:after="0"/>
              <w:rPr>
                <w:sz w:val="14"/>
                <w:szCs w:val="14"/>
                <w:color w:val="auto"/>
              </w:rPr>
            </w:pP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Current</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0"/>
        </w:trPr>
        <w:tc>
          <w:tcPr>
            <w:tcW w:w="8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Federal</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2,012</w:t>
            </w:r>
          </w:p>
        </w:tc>
        <w:tc>
          <w:tcPr>
            <w:tcW w:w="10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533</w:t>
            </w:r>
          </w:p>
        </w:tc>
        <w:tc>
          <w:tcPr>
            <w:tcW w:w="2380" w:type="dxa"/>
            <w:vAlign w:val="bottom"/>
          </w:tcPr>
          <w:p>
            <w:pPr>
              <w:spacing w:after="0"/>
              <w:rPr>
                <w:sz w:val="14"/>
                <w:szCs w:val="14"/>
                <w:color w:val="auto"/>
              </w:rPr>
            </w:pPr>
          </w:p>
        </w:tc>
      </w:tr>
      <w:tr>
        <w:trPr>
          <w:trHeight w:val="170"/>
        </w:trPr>
        <w:tc>
          <w:tcPr>
            <w:tcW w:w="8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Foreign</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2380" w:type="dxa"/>
            <w:vAlign w:val="bottom"/>
          </w:tcPr>
          <w:p>
            <w:pPr>
              <w:spacing w:after="0"/>
              <w:rPr>
                <w:sz w:val="14"/>
                <w:szCs w:val="14"/>
                <w:color w:val="auto"/>
              </w:rPr>
            </w:pPr>
          </w:p>
        </w:tc>
      </w:tr>
      <w:tr>
        <w:trPr>
          <w:trHeight w:val="170"/>
        </w:trPr>
        <w:tc>
          <w:tcPr>
            <w:tcW w:w="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State</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w:t>
            </w:r>
          </w:p>
        </w:tc>
        <w:tc>
          <w:tcPr>
            <w:tcW w:w="2380" w:type="dxa"/>
            <w:vAlign w:val="bottom"/>
          </w:tcPr>
          <w:p>
            <w:pPr>
              <w:spacing w:after="0"/>
              <w:rPr>
                <w:sz w:val="14"/>
                <w:szCs w:val="14"/>
                <w:color w:val="auto"/>
              </w:rPr>
            </w:pPr>
          </w:p>
        </w:tc>
      </w:tr>
      <w:tr>
        <w:trPr>
          <w:trHeight w:val="170"/>
        </w:trPr>
        <w:tc>
          <w:tcPr>
            <w:tcW w:w="2900" w:type="dxa"/>
            <w:vAlign w:val="bottom"/>
            <w:gridSpan w:val="6"/>
          </w:tcPr>
          <w:p>
            <w:pPr>
              <w:spacing w:after="0"/>
              <w:rPr>
                <w:sz w:val="20"/>
                <w:szCs w:val="20"/>
                <w:color w:val="auto"/>
              </w:rPr>
            </w:pPr>
            <w:r>
              <w:rPr>
                <w:rFonts w:ascii="Courier New" w:cs="Courier New" w:eastAsia="Courier New" w:hAnsi="Courier New"/>
                <w:sz w:val="15"/>
                <w:szCs w:val="15"/>
                <w:color w:val="auto"/>
                <w:w w:val="99"/>
              </w:rPr>
              <w:t>Total provision for income taxes</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2,352</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548</w:t>
            </w:r>
          </w:p>
        </w:tc>
        <w:tc>
          <w:tcPr>
            <w:tcW w:w="238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w:t>
            </w:r>
          </w:p>
        </w:tc>
        <w:tc>
          <w:tcPr>
            <w:tcW w:w="2380" w:type="dxa"/>
            <w:vAlign w:val="bottom"/>
          </w:tcPr>
          <w:p>
            <w:pPr>
              <w:spacing w:after="0"/>
              <w:rPr>
                <w:sz w:val="14"/>
                <w:szCs w:val="14"/>
                <w:color w:val="auto"/>
              </w:rPr>
            </w:pPr>
          </w:p>
        </w:tc>
      </w:tr>
      <w:tr>
        <w:trPr>
          <w:trHeight w:val="848"/>
        </w:trPr>
        <w:tc>
          <w:tcPr>
            <w:tcW w:w="2900" w:type="dxa"/>
            <w:vAlign w:val="bottom"/>
            <w:gridSpan w:val="6"/>
          </w:tcPr>
          <w:p>
            <w:pPr>
              <w:spacing w:after="0"/>
              <w:rPr>
                <w:sz w:val="20"/>
                <w:szCs w:val="20"/>
                <w:color w:val="auto"/>
              </w:rPr>
            </w:pPr>
            <w:r>
              <w:rPr>
                <w:rFonts w:ascii="Courier New" w:cs="Courier New" w:eastAsia="Courier New" w:hAnsi="Courier New"/>
                <w:sz w:val="15"/>
                <w:szCs w:val="15"/>
                <w:color w:val="auto"/>
              </w:rPr>
              <w:t>No  provision  or  benefit  for</w:t>
            </w:r>
          </w:p>
        </w:tc>
        <w:tc>
          <w:tcPr>
            <w:tcW w:w="1320" w:type="dxa"/>
            <w:vAlign w:val="bottom"/>
            <w:gridSpan w:val="4"/>
          </w:tcPr>
          <w:p>
            <w:pPr>
              <w:spacing w:after="0"/>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was</w:t>
            </w:r>
          </w:p>
        </w:tc>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recorded in 1996 due to the</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Company's</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w:t>
            </w: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operating</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loss.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339"/>
        </w:trPr>
        <w:tc>
          <w:tcPr>
            <w:tcW w:w="1400" w:type="dxa"/>
            <w:vAlign w:val="bottom"/>
            <w:gridSpan w:val="3"/>
          </w:tcPr>
          <w:p>
            <w:pPr>
              <w:spacing w:after="0"/>
              <w:rPr>
                <w:sz w:val="20"/>
                <w:szCs w:val="20"/>
                <w:color w:val="auto"/>
              </w:rPr>
            </w:pPr>
            <w:r>
              <w:rPr>
                <w:rFonts w:ascii="Courier New" w:cs="Courier New" w:eastAsia="Courier New" w:hAnsi="Courier New"/>
                <w:sz w:val="15"/>
                <w:szCs w:val="15"/>
                <w:color w:val="auto"/>
              </w:rPr>
              <w:t>Income  (loss)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before</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provision</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for income taxes consisted of the following:</w:t>
            </w:r>
          </w:p>
        </w:tc>
      </w:tr>
      <w:tr>
        <w:trPr>
          <w:trHeight w:val="1017"/>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8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24"/>
                <w:szCs w:val="2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U.S.</w:t>
            </w:r>
          </w:p>
        </w:tc>
        <w:tc>
          <w:tcPr>
            <w:tcW w:w="5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5,536</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7,393</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$(7,276)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Foreign</w:t>
            </w:r>
          </w:p>
        </w:tc>
        <w:tc>
          <w:tcPr>
            <w:tcW w:w="5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288</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w:t>
            </w:r>
          </w:p>
        </w:tc>
        <w:tc>
          <w:tcPr>
            <w:tcW w:w="22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5,824</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7,456</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$(7,276)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674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7"/>
              </w:rPr>
              <w:t>provision (benefit) for income taxes differs from the federal statutory rate</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as</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follows:</w:t>
            </w:r>
          </w:p>
        </w:tc>
        <w:tc>
          <w:tcPr>
            <w:tcW w:w="2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017"/>
        </w:trPr>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1998</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w w:val="99"/>
              </w:rPr>
              <w:t>Provision (benefit) at U.S. federal statutory rate</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$ 2,038</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$ 2,610</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$(2,547)</w:t>
            </w:r>
          </w:p>
        </w:tc>
      </w:tr>
      <w:tr>
        <w:trPr>
          <w:trHeight w:val="170"/>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State taxes, net of federal benefit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112</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Use of net operating loss carryforwards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(4,208)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(3,373)</w:t>
            </w:r>
          </w:p>
        </w:tc>
        <w:tc>
          <w:tcPr>
            <w:tcW w:w="22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Unbenefitted net operating losses</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1,225</w:t>
            </w:r>
          </w:p>
        </w:tc>
        <w:tc>
          <w:tcPr>
            <w:tcW w:w="22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1,427</w:t>
            </w:r>
          </w:p>
        </w:tc>
      </w:t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Non-deductible purchased</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in-process R&amp;D</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3,842</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1,120</w:t>
            </w:r>
          </w:p>
        </w:tc>
      </w:tr>
      <w:tr>
        <w:trPr>
          <w:trHeight w:val="170"/>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Non-deductible acquisition costs</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410</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Other</w:t>
            </w:r>
          </w:p>
        </w:tc>
        <w:tc>
          <w:tcPr>
            <w:tcW w:w="220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158</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w:t>
            </w:r>
          </w:p>
        </w:tc>
        <w:tc>
          <w:tcPr>
            <w:tcW w:w="22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w:t>
            </w:r>
          </w:p>
        </w:tc>
        <w:tc>
          <w:tcPr>
            <w:tcW w:w="220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$ 2,352</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548</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w:t>
            </w:r>
          </w:p>
        </w:tc>
      </w:tr>
    </w:tbl>
    <w:p>
      <w:pPr>
        <w:sectPr>
          <w:pgSz w:w="11900" w:h="16838" w:orient="portrait"/>
          <w:cols w:equalWidth="0" w:num="1">
            <w:col w:w="10229"/>
          </w:cols>
          <w:pgMar w:left="230" w:top="136" w:right="1440" w:bottom="373" w:gutter="0" w:footer="0" w:header="0"/>
        </w:sectPr>
      </w:pPr>
    </w:p>
    <w:bookmarkStart w:id="57" w:name="page58"/>
    <w:bookmarkEnd w:id="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Significant  components  of  the  Company's</w:t>
            </w:r>
          </w:p>
        </w:tc>
        <w:tc>
          <w:tcPr>
            <w:tcW w:w="3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deferred tax assets are as follows:</w:t>
            </w:r>
          </w:p>
        </w:tc>
      </w:tr>
      <w:tr>
        <w:trPr>
          <w:trHeight w:val="848"/>
        </w:trPr>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3"/>
          </w:tcPr>
          <w:p>
            <w:pPr>
              <w:jc w:val="right"/>
              <w:ind w:right="160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202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8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70"/>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Net operating loss carryforwards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6,200</w:t>
            </w:r>
          </w:p>
        </w:tc>
        <w:tc>
          <w:tcPr>
            <w:tcW w:w="2200" w:type="dxa"/>
            <w:vAlign w:val="bottom"/>
            <w:gridSpan w:val="2"/>
          </w:tcPr>
          <w:p>
            <w:pPr>
              <w:jc w:val="right"/>
              <w:ind w:right="1327"/>
              <w:spacing w:after="0"/>
              <w:rPr>
                <w:sz w:val="20"/>
                <w:szCs w:val="20"/>
                <w:color w:val="auto"/>
              </w:rPr>
            </w:pPr>
            <w:r>
              <w:rPr>
                <w:rFonts w:ascii="Courier New" w:cs="Courier New" w:eastAsia="Courier New" w:hAnsi="Courier New"/>
                <w:sz w:val="15"/>
                <w:szCs w:val="15"/>
                <w:color w:val="auto"/>
              </w:rPr>
              <w:t>$ 10,000</w:t>
            </w:r>
          </w:p>
        </w:tc>
      </w:tr>
      <w:tr>
        <w:trPr>
          <w:trHeight w:val="170"/>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Research credits</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6,900</w:t>
            </w:r>
          </w:p>
        </w:tc>
        <w:tc>
          <w:tcPr>
            <w:tcW w:w="180" w:type="dxa"/>
            <w:vAlign w:val="bottom"/>
          </w:tcPr>
          <w:p>
            <w:pPr>
              <w:spacing w:after="0"/>
              <w:rPr>
                <w:sz w:val="14"/>
                <w:szCs w:val="14"/>
                <w:color w:val="auto"/>
              </w:rPr>
            </w:pPr>
          </w:p>
        </w:tc>
        <w:tc>
          <w:tcPr>
            <w:tcW w:w="202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Capitalized research and development</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6,100</w:t>
            </w:r>
          </w:p>
        </w:tc>
        <w:tc>
          <w:tcPr>
            <w:tcW w:w="180" w:type="dxa"/>
            <w:vAlign w:val="bottom"/>
          </w:tcPr>
          <w:p>
            <w:pPr>
              <w:spacing w:after="0"/>
              <w:rPr>
                <w:sz w:val="14"/>
                <w:szCs w:val="14"/>
                <w:color w:val="auto"/>
              </w:rPr>
            </w:pPr>
          </w:p>
        </w:tc>
        <w:tc>
          <w:tcPr>
            <w:tcW w:w="202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1,400</w:t>
            </w:r>
          </w:p>
        </w:tc>
      </w:tr>
      <w:tr>
        <w:trPr>
          <w:trHeight w:val="170"/>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Accruals and reserves</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2,600</w:t>
            </w:r>
          </w:p>
        </w:tc>
        <w:tc>
          <w:tcPr>
            <w:tcW w:w="180" w:type="dxa"/>
            <w:vAlign w:val="bottom"/>
          </w:tcPr>
          <w:p>
            <w:pPr>
              <w:spacing w:after="0"/>
              <w:rPr>
                <w:sz w:val="14"/>
                <w:szCs w:val="14"/>
                <w:color w:val="auto"/>
              </w:rPr>
            </w:pPr>
          </w:p>
        </w:tc>
        <w:tc>
          <w:tcPr>
            <w:tcW w:w="202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1,200</w:t>
            </w:r>
          </w:p>
        </w:tc>
        <w:tc>
          <w:tcPr>
            <w:tcW w:w="180" w:type="dxa"/>
            <w:vAlign w:val="bottom"/>
          </w:tcPr>
          <w:p>
            <w:pPr>
              <w:spacing w:after="0"/>
              <w:rPr>
                <w:sz w:val="14"/>
                <w:szCs w:val="14"/>
                <w:color w:val="auto"/>
              </w:rPr>
            </w:pPr>
          </w:p>
        </w:tc>
        <w:tc>
          <w:tcPr>
            <w:tcW w:w="202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38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Total deferred tax assets</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23,000</w:t>
            </w:r>
          </w:p>
        </w:tc>
        <w:tc>
          <w:tcPr>
            <w:tcW w:w="180" w:type="dxa"/>
            <w:vAlign w:val="bottom"/>
          </w:tcPr>
          <w:p>
            <w:pPr>
              <w:spacing w:after="0"/>
              <w:rPr>
                <w:sz w:val="14"/>
                <w:szCs w:val="14"/>
                <w:color w:val="auto"/>
              </w:rPr>
            </w:pPr>
          </w:p>
        </w:tc>
        <w:tc>
          <w:tcPr>
            <w:tcW w:w="202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18,200</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Valuation allowance for deferred tax assets</w:t>
            </w:r>
          </w:p>
        </w:tc>
        <w:tc>
          <w:tcPr>
            <w:tcW w:w="1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(23,000)</w:t>
            </w:r>
          </w:p>
        </w:tc>
        <w:tc>
          <w:tcPr>
            <w:tcW w:w="180" w:type="dxa"/>
            <w:vAlign w:val="bottom"/>
          </w:tcPr>
          <w:p>
            <w:pPr>
              <w:spacing w:after="0"/>
              <w:rPr>
                <w:sz w:val="14"/>
                <w:szCs w:val="14"/>
                <w:color w:val="auto"/>
              </w:rPr>
            </w:pPr>
          </w:p>
        </w:tc>
        <w:tc>
          <w:tcPr>
            <w:tcW w:w="202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4"/>
              </w:rPr>
              <w:t>(18,200)</w:t>
            </w:r>
          </w:p>
        </w:tc>
      </w:tr>
      <w:tr>
        <w:trPr>
          <w:trHeight w:val="170"/>
        </w:trPr>
        <w:tc>
          <w:tcPr>
            <w:tcW w:w="38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deferred tax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202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valuation allowance for deferred tax assets increased by approximately $4,800,000, $3,300,000, and $2,800,000 during the years ended December 31, 1998, 1997 and 1996. Approximately $5,500,000 of the valuation allowance for deferred tax assets relates to benefits of stock option deductions which, when recognized, will be allocated directly to contributed capital.</w:t>
      </w:r>
    </w:p>
    <w:p>
      <w:pPr>
        <w:spacing w:after="0" w:line="178"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Company's management believes the uncertainty regarding the timing of the realization of net deferred tax assets requires a valuation allowance.</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As of December 31, 1998, the Company had federal net operating loss carryforwards of approximately $17,100,000. The Company also had federal research and development tax credit carryforwards of approximately $4,900,000. The net operating loss carryforwards will expire at various dates, beginning in 2009, through 2018 if not utilized.</w:t>
      </w:r>
    </w:p>
    <w:p>
      <w:pPr>
        <w:spacing w:after="0" w:line="178"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Utilization of the net operating losses and credits may be subject to an annual limitation, due to the "change in ownership" provisions of the Internal Revenue Code of 1986 and similar state provisions.</w:t>
      </w:r>
    </w:p>
    <w:p>
      <w:pPr>
        <w:sectPr>
          <w:pgSz w:w="11900" w:h="16838" w:orient="portrait"/>
          <w:cols w:equalWidth="0" w:num="1">
            <w:col w:w="10219"/>
          </w:cols>
          <w:pgMar w:left="240" w:top="452"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NOTE</w:t>
            </w: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8"/>
              </w:rPr>
              <w:t>6.  NET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INCOME</w:t>
            </w:r>
          </w:p>
        </w:tc>
        <w:tc>
          <w:tcPr>
            <w:tcW w:w="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3220" w:type="dxa"/>
            <w:vAlign w:val="bottom"/>
          </w:tcPr>
          <w:p>
            <w:pPr>
              <w:spacing w:after="0"/>
              <w:rPr>
                <w:sz w:val="14"/>
                <w:szCs w:val="14"/>
                <w:color w:val="auto"/>
              </w:rPr>
            </w:pPr>
          </w:p>
        </w:tc>
      </w:tr>
      <w:tr>
        <w:trPr>
          <w:trHeight w:val="339"/>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On  December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55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1997,  the Company adopted the Financial Accounting Standards</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Board</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Statement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No.</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128,</w:t>
            </w: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Earnings  per</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w w:val="98"/>
              </w:rPr>
              <w:t>Share, which required the Company to</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change</w:t>
            </w: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6"/>
              </w:rPr>
              <w:t>the</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method</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used to</w:t>
            </w:r>
          </w:p>
        </w:tc>
        <w:tc>
          <w:tcPr>
            <w:tcW w:w="45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compute earnings per share and to restate all prior</w:t>
            </w:r>
          </w:p>
        </w:tc>
      </w:tr>
      <w:tr>
        <w:trPr>
          <w:trHeight w:val="170"/>
        </w:trPr>
        <w:tc>
          <w:tcPr>
            <w:tcW w:w="2460" w:type="dxa"/>
            <w:vAlign w:val="bottom"/>
            <w:gridSpan w:val="5"/>
          </w:tcPr>
          <w:p>
            <w:pPr>
              <w:spacing w:after="0"/>
              <w:rPr>
                <w:sz w:val="20"/>
                <w:szCs w:val="20"/>
                <w:color w:val="auto"/>
              </w:rPr>
            </w:pPr>
            <w:r>
              <w:rPr>
                <w:rFonts w:ascii="Courier New" w:cs="Courier New" w:eastAsia="Courier New" w:hAnsi="Courier New"/>
                <w:sz w:val="15"/>
                <w:szCs w:val="15"/>
                <w:color w:val="auto"/>
                <w:w w:val="96"/>
              </w:rPr>
              <w:t>periods. The following table</w:t>
            </w:r>
          </w:p>
        </w:tc>
        <w:tc>
          <w:tcPr>
            <w:tcW w:w="45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sets forth the computation of basic and diluted net</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income</w:t>
            </w:r>
          </w:p>
        </w:tc>
        <w:tc>
          <w:tcPr>
            <w:tcW w:w="13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(loss)  per</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(in</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w w:val="99"/>
              </w:rPr>
              <w:t>thousands,</w:t>
            </w:r>
          </w:p>
        </w:tc>
        <w:tc>
          <w:tcPr>
            <w:tcW w:w="3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except  per  share  amounts):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YEAR</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ENDED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DECEMBER 31,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24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3,472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6,908</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$(7,276)</w:t>
            </w:r>
          </w:p>
        </w:tc>
      </w:tr>
      <w:tr>
        <w:trPr>
          <w:trHeight w:val="170"/>
        </w:trPr>
        <w:tc>
          <w:tcPr>
            <w:tcW w:w="524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Denominator for basic net income (loss)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Per share - weighted-average shares</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26,921</w:t>
            </w:r>
          </w:p>
        </w:tc>
        <w:tc>
          <w:tcPr>
            <w:tcW w:w="36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24,300</w:t>
            </w:r>
          </w:p>
        </w:tc>
        <w:tc>
          <w:tcPr>
            <w:tcW w:w="1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22,398</w:t>
            </w:r>
          </w:p>
        </w:tc>
      </w:tr>
      <w:tr>
        <w:trPr>
          <w:trHeight w:val="339"/>
        </w:trPr>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Dilutive potential common shares - stock options</w:t>
            </w:r>
          </w:p>
        </w:tc>
        <w:tc>
          <w:tcPr>
            <w:tcW w:w="26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1,978</w:t>
            </w:r>
          </w:p>
        </w:tc>
        <w:tc>
          <w:tcPr>
            <w:tcW w:w="3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2,198</w:t>
            </w:r>
          </w:p>
        </w:tc>
        <w:tc>
          <w:tcPr>
            <w:tcW w:w="1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240" w:type="dxa"/>
            <w:vAlign w:val="bottom"/>
          </w:tcPr>
          <w:p>
            <w:pPr>
              <w:ind w:left="600"/>
              <w:spacing w:after="0"/>
              <w:rPr>
                <w:sz w:val="20"/>
                <w:szCs w:val="20"/>
                <w:color w:val="auto"/>
              </w:rPr>
            </w:pPr>
            <w:r>
              <w:rPr>
                <w:rFonts w:ascii="Courier New" w:cs="Courier New" w:eastAsia="Courier New" w:hAnsi="Courier New"/>
                <w:sz w:val="15"/>
                <w:szCs w:val="15"/>
                <w:color w:val="auto"/>
              </w:rPr>
              <w:t>Denominator for diluted net income (loss) per share</w:t>
            </w:r>
          </w:p>
        </w:tc>
        <w:tc>
          <w:tcPr>
            <w:tcW w:w="26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28,899</w:t>
            </w:r>
          </w:p>
        </w:tc>
        <w:tc>
          <w:tcPr>
            <w:tcW w:w="3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26,498</w:t>
            </w:r>
          </w:p>
        </w:tc>
        <w:tc>
          <w:tcPr>
            <w:tcW w:w="1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22,398</w:t>
            </w:r>
          </w:p>
        </w:tc>
      </w:tr>
      <w:tr>
        <w:trPr>
          <w:trHeight w:val="170"/>
        </w:trPr>
        <w:tc>
          <w:tcPr>
            <w:tcW w:w="524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Basic net income (loss) per share</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r>
      <w:tr>
        <w:trPr>
          <w:trHeight w:val="170"/>
        </w:trPr>
        <w:tc>
          <w:tcPr>
            <w:tcW w:w="524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Diluted net income (loss) per share</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r>
      <w:tr>
        <w:trPr>
          <w:trHeight w:val="170"/>
        </w:trPr>
        <w:tc>
          <w:tcPr>
            <w:tcW w:w="524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Options and warrants to purchase 654,000 and 3,194,000 shares of common stock were outstanding at December 31, 1998, and 1996, respectively, but were not included in the computation of diluted net income (loss) per share, as their effect was anti-dilutive. There were no such anti-dilutive securities in 1997.</w:t>
      </w:r>
    </w:p>
    <w:p>
      <w:pPr>
        <w:spacing w:after="0" w:line="171" w:lineRule="exact"/>
        <w:rPr>
          <w:sz w:val="20"/>
          <w:szCs w:val="20"/>
          <w:color w:val="auto"/>
        </w:rPr>
      </w:pPr>
    </w:p>
    <w:p>
      <w:pPr>
        <w:spacing w:after="0"/>
        <w:tabs>
          <w:tab w:leader="none" w:pos="500" w:val="left"/>
          <w:tab w:leader="none" w:pos="860" w:val="left"/>
          <w:tab w:leader="none" w:pos="1640" w:val="left"/>
          <w:tab w:leader="none" w:pos="2880" w:val="left"/>
        </w:tabs>
        <w:rPr>
          <w:sz w:val="20"/>
          <w:szCs w:val="20"/>
          <w:color w:val="auto"/>
        </w:rPr>
      </w:pPr>
      <w:r>
        <w:rPr>
          <w:rFonts w:ascii="Courier New" w:cs="Courier New" w:eastAsia="Courier New" w:hAnsi="Courier New"/>
          <w:sz w:val="15"/>
          <w:szCs w:val="15"/>
          <w:color w:val="auto"/>
        </w:rPr>
        <w:t>NOTE</w:t>
        <w:tab/>
        <w:t>7.</w:t>
        <w:tab/>
        <w:t>DEFINED</w:t>
        <w:tab/>
        <w:t>CONTRIBUTION</w:t>
        <w:tab/>
        <w:t>PLAN</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has a defined contribution plan covering all domestic employees. Employees may contribute a portion of their compensation, which is then matched by the Company, subject to certain limitations. Defined contribution expense for the Company was $709,000, $520,000, and $244,000 in 1998, 1997, and 1996, respectively.</w:t>
      </w:r>
    </w:p>
    <w:p>
      <w:pPr>
        <w:spacing w:after="0" w:line="173" w:lineRule="exact"/>
        <w:rPr>
          <w:sz w:val="20"/>
          <w:szCs w:val="20"/>
          <w:color w:val="auto"/>
        </w:rPr>
      </w:pPr>
    </w:p>
    <w:p>
      <w:pPr>
        <w:spacing w:after="0"/>
        <w:tabs>
          <w:tab w:leader="none" w:pos="500" w:val="left"/>
          <w:tab w:leader="none" w:pos="860" w:val="left"/>
          <w:tab w:leader="none" w:pos="1640" w:val="left"/>
        </w:tabs>
        <w:rPr>
          <w:sz w:val="20"/>
          <w:szCs w:val="20"/>
          <w:color w:val="auto"/>
        </w:rPr>
      </w:pPr>
      <w:r>
        <w:rPr>
          <w:rFonts w:ascii="Courier New" w:cs="Courier New" w:eastAsia="Courier New" w:hAnsi="Courier New"/>
          <w:sz w:val="15"/>
          <w:szCs w:val="15"/>
          <w:color w:val="auto"/>
        </w:rPr>
        <w:t>NOTE</w:t>
        <w:tab/>
        <w:t>8.</w:t>
        <w:tab/>
        <w:t>SEGMENT</w:t>
      </w:r>
      <w:r>
        <w:rPr>
          <w:sz w:val="20"/>
          <w:szCs w:val="20"/>
          <w:color w:val="auto"/>
        </w:rPr>
        <w:tab/>
      </w:r>
      <w:r>
        <w:rPr>
          <w:rFonts w:ascii="Courier New" w:cs="Courier New" w:eastAsia="Courier New" w:hAnsi="Courier New"/>
          <w:sz w:val="14"/>
          <w:szCs w:val="14"/>
          <w:color w:val="auto"/>
        </w:rPr>
        <w:t>REPORTING</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The Company adopted SFAS 131, Disclosure about Segments of an Enterprise and Related Information, at December 31, 1998. SFAS 131 establishes annual and interim reporting standards for an enterprise's operating segments and related disclosures about its products, services, geographic areas and major customers. The Company's operations are treated as one operating segment, the design, development, and marketing of genomic information-based tools, as it only reports profit and loss information on an aggregate basis to chief operating decision makers of the Company. For the year ended December 31, 1998, the Company recorded revenue from customers throughout the United States and in Canada, Austria, Belgium, France, Germany, Israel, Netherlands, Switzerland, and the United Kingdom. Export revenue for the years ended December 31, 1998, 1997, and 1996 were $33,584,000, $25,694,000, and $9,743,000, respectively.</w:t>
      </w:r>
    </w:p>
    <w:p>
      <w:pPr>
        <w:sectPr>
          <w:pgSz w:w="11900" w:h="16838" w:orient="portrait"/>
          <w:cols w:equalWidth="0" w:num="1">
            <w:col w:w="10219"/>
          </w:cols>
          <w:pgMar w:left="240" w:top="452" w:right="1440" w:bottom="1440" w:gutter="0" w:footer="0" w:header="0"/>
        </w:sectPr>
      </w:pPr>
    </w:p>
    <w:bookmarkStart w:id="60" w:name="page61"/>
    <w:bookmarkEnd w:id="60"/>
    <w:p>
      <w:pPr>
        <w:spacing w:after="0"/>
        <w:tabs>
          <w:tab w:leader="none" w:pos="500" w:val="left"/>
          <w:tab w:leader="none" w:pos="860" w:val="left"/>
          <w:tab w:leader="none" w:pos="1740" w:val="left"/>
        </w:tabs>
        <w:rPr>
          <w:sz w:val="20"/>
          <w:szCs w:val="20"/>
          <w:color w:val="auto"/>
        </w:rPr>
      </w:pPr>
      <w:r>
        <w:rPr>
          <w:rFonts w:ascii="Courier New" w:cs="Courier New" w:eastAsia="Courier New" w:hAnsi="Courier New"/>
          <w:sz w:val="15"/>
          <w:szCs w:val="15"/>
          <w:color w:val="auto"/>
        </w:rPr>
        <w:t>NOTE</w:t>
        <w:tab/>
        <w:t>9.</w:t>
        <w:tab/>
        <w:t>BUSINESS</w:t>
      </w:r>
      <w:r>
        <w:rPr>
          <w:sz w:val="20"/>
          <w:szCs w:val="20"/>
          <w:color w:val="auto"/>
        </w:rPr>
        <w:tab/>
      </w:r>
      <w:r>
        <w:rPr>
          <w:rFonts w:ascii="Courier New" w:cs="Courier New" w:eastAsia="Courier New" w:hAnsi="Courier New"/>
          <w:sz w:val="14"/>
          <w:szCs w:val="14"/>
          <w:color w:val="auto"/>
        </w:rPr>
        <w:t>COMBINATIONS</w:t>
      </w:r>
    </w:p>
    <w:p>
      <w:pPr>
        <w:spacing w:after="0" w:line="169" w:lineRule="exact"/>
        <w:rPr>
          <w:sz w:val="20"/>
          <w:szCs w:val="20"/>
          <w:color w:val="auto"/>
        </w:rPr>
      </w:pPr>
    </w:p>
    <w:p>
      <w:pPr>
        <w:spacing w:after="0"/>
        <w:tabs>
          <w:tab w:leader="none" w:pos="1200" w:val="left"/>
          <w:tab w:leader="none" w:pos="2180" w:val="left"/>
          <w:tab w:leader="none" w:pos="2620" w:val="left"/>
          <w:tab w:leader="none" w:pos="3240" w:val="left"/>
          <w:tab w:leader="none" w:pos="3680" w:val="left"/>
          <w:tab w:leader="none" w:pos="4560" w:val="left"/>
          <w:tab w:leader="none" w:pos="5260" w:val="left"/>
          <w:tab w:leader="none" w:pos="5620" w:val="left"/>
        </w:tabs>
        <w:rPr>
          <w:sz w:val="20"/>
          <w:szCs w:val="20"/>
          <w:color w:val="auto"/>
        </w:rPr>
      </w:pPr>
      <w:r>
        <w:rPr>
          <w:rFonts w:ascii="Courier New" w:cs="Courier New" w:eastAsia="Courier New" w:hAnsi="Courier New"/>
          <w:sz w:val="15"/>
          <w:szCs w:val="15"/>
          <w:color w:val="auto"/>
        </w:rPr>
        <w:t>Acquisitions</w:t>
        <w:tab/>
        <w:t>accounted</w:t>
        <w:tab/>
        <w:t>for</w:t>
        <w:tab/>
        <w:t>under</w:t>
        <w:tab/>
        <w:t>the</w:t>
        <w:tab/>
        <w:t>purchase</w:t>
        <w:tab/>
        <w:t>method</w:t>
        <w:tab/>
        <w:t>of</w:t>
      </w:r>
      <w:r>
        <w:rPr>
          <w:sz w:val="20"/>
          <w:szCs w:val="20"/>
          <w:color w:val="auto"/>
        </w:rPr>
        <w:tab/>
      </w:r>
      <w:r>
        <w:rPr>
          <w:rFonts w:ascii="Courier New" w:cs="Courier New" w:eastAsia="Courier New" w:hAnsi="Courier New"/>
          <w:sz w:val="14"/>
          <w:szCs w:val="14"/>
          <w:color w:val="auto"/>
        </w:rPr>
        <w:t>accounting</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September 1998, the Company completed the acquisition of Hexagen Limited ("Hexagen"), a privately held SNP discovery company based in Cambridge, England. The Company issued 976,130 shares of its common stock and $5.0 million in cash in exchange for all of Hexagen's outstanding capital stock. In addition, the Company assumed Hexagen's stock options, which if fully vested and exercised, would amount to 125,909 shares of its common stock. The transaction was accounted for as a purchase with a portion of the purchase price, estimated to be approximately $11.0 million, expensed in the third quarter of 1998 as a charge for the purchase of in-process research and development. The remaining portion of the purchase price, approximately $17.6 million, was allocated to goodwill ($16.3 million), developed technology ($0.7 million), and Hexagen's assembled work force ($0.6 million), which are being amortized over 8, 5 and 3 years, respectively.</w:t>
      </w:r>
    </w:p>
    <w:p>
      <w:pPr>
        <w:spacing w:after="0" w:line="183"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The Company allocated Hexagen's purchase price based on the relative fair value of the net tangible and intangible assets acquired. In performing this allocation, the Company considered, among other factors, the technology research and development projects in process at the date of acquisition. Hexagen's in-process research and development program consisted of the development of its fSSCP technology for SNP discovery. At the date of the acquisition, Hexagen's research and development program was approximately 80% completed and total continuing research and development commitments to complete the projects were expected to be approximately $1.4 million, and be successfully completed by mid-2000. The value assigned to purchased in-process R&amp;D was determined by estimating the costs to develop Hexagen's purchased in-process research and development into commercially viable products, estimating the resulting net cash flows from the projects and discounting the net cash flows to their present value. The rates utilized to discount the net cash flows to their present value were based on Hexagen's weighted average cost of capital. A discount rate of 24.0% was used for valuing the in-process research and development and is intended to be commensurate with Hexagen's corporate maturity and the uncertainties in the economic estimates described above. Additionally, these projects will require maintenance expenditures when and if they reach a state of technological and commercial feasibility. Management believes the Company has positioned itself to complete the research and development program. However, there is risk associated with the completion of the project, which include the inherent difficulties and uncertainties in completing each project and thereby achieving technological feasibility and risks related to the impact of potential changes in future target markets and there is no assurance that the project will meet either technological or commercial success. Failure to complete the development of the fSSCP technology in its entirety, or in a timely manner, could have a material adverse impact on the Company's financial condition and results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gridSpan w:val="9"/>
          </w:tcPr>
          <w:p>
            <w:pPr>
              <w:spacing w:after="0"/>
              <w:rPr>
                <w:sz w:val="20"/>
                <w:szCs w:val="20"/>
                <w:color w:val="auto"/>
              </w:rPr>
            </w:pPr>
            <w:r>
              <w:rPr>
                <w:rFonts w:ascii="Courier New" w:cs="Courier New" w:eastAsia="Courier New" w:hAnsi="Courier New"/>
                <w:sz w:val="15"/>
                <w:szCs w:val="15"/>
                <w:color w:val="auto"/>
                <w:w w:val="98"/>
              </w:rPr>
              <w:t>The estimates used by the Company in valuing in-process</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research and development</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were</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based</w:t>
            </w:r>
          </w:p>
        </w:tc>
        <w:tc>
          <w:tcPr>
            <w:tcW w:w="3960" w:type="dxa"/>
            <w:vAlign w:val="bottom"/>
            <w:gridSpan w:val="7"/>
          </w:tcPr>
          <w:p>
            <w:pPr>
              <w:ind w:left="80"/>
              <w:spacing w:after="0"/>
              <w:rPr>
                <w:sz w:val="20"/>
                <w:szCs w:val="20"/>
                <w:color w:val="auto"/>
              </w:rPr>
            </w:pPr>
            <w:r>
              <w:rPr>
                <w:rFonts w:ascii="Courier New" w:cs="Courier New" w:eastAsia="Courier New" w:hAnsi="Courier New"/>
                <w:sz w:val="15"/>
                <w:szCs w:val="15"/>
                <w:color w:val="auto"/>
                <w:w w:val="99"/>
              </w:rPr>
              <w:t>upon assumptions the Company believes to be</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reasonable but which are</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inherently</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uncertain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and</w:t>
            </w:r>
          </w:p>
        </w:tc>
        <w:tc>
          <w:tcPr>
            <w:tcW w:w="186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unpredictable.  The</w:t>
            </w:r>
          </w:p>
        </w:tc>
        <w:tc>
          <w:tcPr>
            <w:tcW w:w="2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Company's  assumptions  may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be</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incomplete</w:t>
            </w:r>
          </w:p>
        </w:tc>
        <w:tc>
          <w:tcPr>
            <w:tcW w:w="3960" w:type="dxa"/>
            <w:vAlign w:val="bottom"/>
            <w:gridSpan w:val="7"/>
          </w:tcPr>
          <w:p>
            <w:pPr>
              <w:ind w:left="80"/>
              <w:spacing w:after="0"/>
              <w:rPr>
                <w:sz w:val="20"/>
                <w:szCs w:val="20"/>
                <w:color w:val="auto"/>
              </w:rPr>
            </w:pPr>
            <w:r>
              <w:rPr>
                <w:rFonts w:ascii="Courier New" w:cs="Courier New" w:eastAsia="Courier New" w:hAnsi="Courier New"/>
                <w:sz w:val="15"/>
                <w:szCs w:val="15"/>
                <w:color w:val="auto"/>
                <w:w w:val="99"/>
              </w:rPr>
              <w:t>or  inaccurate,  and  no  assurance  can be</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given that unanticipated</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events</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and</w:t>
            </w:r>
          </w:p>
        </w:tc>
        <w:tc>
          <w:tcPr>
            <w:tcW w:w="1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circumstances</w:t>
            </w:r>
          </w:p>
        </w:tc>
        <w:tc>
          <w:tcPr>
            <w:tcW w:w="47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will not occur. Accordingly, actual results may vary</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from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608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7"/>
              </w:rPr>
              <w:t>projected results. Any such variance may result in a material adverse</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effect</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on</w:t>
            </w:r>
          </w:p>
        </w:tc>
        <w:tc>
          <w:tcPr>
            <w:tcW w:w="608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7"/>
              </w:rPr>
              <w:t>the financial condition and results of operations of the Company. The</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results  of</w:t>
            </w:r>
          </w:p>
        </w:tc>
        <w:tc>
          <w:tcPr>
            <w:tcW w:w="3960" w:type="dxa"/>
            <w:vAlign w:val="bottom"/>
            <w:gridSpan w:val="7"/>
          </w:tcPr>
          <w:p>
            <w:pPr>
              <w:ind w:left="80"/>
              <w:spacing w:after="0"/>
              <w:rPr>
                <w:sz w:val="20"/>
                <w:szCs w:val="20"/>
                <w:color w:val="auto"/>
              </w:rPr>
            </w:pPr>
            <w:r>
              <w:rPr>
                <w:rFonts w:ascii="Courier New" w:cs="Courier New" w:eastAsia="Courier New" w:hAnsi="Courier New"/>
                <w:sz w:val="15"/>
                <w:szCs w:val="15"/>
                <w:color w:val="auto"/>
                <w:w w:val="99"/>
              </w:rPr>
              <w:t>operations of Hexagen have been included in</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the consolidated results</w:t>
            </w:r>
          </w:p>
        </w:tc>
      </w:tr>
      <w:tr>
        <w:trPr>
          <w:trHeight w:val="170"/>
        </w:trPr>
        <w:tc>
          <w:tcPr>
            <w:tcW w:w="4920" w:type="dxa"/>
            <w:vAlign w:val="bottom"/>
            <w:gridSpan w:val="9"/>
          </w:tcPr>
          <w:p>
            <w:pPr>
              <w:spacing w:after="0"/>
              <w:rPr>
                <w:sz w:val="20"/>
                <w:szCs w:val="20"/>
                <w:color w:val="auto"/>
              </w:rPr>
            </w:pPr>
            <w:r>
              <w:rPr>
                <w:rFonts w:ascii="Courier New" w:cs="Courier New" w:eastAsia="Courier New" w:hAnsi="Courier New"/>
                <w:sz w:val="15"/>
                <w:szCs w:val="15"/>
                <w:color w:val="auto"/>
              </w:rPr>
              <w:t>of  the  Company  from  the  date  of  acquisition  in</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September  1998.</w:t>
            </w:r>
          </w:p>
        </w:tc>
        <w:tc>
          <w:tcPr>
            <w:tcW w:w="260" w:type="dxa"/>
            <w:vAlign w:val="bottom"/>
          </w:tcPr>
          <w:p>
            <w:pPr>
              <w:spacing w:after="0"/>
              <w:rPr>
                <w:sz w:val="14"/>
                <w:szCs w:val="14"/>
                <w:color w:val="auto"/>
              </w:rPr>
            </w:pPr>
          </w:p>
        </w:tc>
      </w:tr>
      <w:tr>
        <w:trPr>
          <w:trHeight w:val="339"/>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Associated</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risks</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include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w w:val="94"/>
              </w:rPr>
              <w:t>inherent</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difficulties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and  uncertainties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completing</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each</w:t>
            </w:r>
          </w:p>
        </w:tc>
        <w:tc>
          <w:tcPr>
            <w:tcW w:w="74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8"/>
              </w:rPr>
              <w:t>project</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and</w:t>
            </w: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thereby</w:t>
            </w:r>
          </w:p>
        </w:tc>
        <w:tc>
          <w:tcPr>
            <w:tcW w:w="34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achieving technological feasibility and</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risks</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related  to</w:t>
            </w:r>
          </w:p>
        </w:tc>
        <w:tc>
          <w:tcPr>
            <w:tcW w:w="4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the</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impact</w:t>
            </w:r>
          </w:p>
        </w:tc>
        <w:tc>
          <w:tcPr>
            <w:tcW w:w="1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  potential</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changes</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in future target markets</w:t>
            </w:r>
          </w:p>
        </w:tc>
      </w:tr>
    </w:tbl>
    <w:p>
      <w:pPr>
        <w:sectPr>
          <w:pgSz w:w="11900" w:h="16838" w:orient="portrait"/>
          <w:cols w:equalWidth="0" w:num="1">
            <w:col w:w="10219"/>
          </w:cols>
          <w:pgMar w:left="240" w:top="452" w:right="1440" w:bottom="1440" w:gutter="0" w:footer="0" w:header="0"/>
        </w:sectPr>
      </w:pPr>
    </w:p>
    <w:bookmarkStart w:id="61" w:name="page62"/>
    <w:bookmarkEnd w:id="61"/>
    <w:p>
      <w:pPr>
        <w:jc w:val="both"/>
        <w:ind w:right="3179"/>
        <w:spacing w:after="0" w:line="237" w:lineRule="auto"/>
        <w:rPr>
          <w:sz w:val="20"/>
          <w:szCs w:val="20"/>
          <w:color w:val="auto"/>
        </w:rPr>
      </w:pPr>
      <w:r>
        <w:rPr>
          <w:rFonts w:ascii="Courier New" w:cs="Courier New" w:eastAsia="Courier New" w:hAnsi="Courier New"/>
          <w:sz w:val="15"/>
          <w:szCs w:val="15"/>
          <w:color w:val="auto"/>
        </w:rPr>
        <w:t>The table below presents the pro forma results of operations and earnings per share for Hexagen and the Company. The transaction is assumed to be completed on January 1, 1998 for the period ended December 31, 1998 and January 1, 1997 for the period ended December 31,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1997</w:t>
            </w:r>
          </w:p>
        </w:tc>
      </w:tr>
      <w:tr>
        <w:trPr>
          <w:trHeight w:val="170"/>
        </w:trPr>
        <w:tc>
          <w:tcPr>
            <w:tcW w:w="440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$134,811</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$89,996</w:t>
            </w:r>
          </w:p>
        </w:tc>
      </w:tr>
      <w:tr>
        <w:trPr>
          <w:trHeight w:val="170"/>
        </w:trPr>
        <w:tc>
          <w:tcPr>
            <w:tcW w:w="440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170"/>
        </w:trPr>
        <w:tc>
          <w:tcPr>
            <w:tcW w:w="440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Pro forma basic net income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0"/>
        </w:trPr>
        <w:tc>
          <w:tcPr>
            <w:tcW w:w="440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Pro forma diluted net income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0"/>
        </w:trPr>
        <w:tc>
          <w:tcPr>
            <w:tcW w:w="440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Pro forma shares for basic net income per share</w:t>
            </w:r>
          </w:p>
        </w:tc>
        <w:tc>
          <w:tcPr>
            <w:tcW w:w="22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27,340</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25,276</w:t>
            </w:r>
          </w:p>
        </w:tc>
      </w:tr>
      <w:tr>
        <w:trPr>
          <w:trHeight w:val="170"/>
        </w:trPr>
        <w:tc>
          <w:tcPr>
            <w:tcW w:w="440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Pro forma shares for diluted net income per share</w:t>
            </w:r>
          </w:p>
        </w:tc>
        <w:tc>
          <w:tcPr>
            <w:tcW w:w="22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29,459</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27,588</w:t>
            </w:r>
          </w:p>
        </w:tc>
      </w:tr>
      <w:tr>
        <w:trPr>
          <w:trHeight w:val="170"/>
        </w:trPr>
        <w:tc>
          <w:tcPr>
            <w:tcW w:w="440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In August 1996, the Company acquired all the common stock of Combion, a microarray technology company, in a stock for stock exchange, issuing 146,342 shares of common stock. The acquisition was accounted for as a purchase, with a purchase price of $3.2 million, including transaction fees, and approximately $3.2 million was expensed as a charge for the purchase of in-process research and development. In accordance with APB Opinion No. 16, the Company allocated the purchase price to assets and liabilities based on the estimated fair value of the net tangible and intangible assets. In performing this allocation, the Company considered, among other factors, the technology research and development projects in-process at the date of acquisition. With regard to the in-process research and development projects, the Company considered factors such as the stage of development of the technology at the time of acquisition, the importance of each project to the overall development plan, alternative future use of the technology and the projected incremental cash flows from the projects when completed and any associated risks. Combion's in-process research and development program consisted of the development of its microarray technology. Associated risks include the inherent difficulties and uncertainties in completing the in process research and development project and thereby achieving technological feasibility and risks related to the impact of potential changes in future target markets. The estimates used by the Company in valuing in-process research and development were based upon assumptions the Company believes to be reasonable but which are inherently uncertain and unpredictable. The Company's assumptions may be incomplete or inaccurate, and no assurance can be given that unanticipated events and circumstances will not occur. Accordingly, actual results may vary from the projected results. Any such variance may result in a material adverse effect on the financial condition and results of operations of the Company. Pro Forma results of operations have not been presented because the effect of this acquisition, exclusive of the charge for in-process research and development, was not material to the Company's consolidated results of operations or financial position. The results of operations of Combion have been included in the consolidated results of the Company from the date of acquisition.</w:t>
      </w:r>
    </w:p>
    <w:p>
      <w:pPr>
        <w:spacing w:after="0" w:line="344" w:lineRule="exact"/>
        <w:rPr>
          <w:sz w:val="20"/>
          <w:szCs w:val="20"/>
          <w:color w:val="auto"/>
        </w:rPr>
      </w:pPr>
    </w:p>
    <w:p>
      <w:pPr>
        <w:spacing w:after="0"/>
        <w:tabs>
          <w:tab w:leader="none" w:pos="1200" w:val="left"/>
          <w:tab w:leader="none" w:pos="2180" w:val="left"/>
          <w:tab w:leader="none" w:pos="2620" w:val="left"/>
        </w:tabs>
        <w:rPr>
          <w:sz w:val="20"/>
          <w:szCs w:val="20"/>
          <w:color w:val="auto"/>
        </w:rPr>
      </w:pPr>
      <w:r>
        <w:rPr>
          <w:rFonts w:ascii="Courier New" w:cs="Courier New" w:eastAsia="Courier New" w:hAnsi="Courier New"/>
          <w:sz w:val="15"/>
          <w:szCs w:val="15"/>
          <w:color w:val="auto"/>
        </w:rPr>
        <w:t>Acquisitions</w:t>
        <w:tab/>
        <w:t>accounted</w:t>
        <w:tab/>
        <w:t>for</w:t>
      </w:r>
      <w:r>
        <w:rPr>
          <w:sz w:val="20"/>
          <w:szCs w:val="20"/>
          <w:color w:val="auto"/>
        </w:rPr>
        <w:tab/>
      </w:r>
      <w:r>
        <w:rPr>
          <w:rFonts w:ascii="Courier New" w:cs="Courier New" w:eastAsia="Courier New" w:hAnsi="Courier New"/>
          <w:sz w:val="14"/>
          <w:szCs w:val="14"/>
          <w:color w:val="auto"/>
        </w:rPr>
        <w:t>under the pooling of interest method of accounting</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January 1998, the Company issued 2,340,237 shares of common stock in exchange for all of the capital stock of Synteni, a privately held microarray-based genomics company in Fremont, California. Synteni is developing and commercializing technology for generating microarrays and related software and services. The merger was accounted for as a pooling of interests and, accordingly, the Company's financial statements and financial data have been restated to include the accounts and operations of Synteni since inception.</w:t>
      </w:r>
    </w:p>
    <w:p>
      <w:pPr>
        <w:sectPr>
          <w:pgSz w:w="11900" w:h="16838" w:orient="portrait"/>
          <w:cols w:equalWidth="0" w:num="1">
            <w:col w:w="10219"/>
          </w:cols>
          <w:pgMar w:left="240" w:top="458" w:right="1440" w:bottom="1440" w:gutter="0" w:footer="0" w:header="0"/>
        </w:sectPr>
      </w:pPr>
    </w:p>
    <w:bookmarkStart w:id="62" w:name="page63"/>
    <w:bookmarkEnd w:id="62"/>
    <w:p>
      <w:pPr>
        <w:jc w:val="both"/>
        <w:ind w:right="3179"/>
        <w:spacing w:after="0" w:line="238" w:lineRule="auto"/>
        <w:rPr>
          <w:sz w:val="20"/>
          <w:szCs w:val="20"/>
          <w:color w:val="auto"/>
        </w:rPr>
      </w:pPr>
      <w:r>
        <w:rPr>
          <w:rFonts w:ascii="Courier New" w:cs="Courier New" w:eastAsia="Courier New" w:hAnsi="Courier New"/>
          <w:sz w:val="15"/>
          <w:szCs w:val="15"/>
          <w:color w:val="auto"/>
        </w:rPr>
        <w:t>In July 1996, the Company issued 408,146 shares of common stock in exchange for all of the capital stock of Genome Systems, Inc., a privately held genomics company located in St. Louis, Missouri. Genome Systems provides genomic research products and technical support services to scientists to assist them in the identification and isolation of novel genes. The merger has been accounted for as a pooling of interests and, accordingly, the Company's financial statements and financial data have been restated to include the accounts and operations of Genome Systems since inception.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  table  below presents the</w:t>
            </w:r>
          </w:p>
        </w:tc>
        <w:tc>
          <w:tcPr>
            <w:tcW w:w="30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separate results of operations for</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Incyte, Genome</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Systems,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and Synteni</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prior to</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the respective mergers.</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Incyte's results include</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Genome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Systems  from</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6"/>
              </w:rPr>
              <w:t>August</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w w:val="99"/>
              </w:rPr>
              <w:t>1996  and  Synteni  from</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January</w:t>
            </w:r>
          </w:p>
        </w:tc>
        <w:tc>
          <w:tcPr>
            <w:tcW w:w="1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72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Incyte</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$134,811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$88,351</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$40,051</w:t>
            </w: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Genome</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1,734</w:t>
            </w: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Synteni</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w:t>
            </w:r>
          </w:p>
        </w:tc>
      </w:tr>
      <w:tr>
        <w:trPr>
          <w:trHeight w:val="170"/>
        </w:trPr>
        <w:tc>
          <w:tcPr>
            <w:tcW w:w="272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14"/>
                <w:szCs w:val="14"/>
                <w:color w:val="auto"/>
              </w:rPr>
            </w:pP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$134,811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$89,996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$41,895</w:t>
            </w:r>
          </w:p>
        </w:tc>
      </w:tr>
      <w:tr>
        <w:trPr>
          <w:trHeight w:val="170"/>
        </w:trPr>
        <w:tc>
          <w:tcPr>
            <w:tcW w:w="272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Incyte</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4,532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$(6,724)</w:t>
            </w: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Genome</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w:t>
            </w: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Synteni</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(515)</w:t>
            </w: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Acquisition-related charges</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0"/>
        </w:trPr>
        <w:tc>
          <w:tcPr>
            <w:tcW w:w="272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14"/>
                <w:szCs w:val="14"/>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3,472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$ 6,908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$(7,276)</w:t>
            </w:r>
          </w:p>
        </w:tc>
      </w:tr>
      <w:tr>
        <w:trPr>
          <w:trHeight w:val="170"/>
        </w:trPr>
        <w:tc>
          <w:tcPr>
            <w:tcW w:w="272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500" w:val="left"/>
          <w:tab w:leader="none" w:pos="940" w:val="left"/>
          <w:tab w:leader="none" w:pos="1560" w:val="left"/>
        </w:tabs>
        <w:rPr>
          <w:sz w:val="20"/>
          <w:szCs w:val="20"/>
          <w:color w:val="auto"/>
        </w:rPr>
      </w:pPr>
      <w:r>
        <w:rPr>
          <w:rFonts w:ascii="Courier New" w:cs="Courier New" w:eastAsia="Courier New" w:hAnsi="Courier New"/>
          <w:sz w:val="15"/>
          <w:szCs w:val="15"/>
          <w:color w:val="auto"/>
        </w:rPr>
        <w:t>NOTE</w:t>
        <w:tab/>
        <w:t>10.</w:t>
        <w:tab/>
        <w:t>JOINT</w:t>
      </w:r>
      <w:r>
        <w:rPr>
          <w:sz w:val="20"/>
          <w:szCs w:val="20"/>
          <w:color w:val="auto"/>
        </w:rPr>
        <w:tab/>
      </w:r>
      <w:r>
        <w:rPr>
          <w:rFonts w:ascii="Courier New" w:cs="Courier New" w:eastAsia="Courier New" w:hAnsi="Courier New"/>
          <w:sz w:val="14"/>
          <w:szCs w:val="14"/>
          <w:color w:val="auto"/>
        </w:rPr>
        <w:t>VENTURE</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In September 1997, the Company formed a joint venture, diaDexus, in conjunction with SB, which will utilize genomic and bioinformatic technologies in the discovery and commercialization of molecular diagnostics. The Company and SB each hold a 50 percent equity interest in diaDexus and the Company accounts for the investment under the equity method. Beginning in 1998, the Company's share in diaDexus' net losses was partially offset by the amortization of the excess of the Company's share of diaDexus' net assets over its basis, which was fully amortized in 1998. Through December 31, 1998, the Company has recorded losses from diaDexus of $1,774,000, net of excess of the Company's share of diaDexus' net assets over its basis. At December 31, 1997 a portion of the investment was reflected as restricted cash and in accrued liabilities on the balance sheet as that balance was held in an escrow account. This was disbursed in full to diaDexus in 1998 in accordance with the joint venture agreement. The following is summary of diaDexus' financial information as of December 31, 1998 and 1997, for the year ended December 31, 1998, and the period from inception (September 1997) through December 31, 1997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17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$16,866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6,625</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20,215</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10,212</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3,565</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2,658</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3,681</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2,760</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7,928</w:t>
            </w:r>
          </w:p>
        </w:tc>
        <w:tc>
          <w:tcPr>
            <w:tcW w:w="18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548</w:t>
            </w:r>
          </w:p>
        </w:tc>
      </w:tr>
    </w:tbl>
    <w:p>
      <w:pPr>
        <w:sectPr>
          <w:pgSz w:w="11900" w:h="16838" w:orient="portrait"/>
          <w:cols w:equalWidth="0" w:num="1">
            <w:col w:w="10219"/>
          </w:cols>
          <w:pgMar w:left="240" w:top="458" w:right="1440" w:bottom="1440" w:gutter="0" w:footer="0" w:header="0"/>
        </w:sectPr>
      </w:pPr>
    </w:p>
    <w:bookmarkStart w:id="63" w:name="page64"/>
    <w:bookmarkEnd w:id="63"/>
    <w:p>
      <w:pPr>
        <w:spacing w:after="0"/>
        <w:tabs>
          <w:tab w:leader="none" w:pos="500" w:val="left"/>
          <w:tab w:leader="none" w:pos="940" w:val="left"/>
        </w:tabs>
        <w:rPr>
          <w:sz w:val="20"/>
          <w:szCs w:val="20"/>
          <w:color w:val="auto"/>
        </w:rPr>
      </w:pPr>
      <w:r>
        <w:rPr>
          <w:rFonts w:ascii="Courier New" w:cs="Courier New" w:eastAsia="Courier New" w:hAnsi="Courier New"/>
          <w:sz w:val="15"/>
          <w:szCs w:val="15"/>
          <w:color w:val="auto"/>
        </w:rPr>
        <w:t>NOTE</w:t>
        <w:tab/>
        <w:t>11.</w:t>
      </w:r>
      <w:r>
        <w:rPr>
          <w:sz w:val="20"/>
          <w:szCs w:val="20"/>
          <w:color w:val="auto"/>
        </w:rPr>
        <w:tab/>
      </w:r>
      <w:r>
        <w:rPr>
          <w:rFonts w:ascii="Courier New" w:cs="Courier New" w:eastAsia="Courier New" w:hAnsi="Courier New"/>
          <w:sz w:val="14"/>
          <w:szCs w:val="14"/>
          <w:color w:val="auto"/>
        </w:rPr>
        <w:t>LITIGATION</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January 1998, Affymetrix, Inc. ("Affymetrix") filed a lawsuit in the United States District Court for the District of Delaware, subsequently transferred to the United States District Court for the Northern District of California in November 1998, alleging infringement of U.S. patent number 5,445,934 (the "'934 Patent") by both Synteni and Incyte. The complaint alleges that the '934 Patent has been infringed by the making, using, selling, importing, distributing or offering to sell in the United States high density arrays by Synteni and Incyte and that such infringement was willful. Affymetrix seeks a permanent injunction enjoining Synteni and Incyte from further infringement of the '934 Patent and, in addition, seeks damages, costs and attorney's fees and interest. Affymetrix further requests that any such damages be trebled based on its allegation of willful infringement by Incyte and Synteni.</w:t>
      </w:r>
    </w:p>
    <w:p>
      <w:pPr>
        <w:spacing w:after="0" w:line="182"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In September 1998, Affymetrix filed an additional lawsuit in the United States District Court for the District of Delaware, subsequently transferred to the United States District Court for the Northern District of California in November 1998, alleging infringement of the U.S. patent number 5,800,992 (the "'992 Patent") and U.S. patent number 5,744,305 (the "'305 Patent") by both Synteni and Incyte. The complaint alleges that the '305 Patent has been infringed by the making, using, selling, importing, distributing or offering to sell in the United States high density arrays by Synteni and Incyte, that the '992 Patent has been infringed by the use of Synteni's and Incyte's GEMTM microarray technology to conduct gene expression monitoring using two-color labeling, and that such infringement was willful. Affymetrix seeks a permanent injunction enjoining Synteni and Incyte from further infringement of the '305 and '992 Patents and, in addition, Affymetrix seeks a preliminary injunction enjoining Incyte and Synteni from using Synteni's and Incyte's GEM microarray technology to conduct gene expression monitoring using two-color labeling as described in the '992 patent. A hearing on Affymetrix's request for a preliminary injunction is scheduled for April 30, 1999. No date has been set regarding the trial of any of Affymetrix's other allegations.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  January</w:t>
            </w:r>
          </w:p>
        </w:tc>
        <w:tc>
          <w:tcPr>
            <w:tcW w:w="5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3"/>
              </w:rPr>
              <w:t>1999,</w:t>
            </w:r>
          </w:p>
        </w:tc>
        <w:tc>
          <w:tcPr>
            <w:tcW w:w="17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 United States</w:t>
            </w: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6"/>
              </w:rPr>
              <w:t>Patent</w:t>
            </w:r>
          </w:p>
        </w:tc>
        <w:tc>
          <w:tcPr>
            <w:tcW w:w="31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and Trademark Office (PTO) notified</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Incyte</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36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patentability  of  claims  directed  to</w:t>
            </w:r>
          </w:p>
        </w:tc>
        <w:tc>
          <w:tcPr>
            <w:tcW w:w="21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two-color hybridization</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licensed</w:t>
            </w:r>
          </w:p>
        </w:tc>
        <w:tc>
          <w:tcPr>
            <w:tcW w:w="122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exclusively</w:t>
            </w:r>
          </w:p>
        </w:tc>
        <w:tc>
          <w:tcPr>
            <w:tcW w:w="30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to  Incyte.  The PTO examiner has</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w w:val="98"/>
              </w:rPr>
              <w:t>agreed with</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w w:val="94"/>
              </w:rPr>
              <w:t>Incyte that</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certain</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claims</w:t>
            </w:r>
          </w:p>
        </w:tc>
        <w:tc>
          <w:tcPr>
            <w:tcW w:w="7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5"/>
              </w:rPr>
              <w:t>overlap</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with</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those</w:t>
            </w: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6"/>
              </w:rPr>
              <w:t>of the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'992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Patent</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w w:val="98"/>
              </w:rPr>
              <w:t>assigned to</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w w:val="94"/>
              </w:rPr>
              <w:t>Affymetrix.</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Therefore,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6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PTO</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as</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recommended</w:t>
            </w: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9"/>
              </w:rPr>
              <w:t>that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Board</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of  Patent</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w w:val="94"/>
              </w:rPr>
              <w:t>Appeals and</w:t>
            </w:r>
          </w:p>
        </w:tc>
      </w:tr>
      <w:tr>
        <w:trPr>
          <w:trHeight w:val="170"/>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Interferences</w:t>
            </w:r>
          </w:p>
        </w:tc>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w w:val="91"/>
              </w:rPr>
              <w:t>declare</w:t>
            </w:r>
          </w:p>
        </w:tc>
        <w:tc>
          <w:tcPr>
            <w:tcW w:w="180" w:type="dxa"/>
            <w:vAlign w:val="bottom"/>
          </w:tcPr>
          <w:p>
            <w:pPr>
              <w:spacing w:after="0"/>
              <w:rPr>
                <w:sz w:val="14"/>
                <w:szCs w:val="14"/>
                <w:color w:val="auto"/>
              </w:rPr>
            </w:pPr>
          </w:p>
        </w:tc>
        <w:tc>
          <w:tcPr>
            <w:tcW w:w="28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an interference between Incyte's</w:t>
            </w:r>
          </w:p>
        </w:tc>
        <w:tc>
          <w:tcPr>
            <w:tcW w:w="21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two-color hybridization</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claims</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the</w:t>
            </w:r>
          </w:p>
        </w:tc>
        <w:tc>
          <w:tcPr>
            <w:tcW w:w="1180" w:type="dxa"/>
            <w:vAlign w:val="bottom"/>
            <w:gridSpan w:val="3"/>
          </w:tcPr>
          <w:p>
            <w:pPr>
              <w:spacing w:after="0"/>
              <w:rPr>
                <w:sz w:val="20"/>
                <w:szCs w:val="20"/>
                <w:color w:val="auto"/>
              </w:rPr>
            </w:pPr>
            <w:r>
              <w:rPr>
                <w:rFonts w:ascii="Courier New" w:cs="Courier New" w:eastAsia="Courier New" w:hAnsi="Courier New"/>
                <w:sz w:val="15"/>
                <w:szCs w:val="15"/>
                <w:color w:val="auto"/>
                <w:w w:val="99"/>
              </w:rPr>
              <w:t>corresponding</w:t>
            </w: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claims  in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'992</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Patent.</w:t>
            </w:r>
          </w:p>
        </w:tc>
        <w:tc>
          <w:tcPr>
            <w:tcW w:w="1020" w:type="dxa"/>
            <w:vAlign w:val="bottom"/>
          </w:tcPr>
          <w:p>
            <w:pPr>
              <w:spacing w:after="0"/>
              <w:rPr>
                <w:sz w:val="14"/>
                <w:szCs w:val="14"/>
                <w:color w:val="auto"/>
              </w:rPr>
            </w:pPr>
          </w:p>
        </w:tc>
      </w:tr>
    </w:tbl>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Incyte and Synteni believe they have meritorious defenses and intend to defend the suits vigorously. However, there can be no assurance that Incyte and Synteni will be successful in the defense of these suits. At this time, the Company cannot reasonably estimate the possible range of any loss resulting from these suits due to uncertainty regarding the ultimate outcome. Regardless of the outcome, this litigation has resulted and is expected to continue to result in substantial expenses and diversion of the efforts of management and technical personnel. Further, there can be no assurance that any license that may be required as a result of this suit or the outcome thereof would be made available on commercially acceptable terms, if at all.</w:t>
      </w:r>
    </w:p>
    <w:p>
      <w:pPr>
        <w:sectPr>
          <w:pgSz w:w="11900" w:h="16838" w:orient="portrait"/>
          <w:cols w:equalWidth="0" w:num="1">
            <w:col w:w="10219"/>
          </w:cols>
          <w:pgMar w:left="240" w:top="452" w:right="1440" w:bottom="1440" w:gutter="0" w:footer="0" w:header="0"/>
        </w:sectPr>
      </w:pPr>
    </w:p>
    <w:bookmarkStart w:id="64" w:name="page65"/>
    <w:bookmarkEnd w:id="64"/>
    <w:p>
      <w:pPr>
        <w:ind w:left="1480"/>
        <w:spacing w:after="0"/>
        <w:rPr>
          <w:sz w:val="20"/>
          <w:szCs w:val="20"/>
          <w:color w:val="auto"/>
        </w:rPr>
      </w:pPr>
      <w:r>
        <w:rPr>
          <w:rFonts w:ascii="Courier New" w:cs="Courier New" w:eastAsia="Courier New" w:hAnsi="Courier New"/>
          <w:sz w:val="14"/>
          <w:szCs w:val="14"/>
          <w:color w:val="auto"/>
        </w:rPr>
        <w:t>SCHEDULE II - VALUATION AND QUALIFYING ACCOUNTS</w:t>
      </w:r>
    </w:p>
    <w:p>
      <w:pPr>
        <w:sectPr>
          <w:pgSz w:w="11900" w:h="16838" w:orient="portrait"/>
          <w:cols w:equalWidth="0" w:num="1">
            <w:col w:w="10219"/>
          </w:cols>
          <w:pgMar w:left="240" w:top="7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doubtful accounts - 1996</w:t>
      </w:r>
    </w:p>
    <w:p>
      <w:pPr>
        <w:spacing w:after="0"/>
        <w:rPr>
          <w:sz w:val="20"/>
          <w:szCs w:val="20"/>
          <w:color w:val="auto"/>
        </w:rPr>
      </w:pPr>
      <w:r>
        <w:rPr>
          <w:rFonts w:ascii="Courier New" w:cs="Courier New" w:eastAsia="Courier New" w:hAnsi="Courier New"/>
          <w:sz w:val="15"/>
          <w:szCs w:val="15"/>
          <w:color w:val="auto"/>
        </w:rPr>
        <w:t>Allowance for doubtful accounts - 1997</w:t>
      </w:r>
    </w:p>
    <w:p>
      <w:pPr>
        <w:spacing w:after="0"/>
        <w:rPr>
          <w:sz w:val="20"/>
          <w:szCs w:val="20"/>
          <w:color w:val="auto"/>
        </w:rPr>
      </w:pPr>
      <w:r>
        <w:rPr>
          <w:rFonts w:ascii="Courier New" w:cs="Courier New" w:eastAsia="Courier New" w:hAnsi="Courier New"/>
          <w:sz w:val="15"/>
          <w:szCs w:val="15"/>
          <w:color w:val="auto"/>
        </w:rPr>
        <w:t>Allowance for doubtful accounts - 1998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BALANCE AT</w:t>
      </w:r>
      <w:r>
        <w:rPr>
          <w:sz w:val="20"/>
          <w:szCs w:val="20"/>
          <w:color w:val="auto"/>
        </w:rPr>
        <w:tab/>
      </w:r>
      <w:r>
        <w:rPr>
          <w:rFonts w:ascii="Courier New" w:cs="Courier New" w:eastAsia="Courier New" w:hAnsi="Courier New"/>
          <w:sz w:val="14"/>
          <w:szCs w:val="14"/>
          <w:color w:val="auto"/>
        </w:rPr>
        <w:t>CHARGED TO</w:t>
      </w:r>
    </w:p>
    <w:p>
      <w:pPr>
        <w:spacing w:after="0"/>
        <w:tabs>
          <w:tab w:leader="none" w:pos="1220" w:val="left"/>
        </w:tabs>
        <w:rPr>
          <w:sz w:val="20"/>
          <w:szCs w:val="20"/>
          <w:color w:val="auto"/>
        </w:rPr>
      </w:pPr>
      <w:r>
        <w:rPr>
          <w:rFonts w:ascii="Courier New" w:cs="Courier New" w:eastAsia="Courier New" w:hAnsi="Courier New"/>
          <w:sz w:val="15"/>
          <w:szCs w:val="15"/>
          <w:color w:val="auto"/>
        </w:rPr>
        <w:t>BEGINNING</w:t>
      </w:r>
      <w:r>
        <w:rPr>
          <w:sz w:val="20"/>
          <w:szCs w:val="20"/>
          <w:color w:val="auto"/>
        </w:rPr>
        <w:tab/>
      </w:r>
      <w:r>
        <w:rPr>
          <w:rFonts w:ascii="Courier New" w:cs="Courier New" w:eastAsia="Courier New" w:hAnsi="Courier New"/>
          <w:sz w:val="15"/>
          <w:szCs w:val="15"/>
          <w:color w:val="auto"/>
        </w:rPr>
        <w:t>COSTS AND</w:t>
      </w:r>
    </w:p>
    <w:p>
      <w:pPr>
        <w:spacing w:after="0"/>
        <w:tabs>
          <w:tab w:leader="none" w:pos="1220" w:val="left"/>
        </w:tabs>
        <w:rPr>
          <w:sz w:val="20"/>
          <w:szCs w:val="20"/>
          <w:color w:val="auto"/>
        </w:rPr>
      </w:pPr>
      <w:r>
        <w:rPr>
          <w:rFonts w:ascii="Courier New" w:cs="Courier New" w:eastAsia="Courier New" w:hAnsi="Courier New"/>
          <w:sz w:val="15"/>
          <w:szCs w:val="15"/>
          <w:color w:val="auto"/>
        </w:rPr>
        <w:t>OF PERIOD</w:t>
      </w:r>
      <w:r>
        <w:rPr>
          <w:sz w:val="20"/>
          <w:szCs w:val="20"/>
          <w:color w:val="auto"/>
        </w:rPr>
        <w:tab/>
      </w:r>
      <w:r>
        <w:rPr>
          <w:rFonts w:ascii="Courier New" w:cs="Courier New" w:eastAsia="Courier New" w:hAnsi="Courier New"/>
          <w:sz w:val="14"/>
          <w:szCs w:val="14"/>
          <w:color w:val="auto"/>
        </w:rPr>
        <w:t>EXPENSES</w:t>
      </w:r>
    </w:p>
    <w:p>
      <w:pPr>
        <w:ind w:left="180"/>
        <w:spacing w:after="0"/>
        <w:tabs>
          <w:tab w:leader="none" w:pos="13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 in thousands)</w:t>
      </w:r>
    </w:p>
    <w:p>
      <w:pPr>
        <w:spacing w:after="0" w:line="5" w:lineRule="exact"/>
        <w:rPr>
          <w:sz w:val="20"/>
          <w:szCs w:val="20"/>
          <w:color w:val="auto"/>
        </w:rPr>
      </w:pPr>
    </w:p>
    <w:p>
      <w:pPr>
        <w:ind w:left="880"/>
        <w:spacing w:after="0"/>
        <w:tabs>
          <w:tab w:leader="none" w:pos="1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260</w:t>
      </w:r>
    </w:p>
    <w:p>
      <w:pPr>
        <w:ind w:left="700"/>
        <w:spacing w:after="0"/>
        <w:tabs>
          <w:tab w:leader="none" w:pos="1740" w:val="left"/>
        </w:tabs>
        <w:rPr>
          <w:sz w:val="20"/>
          <w:szCs w:val="20"/>
          <w:color w:val="auto"/>
        </w:rPr>
      </w:pPr>
      <w:r>
        <w:rPr>
          <w:rFonts w:ascii="Courier New" w:cs="Courier New" w:eastAsia="Courier New" w:hAnsi="Courier New"/>
          <w:sz w:val="15"/>
          <w:szCs w:val="15"/>
          <w:color w:val="auto"/>
        </w:rPr>
        <w:t>225</w:t>
      </w:r>
      <w:r>
        <w:rPr>
          <w:sz w:val="20"/>
          <w:szCs w:val="20"/>
          <w:color w:val="auto"/>
        </w:rPr>
        <w:tab/>
      </w:r>
      <w:r>
        <w:rPr>
          <w:rFonts w:ascii="Courier New" w:cs="Courier New" w:eastAsia="Courier New" w:hAnsi="Courier New"/>
          <w:sz w:val="15"/>
          <w:szCs w:val="15"/>
          <w:color w:val="auto"/>
        </w:rPr>
        <w:t>213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BALANCE AT</w:t>
      </w:r>
    </w:p>
    <w:p>
      <w:pPr>
        <w:ind w:left="1160"/>
        <w:spacing w:after="0"/>
        <w:rPr>
          <w:sz w:val="20"/>
          <w:szCs w:val="20"/>
          <w:color w:val="auto"/>
        </w:rPr>
      </w:pPr>
      <w:r>
        <w:rPr>
          <w:rFonts w:ascii="Courier New" w:cs="Courier New" w:eastAsia="Courier New" w:hAnsi="Courier New"/>
          <w:sz w:val="15"/>
          <w:szCs w:val="15"/>
          <w:color w:val="auto"/>
        </w:rPr>
        <w:t>END OF</w:t>
      </w:r>
    </w:p>
    <w:p>
      <w:pPr>
        <w:spacing w:after="0"/>
        <w:tabs>
          <w:tab w:leader="none" w:pos="1140" w:val="left"/>
        </w:tabs>
        <w:rPr>
          <w:sz w:val="20"/>
          <w:szCs w:val="20"/>
          <w:color w:val="auto"/>
        </w:rPr>
      </w:pPr>
      <w:r>
        <w:rPr>
          <w:rFonts w:ascii="Courier New" w:cs="Courier New" w:eastAsia="Courier New" w:hAnsi="Courier New"/>
          <w:sz w:val="15"/>
          <w:szCs w:val="15"/>
          <w:color w:val="auto"/>
        </w:rPr>
        <w:t>DEDUCTIONS</w:t>
      </w:r>
      <w:r>
        <w:rPr>
          <w:sz w:val="20"/>
          <w:szCs w:val="20"/>
          <w:color w:val="auto"/>
        </w:rPr>
        <w:tab/>
      </w:r>
      <w:r>
        <w:rPr>
          <w:rFonts w:ascii="Courier New" w:cs="Courier New" w:eastAsia="Courier New" w:hAnsi="Courier New"/>
          <w:sz w:val="15"/>
          <w:szCs w:val="15"/>
          <w:color w:val="auto"/>
        </w:rPr>
        <w:t>PERIOD</w:t>
      </w:r>
    </w:p>
    <w:p>
      <w:pPr>
        <w:spacing w:after="0" w:line="4" w:lineRule="exact"/>
        <w:rPr>
          <w:sz w:val="20"/>
          <w:szCs w:val="20"/>
          <w:color w:val="auto"/>
        </w:rPr>
      </w:pPr>
    </w:p>
    <w:p>
      <w:pPr>
        <w:ind w:left="100"/>
        <w:spacing w:after="0"/>
        <w:tabs>
          <w:tab w:leader="none" w:pos="122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ind w:left="720"/>
        <w:spacing w:after="0"/>
        <w:tabs>
          <w:tab w:leader="none" w:pos="16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540"/>
        <w:spacing w:after="0"/>
        <w:tabs>
          <w:tab w:leader="none" w:pos="148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225</w:t>
      </w:r>
    </w:p>
    <w:p>
      <w:pPr>
        <w:ind w:left="620"/>
        <w:spacing w:after="0"/>
        <w:tabs>
          <w:tab w:leader="none" w:pos="148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434</w:t>
      </w:r>
    </w:p>
    <w:p>
      <w:pPr>
        <w:sectPr>
          <w:pgSz w:w="11900" w:h="16838" w:orient="portrait"/>
          <w:cols w:equalWidth="0" w:num="3">
            <w:col w:w="3520" w:space="0"/>
            <w:col w:w="2200" w:space="80"/>
            <w:col w:w="4419"/>
          </w:cols>
          <w:pgMar w:left="240" w:top="797" w:right="1440" w:bottom="1440" w:gutter="0" w:footer="0" w:header="0"/>
          <w:type w:val="continuous"/>
        </w:sectPr>
      </w:pPr>
    </w:p>
    <w:bookmarkStart w:id="65" w:name="page66"/>
    <w:bookmarkEnd w:id="65"/>
    <w:p>
      <w:pPr>
        <w:ind w:left="210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39" w:lineRule="exact"/>
        <w:rPr>
          <w:sz w:val="20"/>
          <w:szCs w:val="20"/>
          <w:color w:val="auto"/>
        </w:rPr>
      </w:pPr>
    </w:p>
    <w:p>
      <w:pPr>
        <w:spacing w:after="0"/>
        <w:tabs>
          <w:tab w:leader="none" w:pos="760" w:val="left"/>
          <w:tab w:leader="none" w:pos="1200" w:val="left"/>
        </w:tabs>
        <w:rPr>
          <w:sz w:val="20"/>
          <w:szCs w:val="20"/>
          <w:color w:val="auto"/>
        </w:rPr>
      </w:pPr>
      <w:r>
        <w:rPr>
          <w:rFonts w:ascii="Courier New" w:cs="Courier New" w:eastAsia="Courier New" w:hAnsi="Courier New"/>
          <w:sz w:val="15"/>
          <w:szCs w:val="15"/>
          <w:color w:val="auto"/>
        </w:rPr>
        <w:t>January</w:t>
        <w:tab/>
        <w:t>15,</w:t>
        <w:tab/>
        <w:t>1999</w:t>
      </w:r>
    </w:p>
    <w:p>
      <w:pPr>
        <w:spacing w:after="0" w:line="169" w:lineRule="exact"/>
        <w:rPr>
          <w:sz w:val="20"/>
          <w:szCs w:val="20"/>
          <w:color w:val="auto"/>
        </w:rPr>
      </w:pPr>
    </w:p>
    <w:p>
      <w:pPr>
        <w:spacing w:after="0"/>
        <w:tabs>
          <w:tab w:leader="none" w:pos="320" w:val="left"/>
          <w:tab w:leader="none" w:pos="760" w:val="left"/>
          <w:tab w:leader="none" w:pos="1380" w:val="left"/>
          <w:tab w:leader="none" w:pos="1740" w:val="left"/>
          <w:tab w:leader="none" w:pos="2700" w:val="left"/>
          <w:tab w:leader="none" w:pos="3140" w:val="left"/>
          <w:tab w:leader="none" w:pos="3940" w:val="left"/>
        </w:tabs>
        <w:rPr>
          <w:sz w:val="20"/>
          <w:szCs w:val="20"/>
          <w:color w:val="auto"/>
        </w:rPr>
      </w:pPr>
      <w:r>
        <w:rPr>
          <w:rFonts w:ascii="Courier New" w:cs="Courier New" w:eastAsia="Courier New" w:hAnsi="Courier New"/>
          <w:sz w:val="15"/>
          <w:szCs w:val="15"/>
          <w:color w:val="auto"/>
        </w:rPr>
        <w:t>To</w:t>
        <w:tab/>
        <w:t>the</w:t>
        <w:tab/>
        <w:t>Board</w:t>
        <w:tab/>
        <w:t>of</w:t>
        <w:tab/>
        <w:t>Directors</w:t>
        <w:tab/>
        <w:t>and</w:t>
        <w:tab/>
        <w:t>Members</w:t>
        <w:tab/>
        <w:t>of</w:t>
      </w:r>
    </w:p>
    <w:p>
      <w:pPr>
        <w:spacing w:after="0"/>
        <w:tabs>
          <w:tab w:leader="none" w:pos="940" w:val="left"/>
        </w:tabs>
        <w:rPr>
          <w:sz w:val="20"/>
          <w:szCs w:val="20"/>
          <w:color w:val="auto"/>
        </w:rPr>
      </w:pPr>
      <w:r>
        <w:rPr>
          <w:rFonts w:ascii="Courier New" w:cs="Courier New" w:eastAsia="Courier New" w:hAnsi="Courier New"/>
          <w:sz w:val="15"/>
          <w:szCs w:val="15"/>
          <w:color w:val="auto"/>
        </w:rPr>
        <w:t>diaDexus,</w:t>
        <w:tab/>
        <w:t>LLC</w:t>
      </w:r>
    </w:p>
    <w:p>
      <w:pPr>
        <w:spacing w:after="0" w:line="344"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In our opinion, the accompanying balance sheet and the related statements of operations, of changes in members' equity and of cash flows present fairly, in all material respects, the financial position of diaDexus, LLC (a development stage company) at December 31, 1998 and 1997, and the results of its operations and its cash flows for the year ended December 31, 1998, for the period from inception (September 1997) through December 31, 1997 and for the period from inception (September 1997) through December 31, 1998, in conformity with generally accepted accounting principles. These financial statements are the responsibility of the Company's management; our responsibility is to express an opinion on these financial statements based on our audit. We conducted our audits of these statements in accordance with generally accepted auditing</w:t>
      </w:r>
    </w:p>
    <w:tbl>
      <w:tblPr>
        <w:tblLayout w:type="fixed"/>
        <w:tblInd w:w="0" w:type="dxa"/>
        <w:tblCellMar>
          <w:top w:w="0" w:type="dxa"/>
          <w:left w:w="0" w:type="dxa"/>
          <w:bottom w:w="0" w:type="dxa"/>
          <w:right w:w="0" w:type="dxa"/>
        </w:tblCellMar>
      </w:tblP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standards</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which</w:t>
            </w:r>
          </w:p>
        </w:tc>
        <w:tc>
          <w:tcPr>
            <w:tcW w:w="1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require that we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plan and</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perform the</w:t>
            </w:r>
          </w:p>
        </w:tc>
        <w:tc>
          <w:tcPr>
            <w:tcW w:w="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audit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 obtain</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reasonable</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assurance</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about</w:t>
            </w:r>
          </w:p>
        </w:tc>
        <w:tc>
          <w:tcPr>
            <w:tcW w:w="1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whether  the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3"/>
              </w:rPr>
              <w:t>financial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statements</w:t>
            </w:r>
          </w:p>
        </w:tc>
        <w:tc>
          <w:tcPr>
            <w:tcW w:w="540" w:type="dxa"/>
            <w:vAlign w:val="bottom"/>
          </w:tcPr>
          <w:p>
            <w:pPr>
              <w:jc w:val="center"/>
              <w:spacing w:after="0"/>
              <w:rPr>
                <w:sz w:val="20"/>
                <w:szCs w:val="20"/>
                <w:color w:val="auto"/>
              </w:rPr>
            </w:pPr>
            <w:r>
              <w:rPr>
                <w:rFonts w:ascii="Courier New" w:cs="Courier New" w:eastAsia="Courier New" w:hAnsi="Courier New"/>
                <w:sz w:val="15"/>
                <w:szCs w:val="15"/>
                <w:color w:val="auto"/>
                <w:w w:val="96"/>
              </w:rPr>
              <w:t>are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free  of</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material</w:t>
            </w:r>
          </w:p>
        </w:tc>
      </w:tr>
      <w:tr>
        <w:trPr>
          <w:trHeight w:val="0"/>
        </w:trPr>
        <w:tc>
          <w:tcPr>
            <w:tcW w:w="1540" w:type="dxa"/>
            <w:vAlign w:val="bottom"/>
            <w:gridSpan w:val="3"/>
          </w:tcPr>
          <w:p>
            <w:pPr>
              <w:spacing w:after="0"/>
              <w:rPr>
                <w:sz w:val="20"/>
                <w:szCs w:val="20"/>
                <w:color w:val="auto"/>
              </w:rPr>
            </w:pPr>
            <w:r>
              <w:rPr>
                <w:rFonts w:ascii="Courier New" w:cs="Courier New" w:eastAsia="Courier New" w:hAnsi="Courier New"/>
                <w:sz w:val="15"/>
                <w:szCs w:val="15"/>
                <w:color w:val="auto"/>
                <w:w w:val="99"/>
              </w:rPr>
              <w:t>misstatement.  An</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audit includes</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examining, on a test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basis, evidence</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supporting</w:t>
            </w:r>
          </w:p>
        </w:tc>
      </w:tr>
    </w:tbl>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ectPr>
          <w:pgSz w:w="11900" w:h="16838" w:orient="portrait"/>
          <w:cols w:equalWidth="0" w:num="1">
            <w:col w:w="10219"/>
          </w:cols>
          <w:pgMar w:left="240" w:top="452"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PricewaterhouseCoopers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LLP</w:t>
      </w:r>
    </w:p>
    <w:p>
      <w:pPr>
        <w:sectPr>
          <w:pgSz w:w="11900" w:h="16838" w:orient="portrait"/>
          <w:cols w:equalWidth="0" w:num="3">
            <w:col w:w="260" w:space="180"/>
            <w:col w:w="1940" w:space="160"/>
            <w:col w:w="7679"/>
          </w:cols>
          <w:pgMar w:left="240" w:top="452" w:right="1440" w:bottom="1440" w:gutter="0" w:footer="0" w:header="0"/>
          <w:type w:val="continuous"/>
        </w:sectPr>
      </w:pPr>
    </w:p>
    <w:bookmarkStart w:id="66" w:name="page67"/>
    <w:bookmarkEnd w:id="66"/>
    <w:p>
      <w:pPr>
        <w:spacing w:after="0"/>
        <w:tabs>
          <w:tab w:leader="none" w:pos="940" w:val="left"/>
        </w:tabs>
        <w:rPr>
          <w:sz w:val="20"/>
          <w:szCs w:val="20"/>
          <w:color w:val="auto"/>
        </w:rPr>
      </w:pPr>
      <w:r>
        <w:rPr>
          <w:rFonts w:ascii="Courier New" w:cs="Courier New" w:eastAsia="Courier New" w:hAnsi="Courier New"/>
          <w:sz w:val="15"/>
          <w:szCs w:val="15"/>
          <w:color w:val="auto"/>
        </w:rPr>
        <w:t>DIADEXUS,</w:t>
        <w:tab/>
        <w:t>LLC</w:t>
      </w:r>
    </w:p>
    <w:p>
      <w:pPr>
        <w:spacing w:after="0"/>
        <w:tabs>
          <w:tab w:leader="none" w:pos="240" w:val="left"/>
          <w:tab w:leader="none" w:pos="1020" w:val="left"/>
          <w:tab w:leader="none" w:pos="2000" w:val="left"/>
        </w:tabs>
        <w:rPr>
          <w:sz w:val="20"/>
          <w:szCs w:val="20"/>
          <w:color w:val="auto"/>
        </w:rPr>
      </w:pPr>
      <w:r>
        <w:rPr>
          <w:rFonts w:ascii="Courier New" w:cs="Courier New" w:eastAsia="Courier New" w:hAnsi="Courier New"/>
          <w:sz w:val="15"/>
          <w:szCs w:val="15"/>
          <w:color w:val="auto"/>
        </w:rPr>
        <w:t>A</w:t>
        <w:tab/>
        <w:t>LIMITED</w:t>
        <w:tab/>
        <w:t>LIABILITY</w:t>
      </w:r>
      <w:r>
        <w:rPr>
          <w:sz w:val="20"/>
          <w:szCs w:val="20"/>
          <w:color w:val="auto"/>
        </w:rPr>
        <w:tab/>
      </w:r>
      <w:r>
        <w:rPr>
          <w:rFonts w:ascii="Courier New" w:cs="Courier New" w:eastAsia="Courier New" w:hAnsi="Courier New"/>
          <w:sz w:val="14"/>
          <w:szCs w:val="14"/>
          <w:color w:val="auto"/>
        </w:rPr>
        <w:t>COMPANY</w:t>
      </w:r>
    </w:p>
    <w:p>
      <w:pPr>
        <w:spacing w:after="0"/>
        <w:tabs>
          <w:tab w:leader="none" w:pos="320" w:val="left"/>
          <w:tab w:leader="none" w:pos="1460" w:val="left"/>
          <w:tab w:leader="none" w:pos="2080" w:val="left"/>
        </w:tabs>
        <w:rPr>
          <w:sz w:val="20"/>
          <w:szCs w:val="20"/>
          <w:color w:val="auto"/>
        </w:rPr>
      </w:pPr>
      <w:r>
        <w:rPr>
          <w:rFonts w:ascii="Courier New" w:cs="Courier New" w:eastAsia="Courier New" w:hAnsi="Courier New"/>
          <w:sz w:val="15"/>
          <w:szCs w:val="15"/>
          <w:color w:val="auto"/>
        </w:rPr>
        <w:t>(A</w:t>
        <w:tab/>
        <w:t>DEVELOPMENT</w:t>
        <w:tab/>
        <w:t>STAGE</w:t>
        <w:tab/>
        <w:t>COMPANY)</w:t>
      </w:r>
    </w:p>
    <w:p>
      <w:pPr>
        <w:spacing w:after="0"/>
        <w:tabs>
          <w:tab w:leader="none" w:pos="760" w:val="left"/>
        </w:tabs>
        <w:rPr>
          <w:sz w:val="20"/>
          <w:szCs w:val="20"/>
          <w:color w:val="auto"/>
        </w:rPr>
      </w:pPr>
      <w:r>
        <w:rPr>
          <w:rFonts w:ascii="Courier New" w:cs="Courier New" w:eastAsia="Courier New" w:hAnsi="Courier New"/>
          <w:sz w:val="15"/>
          <w:szCs w:val="15"/>
          <w:color w:val="auto"/>
        </w:rPr>
        <w:t>BALANCE</w:t>
      </w:r>
      <w:r>
        <w:rPr>
          <w:sz w:val="20"/>
          <w:szCs w:val="20"/>
          <w:color w:val="auto"/>
        </w:rPr>
        <w:tab/>
      </w:r>
      <w:r>
        <w:rPr>
          <w:rFonts w:ascii="Courier New" w:cs="Courier New" w:eastAsia="Courier New" w:hAnsi="Courier New"/>
          <w:sz w:val="14"/>
          <w:szCs w:val="14"/>
          <w:color w:val="auto"/>
        </w:rPr>
        <w:t>SHEET</w:t>
      </w: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16,454,000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6,540,000</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412,000</w:t>
            </w:r>
          </w:p>
        </w:tc>
        <w:tc>
          <w:tcPr>
            <w:tcW w:w="2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85,000</w:t>
            </w:r>
          </w:p>
        </w:tc>
      </w:tr>
      <w:tr>
        <w:trPr>
          <w:trHeight w:val="170"/>
        </w:trPr>
        <w:tc>
          <w:tcPr>
            <w:tcW w:w="48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4840" w:type="dxa"/>
            <w:vAlign w:val="bottom"/>
          </w:tcPr>
          <w:p>
            <w:pPr>
              <w:ind w:left="520"/>
              <w:spacing w:after="0"/>
              <w:rPr>
                <w:sz w:val="20"/>
                <w:szCs w:val="20"/>
                <w:color w:val="auto"/>
              </w:rPr>
            </w:pPr>
            <w:r>
              <w:rPr>
                <w:rFonts w:ascii="Courier New" w:cs="Courier New" w:eastAsia="Courier New" w:hAnsi="Courier New"/>
                <w:sz w:val="15"/>
                <w:szCs w:val="15"/>
                <w:color w:val="auto"/>
              </w:rPr>
              <w:t>Total current assets</w:t>
            </w: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16,866,000</w:t>
            </w:r>
          </w:p>
        </w:tc>
        <w:tc>
          <w:tcPr>
            <w:tcW w:w="2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6,625,000</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6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3,280,000</w:t>
            </w:r>
          </w:p>
        </w:tc>
        <w:tc>
          <w:tcPr>
            <w:tcW w:w="22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3,516,000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69,000</w:t>
            </w:r>
          </w:p>
        </w:tc>
        <w:tc>
          <w:tcPr>
            <w:tcW w:w="2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71,000</w:t>
            </w:r>
          </w:p>
        </w:tc>
      </w:tr>
      <w:tr>
        <w:trPr>
          <w:trHeight w:val="170"/>
        </w:trPr>
        <w:tc>
          <w:tcPr>
            <w:tcW w:w="48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484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20,215,000</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$ 10,212,000</w:t>
            </w:r>
          </w:p>
        </w:tc>
      </w:tr>
      <w:tr>
        <w:trPr>
          <w:trHeight w:val="170"/>
        </w:trPr>
        <w:tc>
          <w:tcPr>
            <w:tcW w:w="48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LIABILITIES AND MEMBERS' EQUITY</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Due to Members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2,690,000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2,451,000</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w:t>
            </w: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239,000</w:t>
            </w:r>
          </w:p>
        </w:tc>
        <w:tc>
          <w:tcPr>
            <w:tcW w:w="2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Accrued liabilities</w:t>
            </w: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636,000</w:t>
            </w:r>
          </w:p>
        </w:tc>
        <w:tc>
          <w:tcPr>
            <w:tcW w:w="2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207,000</w:t>
            </w:r>
          </w:p>
        </w:tc>
      </w:tr>
      <w:tr>
        <w:trPr>
          <w:trHeight w:val="170"/>
        </w:trPr>
        <w:tc>
          <w:tcPr>
            <w:tcW w:w="48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4840" w:type="dxa"/>
            <w:vAlign w:val="bottom"/>
          </w:tcPr>
          <w:p>
            <w:pPr>
              <w:ind w:left="520"/>
              <w:spacing w:after="0"/>
              <w:rPr>
                <w:sz w:val="20"/>
                <w:szCs w:val="20"/>
                <w:color w:val="auto"/>
              </w:rPr>
            </w:pPr>
            <w:r>
              <w:rPr>
                <w:rFonts w:ascii="Courier New" w:cs="Courier New" w:eastAsia="Courier New" w:hAnsi="Courier New"/>
                <w:sz w:val="15"/>
                <w:szCs w:val="15"/>
                <w:color w:val="auto"/>
              </w:rPr>
              <w:t>Total current liabilities</w:t>
            </w: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3,565,000</w:t>
            </w:r>
          </w:p>
        </w:tc>
        <w:tc>
          <w:tcPr>
            <w:tcW w:w="2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2,658,000</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Deferred rent</w:t>
            </w:r>
          </w:p>
        </w:tc>
        <w:tc>
          <w:tcPr>
            <w:tcW w:w="6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116,000</w:t>
            </w:r>
          </w:p>
        </w:tc>
        <w:tc>
          <w:tcPr>
            <w:tcW w:w="22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102,000</w:t>
            </w:r>
          </w:p>
        </w:tc>
      </w:tr>
      <w:tr>
        <w:trPr>
          <w:trHeight w:val="170"/>
        </w:trPr>
        <w:tc>
          <w:tcPr>
            <w:tcW w:w="48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4840" w:type="dxa"/>
            <w:vAlign w:val="bottom"/>
          </w:tcPr>
          <w:p>
            <w:pPr>
              <w:ind w:left="520"/>
              <w:spacing w:after="0"/>
              <w:rPr>
                <w:sz w:val="20"/>
                <w:szCs w:val="20"/>
                <w:color w:val="auto"/>
              </w:rPr>
            </w:pPr>
            <w:r>
              <w:rPr>
                <w:rFonts w:ascii="Courier New" w:cs="Courier New" w:eastAsia="Courier New" w:hAnsi="Courier New"/>
                <w:sz w:val="15"/>
                <w:szCs w:val="15"/>
                <w:color w:val="auto"/>
              </w:rPr>
              <w:t>Total liabilities</w:t>
            </w: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3,681,000</w:t>
            </w:r>
          </w:p>
        </w:tc>
        <w:tc>
          <w:tcPr>
            <w:tcW w:w="2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2,760,000</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Commitments (Note 7)</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Members' equity:</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Series A preferred capital; 4,400,000 units authorized,</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840" w:type="dxa"/>
            <w:vAlign w:val="bottom"/>
          </w:tcPr>
          <w:p>
            <w:pPr>
              <w:ind w:left="340"/>
              <w:spacing w:after="0"/>
              <w:rPr>
                <w:sz w:val="20"/>
                <w:szCs w:val="20"/>
                <w:color w:val="auto"/>
              </w:rPr>
            </w:pPr>
            <w:r>
              <w:rPr>
                <w:rFonts w:ascii="Courier New" w:cs="Courier New" w:eastAsia="Courier New" w:hAnsi="Courier New"/>
                <w:sz w:val="15"/>
                <w:szCs w:val="15"/>
                <w:color w:val="auto"/>
              </w:rPr>
              <w:t>issued and outstanding</w:t>
            </w: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10,762,000</w:t>
            </w:r>
          </w:p>
        </w:tc>
        <w:tc>
          <w:tcPr>
            <w:tcW w:w="2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14,726,000</w:t>
            </w:r>
          </w:p>
        </w:tc>
      </w:tr>
      <w:tr>
        <w:trPr>
          <w:trHeight w:val="170"/>
        </w:trPr>
        <w:tc>
          <w:tcPr>
            <w:tcW w:w="5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Series B preferred capital; 4,400,000 units authorized,</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840" w:type="dxa"/>
            <w:vAlign w:val="bottom"/>
          </w:tcPr>
          <w:p>
            <w:pPr>
              <w:ind w:left="340"/>
              <w:spacing w:after="0"/>
              <w:rPr>
                <w:sz w:val="20"/>
                <w:szCs w:val="20"/>
                <w:color w:val="auto"/>
              </w:rPr>
            </w:pPr>
            <w:r>
              <w:rPr>
                <w:rFonts w:ascii="Courier New" w:cs="Courier New" w:eastAsia="Courier New" w:hAnsi="Courier New"/>
                <w:sz w:val="15"/>
                <w:szCs w:val="15"/>
                <w:color w:val="auto"/>
              </w:rPr>
              <w:t>issued and outstanding</w:t>
            </w: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5,762,000</w:t>
            </w:r>
          </w:p>
        </w:tc>
        <w:tc>
          <w:tcPr>
            <w:tcW w:w="2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9,726,000</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Common capital; 1,200,000 units</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840" w:type="dxa"/>
            <w:vAlign w:val="bottom"/>
          </w:tcPr>
          <w:p>
            <w:pPr>
              <w:ind w:left="340"/>
              <w:spacing w:after="0"/>
              <w:rPr>
                <w:sz w:val="20"/>
                <w:szCs w:val="20"/>
                <w:color w:val="auto"/>
              </w:rPr>
            </w:pPr>
            <w:r>
              <w:rPr>
                <w:rFonts w:ascii="Courier New" w:cs="Courier New" w:eastAsia="Courier New" w:hAnsi="Courier New"/>
                <w:sz w:val="15"/>
                <w:szCs w:val="15"/>
                <w:color w:val="auto"/>
              </w:rPr>
              <w:t>Authorized; no units issued and outstanding</w:t>
            </w: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Additional paid-in capital</w:t>
            </w: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2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Member contributions receivable</w:t>
            </w: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(17,000,000)</w:t>
            </w:r>
          </w:p>
        </w:tc>
      </w:tr>
      <w:tr>
        <w:trPr>
          <w:trHeight w:val="170"/>
        </w:trPr>
        <w:tc>
          <w:tcPr>
            <w:tcW w:w="48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4840" w:type="dxa"/>
            <w:vAlign w:val="bottom"/>
          </w:tcPr>
          <w:p>
            <w:pPr>
              <w:ind w:left="520"/>
              <w:spacing w:after="0"/>
              <w:rPr>
                <w:sz w:val="20"/>
                <w:szCs w:val="20"/>
                <w:color w:val="auto"/>
              </w:rPr>
            </w:pPr>
            <w:r>
              <w:rPr>
                <w:rFonts w:ascii="Courier New" w:cs="Courier New" w:eastAsia="Courier New" w:hAnsi="Courier New"/>
                <w:sz w:val="15"/>
                <w:szCs w:val="15"/>
                <w:color w:val="auto"/>
              </w:rPr>
              <w:t>Total Members' equity</w:t>
            </w: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16,534,000</w:t>
            </w:r>
          </w:p>
        </w:tc>
        <w:tc>
          <w:tcPr>
            <w:tcW w:w="2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7,452,000</w:t>
            </w:r>
          </w:p>
        </w:tc>
      </w:tr>
      <w:tr>
        <w:trPr>
          <w:trHeight w:val="170"/>
        </w:trPr>
        <w:tc>
          <w:tcPr>
            <w:tcW w:w="48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484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20,215,000</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$ 10,212,000</w:t>
            </w:r>
          </w:p>
        </w:tc>
      </w:tr>
      <w:tr>
        <w:trPr>
          <w:trHeight w:val="170"/>
        </w:trPr>
        <w:tc>
          <w:tcPr>
            <w:tcW w:w="48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678"/>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99"/>
              </w:rPr>
              <w:t>The  accompanying  notes  are  an  integral  part  of</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these</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financial</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statements.</w:t>
            </w:r>
          </w:p>
        </w:tc>
      </w:tr>
    </w:tbl>
    <w:p>
      <w:pPr>
        <w:sectPr>
          <w:pgSz w:w="11900" w:h="16838" w:orient="portrait"/>
          <w:cols w:equalWidth="0" w:num="1">
            <w:col w:w="10219"/>
          </w:cols>
          <w:pgMar w:left="240" w:top="622" w:right="1440" w:bottom="1440" w:gutter="0" w:footer="0" w:header="0"/>
        </w:sectPr>
      </w:pPr>
    </w:p>
    <w:bookmarkStart w:id="67" w:name="page68"/>
    <w:bookmarkEnd w:id="67"/>
    <w:p>
      <w:pPr>
        <w:spacing w:after="0"/>
        <w:tabs>
          <w:tab w:leader="none" w:pos="940" w:val="left"/>
        </w:tabs>
        <w:rPr>
          <w:sz w:val="20"/>
          <w:szCs w:val="20"/>
          <w:color w:val="auto"/>
        </w:rPr>
      </w:pPr>
      <w:r>
        <w:rPr>
          <w:rFonts w:ascii="Courier New" w:cs="Courier New" w:eastAsia="Courier New" w:hAnsi="Courier New"/>
          <w:sz w:val="15"/>
          <w:szCs w:val="15"/>
          <w:color w:val="auto"/>
        </w:rPr>
        <w:t>DIADEXUS,</w:t>
        <w:tab/>
        <w:t>LLC</w:t>
      </w:r>
    </w:p>
    <w:p>
      <w:pPr>
        <w:spacing w:after="0"/>
        <w:tabs>
          <w:tab w:leader="none" w:pos="240" w:val="left"/>
          <w:tab w:leader="none" w:pos="1020" w:val="left"/>
          <w:tab w:leader="none" w:pos="2000" w:val="left"/>
        </w:tabs>
        <w:rPr>
          <w:sz w:val="20"/>
          <w:szCs w:val="20"/>
          <w:color w:val="auto"/>
        </w:rPr>
      </w:pPr>
      <w:r>
        <w:rPr>
          <w:rFonts w:ascii="Courier New" w:cs="Courier New" w:eastAsia="Courier New" w:hAnsi="Courier New"/>
          <w:sz w:val="15"/>
          <w:szCs w:val="15"/>
          <w:color w:val="auto"/>
        </w:rPr>
        <w:t>A</w:t>
        <w:tab/>
        <w:t>LIMITED</w:t>
        <w:tab/>
        <w:t>LIABILITY</w:t>
      </w:r>
      <w:r>
        <w:rPr>
          <w:sz w:val="20"/>
          <w:szCs w:val="20"/>
          <w:color w:val="auto"/>
        </w:rPr>
        <w:tab/>
      </w:r>
      <w:r>
        <w:rPr>
          <w:rFonts w:ascii="Courier New" w:cs="Courier New" w:eastAsia="Courier New" w:hAnsi="Courier New"/>
          <w:sz w:val="14"/>
          <w:szCs w:val="14"/>
          <w:color w:val="auto"/>
        </w:rPr>
        <w:t>COMPANY</w:t>
      </w:r>
    </w:p>
    <w:p>
      <w:pPr>
        <w:spacing w:after="0"/>
        <w:tabs>
          <w:tab w:leader="none" w:pos="320" w:val="left"/>
          <w:tab w:leader="none" w:pos="1460" w:val="left"/>
          <w:tab w:leader="none" w:pos="2080" w:val="left"/>
        </w:tabs>
        <w:rPr>
          <w:sz w:val="20"/>
          <w:szCs w:val="20"/>
          <w:color w:val="auto"/>
        </w:rPr>
      </w:pPr>
      <w:r>
        <w:rPr>
          <w:rFonts w:ascii="Courier New" w:cs="Courier New" w:eastAsia="Courier New" w:hAnsi="Courier New"/>
          <w:sz w:val="15"/>
          <w:szCs w:val="15"/>
          <w:color w:val="auto"/>
        </w:rPr>
        <w:t>(A</w:t>
        <w:tab/>
        <w:t>DEVELOPMENT</w:t>
        <w:tab/>
        <w:t>STAGE</w:t>
        <w:tab/>
        <w:t>COMPANY)</w:t>
      </w:r>
    </w:p>
    <w:p>
      <w:pPr>
        <w:spacing w:after="0"/>
        <w:tabs>
          <w:tab w:leader="none" w:pos="940" w:val="left"/>
          <w:tab w:leader="none" w:pos="1300" w:val="left"/>
        </w:tabs>
        <w:rPr>
          <w:sz w:val="20"/>
          <w:szCs w:val="20"/>
          <w:color w:val="auto"/>
        </w:rPr>
      </w:pPr>
      <w:r>
        <w:rPr>
          <w:rFonts w:ascii="Courier New" w:cs="Courier New" w:eastAsia="Courier New" w:hAnsi="Courier New"/>
          <w:sz w:val="15"/>
          <w:szCs w:val="15"/>
          <w:color w:val="auto"/>
        </w:rPr>
        <w:t>STATEMENT</w:t>
        <w:tab/>
        <w:t>OF</w:t>
      </w:r>
      <w:r>
        <w:rPr>
          <w:sz w:val="20"/>
          <w:szCs w:val="20"/>
          <w:color w:val="auto"/>
        </w:rPr>
        <w:tab/>
      </w:r>
      <w:r>
        <w:rPr>
          <w:rFonts w:ascii="Courier New" w:cs="Courier New" w:eastAsia="Courier New" w:hAnsi="Courier New"/>
          <w:sz w:val="14"/>
          <w:szCs w:val="14"/>
          <w:color w:val="auto"/>
        </w:rPr>
        <w:t>OPERATIONS</w:t>
      </w: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FOR</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PERIOD</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FROM</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INCEPTION</w:t>
            </w:r>
          </w:p>
        </w:tc>
      </w:tr>
      <w:tr>
        <w:trPr>
          <w:trHeight w:val="170"/>
        </w:trPr>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YEAR  ENDED</w:t>
            </w:r>
          </w:p>
        </w:tc>
        <w:tc>
          <w:tcPr>
            <w:tcW w:w="34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(SEPTEMBER</w:t>
            </w:r>
          </w:p>
        </w:tc>
        <w:tc>
          <w:tcPr>
            <w:tcW w:w="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THROUGH</w:t>
            </w:r>
          </w:p>
        </w:tc>
      </w:tr>
      <w:tr>
        <w:trPr>
          <w:trHeight w:val="170"/>
        </w:trPr>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DECEMBER 31,</w:t>
            </w:r>
          </w:p>
        </w:tc>
        <w:tc>
          <w:tcPr>
            <w:tcW w:w="340" w:type="dxa"/>
            <w:vAlign w:val="bottom"/>
          </w:tcPr>
          <w:p>
            <w:pPr>
              <w:spacing w:after="0"/>
              <w:rPr>
                <w:sz w:val="14"/>
                <w:szCs w:val="14"/>
                <w:color w:val="auto"/>
              </w:rPr>
            </w:pPr>
          </w:p>
        </w:tc>
        <w:tc>
          <w:tcPr>
            <w:tcW w:w="128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DECEMBER</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31,</w:t>
            </w:r>
          </w:p>
        </w:tc>
        <w:tc>
          <w:tcPr>
            <w:tcW w:w="980" w:type="dxa"/>
            <w:vAlign w:val="bottom"/>
          </w:tcPr>
          <w:p>
            <w:pPr>
              <w:spacing w:after="0"/>
              <w:rPr>
                <w:sz w:val="14"/>
                <w:szCs w:val="14"/>
                <w:color w:val="auto"/>
              </w:rPr>
            </w:pPr>
          </w:p>
        </w:tc>
      </w:tr>
      <w:tr>
        <w:trPr>
          <w:trHeight w:val="170"/>
        </w:trPr>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13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6,761,000</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401,000</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7,162,000</w:t>
            </w:r>
          </w:p>
        </w:tc>
      </w:tr>
      <w:tr>
        <w:trPr>
          <w:trHeight w:val="170"/>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General and administrative</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1,882,000</w:t>
            </w:r>
          </w:p>
        </w:tc>
        <w:tc>
          <w:tcPr>
            <w:tcW w:w="34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279,000</w:t>
            </w:r>
          </w:p>
        </w:tc>
        <w:tc>
          <w:tcPr>
            <w:tcW w:w="260" w:type="dxa"/>
            <w:vAlign w:val="bottom"/>
          </w:tcPr>
          <w:p>
            <w:pPr>
              <w:spacing w:after="0"/>
              <w:rPr>
                <w:sz w:val="14"/>
                <w:szCs w:val="14"/>
                <w:color w:val="auto"/>
              </w:rPr>
            </w:pPr>
          </w:p>
        </w:tc>
        <w:tc>
          <w:tcPr>
            <w:tcW w:w="13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2,161,000</w:t>
            </w:r>
          </w:p>
        </w:tc>
      </w:tr>
      <w:tr>
        <w:trPr>
          <w:trHeight w:val="170"/>
        </w:trPr>
        <w:tc>
          <w:tcPr>
            <w:tcW w:w="25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Total operating expenses</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8,643,000</w:t>
            </w:r>
          </w:p>
        </w:tc>
        <w:tc>
          <w:tcPr>
            <w:tcW w:w="34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680,000</w:t>
            </w:r>
          </w:p>
        </w:tc>
        <w:tc>
          <w:tcPr>
            <w:tcW w:w="260" w:type="dxa"/>
            <w:vAlign w:val="bottom"/>
          </w:tcPr>
          <w:p>
            <w:pPr>
              <w:spacing w:after="0"/>
              <w:rPr>
                <w:sz w:val="14"/>
                <w:szCs w:val="14"/>
                <w:color w:val="auto"/>
              </w:rPr>
            </w:pPr>
          </w:p>
        </w:tc>
        <w:tc>
          <w:tcPr>
            <w:tcW w:w="13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9,323,000</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8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715,000</w:t>
            </w:r>
          </w:p>
        </w:tc>
        <w:tc>
          <w:tcPr>
            <w:tcW w:w="340" w:type="dxa"/>
            <w:vAlign w:val="bottom"/>
          </w:tcPr>
          <w:p>
            <w:pPr>
              <w:spacing w:after="0"/>
              <w:rPr>
                <w:sz w:val="24"/>
                <w:szCs w:val="2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132,000</w:t>
            </w:r>
          </w:p>
        </w:tc>
        <w:tc>
          <w:tcPr>
            <w:tcW w:w="260" w:type="dxa"/>
            <w:vAlign w:val="bottom"/>
          </w:tcPr>
          <w:p>
            <w:pPr>
              <w:spacing w:after="0"/>
              <w:rPr>
                <w:sz w:val="24"/>
                <w:szCs w:val="24"/>
                <w:color w:val="auto"/>
              </w:rPr>
            </w:pPr>
          </w:p>
        </w:tc>
        <w:tc>
          <w:tcPr>
            <w:tcW w:w="13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847,000</w:t>
            </w:r>
          </w:p>
        </w:tc>
      </w:tr>
      <w:tr>
        <w:trPr>
          <w:trHeight w:val="170"/>
        </w:trPr>
        <w:tc>
          <w:tcPr>
            <w:tcW w:w="25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(7,928,000)</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(548,000)</w:t>
            </w:r>
          </w:p>
        </w:tc>
        <w:tc>
          <w:tcPr>
            <w:tcW w:w="16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$(8,476,000)</w:t>
            </w:r>
          </w:p>
        </w:tc>
      </w:tr>
      <w:tr>
        <w:trPr>
          <w:trHeight w:val="170"/>
        </w:trPr>
        <w:tc>
          <w:tcPr>
            <w:tcW w:w="25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DIADEXUS,</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LLC</w:t>
            </w:r>
          </w:p>
        </w:tc>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8"/>
              </w:rPr>
              <w:t>LIMITED</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LIABILITY</w:t>
            </w:r>
          </w:p>
        </w:tc>
        <w:tc>
          <w:tcPr>
            <w:tcW w:w="5060" w:type="dxa"/>
            <w:vAlign w:val="bottom"/>
          </w:tcPr>
          <w:p>
            <w:pPr>
              <w:ind w:left="40"/>
              <w:spacing w:after="0"/>
              <w:rPr>
                <w:sz w:val="20"/>
                <w:szCs w:val="20"/>
                <w:color w:val="auto"/>
              </w:rPr>
            </w:pPr>
            <w:r>
              <w:rPr>
                <w:rFonts w:ascii="Courier New" w:cs="Courier New" w:eastAsia="Courier New" w:hAnsi="Courier New"/>
                <w:sz w:val="15"/>
                <w:szCs w:val="15"/>
                <w:color w:val="auto"/>
              </w:rPr>
              <w:t>COMPANY</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DEVELOPMENT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STAGE</w:t>
            </w:r>
          </w:p>
        </w:tc>
        <w:tc>
          <w:tcPr>
            <w:tcW w:w="5060" w:type="dxa"/>
            <w:vAlign w:val="bottom"/>
          </w:tcPr>
          <w:p>
            <w:pPr>
              <w:ind w:left="120"/>
              <w:spacing w:after="0"/>
              <w:rPr>
                <w:sz w:val="20"/>
                <w:szCs w:val="20"/>
                <w:color w:val="auto"/>
              </w:rPr>
            </w:pPr>
            <w:r>
              <w:rPr>
                <w:rFonts w:ascii="Courier New" w:cs="Courier New" w:eastAsia="Courier New" w:hAnsi="Courier New"/>
                <w:sz w:val="15"/>
                <w:szCs w:val="15"/>
                <w:color w:val="auto"/>
              </w:rPr>
              <w:t>COMPANY)</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STATEMENT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CHANGES</w:t>
            </w:r>
          </w:p>
        </w:tc>
        <w:tc>
          <w:tcPr>
            <w:tcW w:w="5060" w:type="dxa"/>
            <w:vAlign w:val="bottom"/>
          </w:tcPr>
          <w:p>
            <w:pPr>
              <w:ind w:left="120"/>
              <w:spacing w:after="0"/>
              <w:rPr>
                <w:sz w:val="20"/>
                <w:szCs w:val="20"/>
                <w:color w:val="auto"/>
              </w:rPr>
            </w:pPr>
            <w:r>
              <w:rPr>
                <w:rFonts w:ascii="Courier New" w:cs="Courier New" w:eastAsia="Courier New" w:hAnsi="Courier New"/>
                <w:sz w:val="15"/>
                <w:szCs w:val="15"/>
                <w:color w:val="auto"/>
              </w:rPr>
              <w:t>IN  MEMBERS'  EQUITY</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FOR</w:t>
            </w: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6"/>
              </w:rPr>
              <w:t>THE</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PERIOD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FROM</w:t>
            </w:r>
          </w:p>
        </w:tc>
        <w:tc>
          <w:tcPr>
            <w:tcW w:w="5060" w:type="dxa"/>
            <w:vAlign w:val="bottom"/>
          </w:tcPr>
          <w:p>
            <w:pPr>
              <w:ind w:left="120"/>
              <w:spacing w:after="0"/>
              <w:rPr>
                <w:sz w:val="20"/>
                <w:szCs w:val="20"/>
                <w:color w:val="auto"/>
              </w:rPr>
            </w:pPr>
            <w:r>
              <w:rPr>
                <w:rFonts w:ascii="Courier New" w:cs="Courier New" w:eastAsia="Courier New" w:hAnsi="Courier New"/>
                <w:sz w:val="15"/>
                <w:szCs w:val="15"/>
                <w:color w:val="auto"/>
                <w:w w:val="97"/>
              </w:rPr>
              <w:t>INCEPTION  (SEPTEMBER  1997)  THROUGH  DECEMBER 31, 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5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SERIES A</w:t>
      </w:r>
    </w:p>
    <w:p>
      <w:pPr>
        <w:ind w:left="2640"/>
        <w:spacing w:after="0"/>
        <w:rPr>
          <w:sz w:val="20"/>
          <w:szCs w:val="20"/>
          <w:color w:val="auto"/>
        </w:rPr>
      </w:pPr>
      <w:r>
        <w:rPr>
          <w:rFonts w:ascii="Courier New" w:cs="Courier New" w:eastAsia="Courier New" w:hAnsi="Courier New"/>
          <w:sz w:val="15"/>
          <w:szCs w:val="15"/>
          <w:color w:val="auto"/>
        </w:rPr>
        <w:t>PREFERRED CAPITAL</w:t>
      </w:r>
    </w:p>
    <w:p>
      <w:pPr>
        <w:spacing w:after="0" w:line="5" w:lineRule="exact"/>
        <w:rPr>
          <w:sz w:val="20"/>
          <w:szCs w:val="20"/>
          <w:color w:val="auto"/>
        </w:rPr>
      </w:pPr>
    </w:p>
    <w:p>
      <w:pPr>
        <w:ind w:left="2540"/>
        <w:spacing w:after="0"/>
        <w:tabs>
          <w:tab w:leader="none" w:pos="3760" w:val="left"/>
        </w:tabs>
        <w:rPr>
          <w:sz w:val="20"/>
          <w:szCs w:val="20"/>
          <w:color w:val="auto"/>
        </w:rPr>
      </w:pPr>
      <w:r>
        <w:rPr>
          <w:rFonts w:ascii="Courier New" w:cs="Courier New" w:eastAsia="Courier New" w:hAnsi="Courier New"/>
          <w:sz w:val="14"/>
          <w:szCs w:val="14"/>
          <w:color w:val="auto"/>
        </w:rPr>
        <w:t>UNITS</w:t>
      </w:r>
      <w:r>
        <w:rPr>
          <w:sz w:val="20"/>
          <w:szCs w:val="20"/>
          <w:color w:val="auto"/>
        </w:rPr>
        <w:tab/>
      </w:r>
      <w:r>
        <w:rPr>
          <w:rFonts w:ascii="Courier New" w:cs="Courier New" w:eastAsia="Courier New" w:hAnsi="Courier New"/>
          <w:sz w:val="14"/>
          <w:szCs w:val="14"/>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SERIES B</w:t>
      </w:r>
    </w:p>
    <w:p>
      <w:pPr>
        <w:ind w:left="80"/>
        <w:spacing w:after="0"/>
        <w:rPr>
          <w:sz w:val="20"/>
          <w:szCs w:val="20"/>
          <w:color w:val="auto"/>
        </w:rPr>
      </w:pPr>
      <w:r>
        <w:rPr>
          <w:rFonts w:ascii="Courier New" w:cs="Courier New" w:eastAsia="Courier New" w:hAnsi="Courier New"/>
          <w:sz w:val="15"/>
          <w:szCs w:val="15"/>
          <w:color w:val="auto"/>
        </w:rPr>
        <w:t>PREFERRED CAPITAL</w:t>
      </w:r>
    </w:p>
    <w:p>
      <w:pPr>
        <w:spacing w:after="0" w:line="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UNITS</w:t>
      </w:r>
      <w:r>
        <w:rPr>
          <w:sz w:val="20"/>
          <w:szCs w:val="20"/>
          <w:color w:val="auto"/>
        </w:rPr>
        <w:tab/>
      </w:r>
      <w:r>
        <w:rPr>
          <w:rFonts w:ascii="Courier New" w:cs="Courier New" w:eastAsia="Courier New" w:hAnsi="Courier New"/>
          <w:sz w:val="14"/>
          <w:szCs w:val="14"/>
          <w:color w:val="auto"/>
        </w:rPr>
        <w:t>AMOUNT</w:t>
      </w:r>
    </w:p>
    <w:p>
      <w:pPr>
        <w:spacing w:after="0" w:line="180" w:lineRule="exact"/>
        <w:rPr>
          <w:sz w:val="20"/>
          <w:szCs w:val="20"/>
          <w:color w:val="auto"/>
        </w:rPr>
      </w:pPr>
    </w:p>
    <w:p>
      <w:pPr>
        <w:sectPr>
          <w:pgSz w:w="11900" w:h="16838" w:orient="portrait"/>
          <w:cols w:equalWidth="0" w:num="2">
            <w:col w:w="4300" w:space="280"/>
            <w:col w:w="5639"/>
          </w:cols>
          <w:pgMar w:left="240" w:top="452" w:right="1440" w:bottom="0" w:gutter="0" w:footer="0" w:header="0"/>
          <w:type w:val="continuous"/>
        </w:sectPr>
      </w:pPr>
    </w:p>
    <w:p>
      <w:pPr>
        <w:jc w:val="right"/>
        <w:ind w:right="8199"/>
        <w:spacing w:after="0"/>
        <w:rPr>
          <w:sz w:val="20"/>
          <w:szCs w:val="20"/>
          <w:color w:val="auto"/>
        </w:rPr>
      </w:pPr>
      <w:r>
        <w:rPr>
          <w:rFonts w:ascii="Courier New" w:cs="Courier New" w:eastAsia="Courier New" w:hAnsi="Courier New"/>
          <w:sz w:val="14"/>
          <w:szCs w:val="14"/>
          <w:color w:val="auto"/>
        </w:rPr>
        <w:t>Issuance, at inception,</w:t>
      </w:r>
    </w:p>
    <w:p>
      <w:pPr>
        <w:spacing w:after="0" w:line="5" w:lineRule="exact"/>
        <w:rPr>
          <w:sz w:val="20"/>
          <w:szCs w:val="20"/>
          <w:color w:val="auto"/>
        </w:rPr>
      </w:pPr>
    </w:p>
    <w:p>
      <w:pPr>
        <w:jc w:val="right"/>
        <w:ind w:right="8199"/>
        <w:spacing w:after="0"/>
        <w:rPr>
          <w:sz w:val="20"/>
          <w:szCs w:val="20"/>
          <w:color w:val="auto"/>
        </w:rPr>
      </w:pPr>
      <w:r>
        <w:rPr>
          <w:rFonts w:ascii="Courier New" w:cs="Courier New" w:eastAsia="Courier New" w:hAnsi="Courier New"/>
          <w:sz w:val="15"/>
          <w:szCs w:val="15"/>
          <w:color w:val="auto"/>
        </w:rPr>
        <w:t>of Series A Preferred</w:t>
      </w:r>
    </w:p>
    <w:p>
      <w:pPr>
        <w:sectPr>
          <w:pgSz w:w="11900" w:h="16838" w:orient="portrait"/>
          <w:cols w:equalWidth="0" w:num="1">
            <w:col w:w="10219"/>
          </w:cols>
          <w:pgMar w:left="240" w:top="452" w:right="1440" w:bottom="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units at $3.41 per unit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1" w:lineRule="exact"/>
        <w:rPr>
          <w:sz w:val="20"/>
          <w:szCs w:val="20"/>
          <w:color w:val="auto"/>
        </w:rPr>
      </w:pPr>
    </w:p>
    <w:p>
      <w:pPr>
        <w:sectPr>
          <w:pgSz w:w="11900" w:h="16838" w:orient="portrait"/>
          <w:cols w:equalWidth="0" w:num="5">
            <w:col w:w="2200" w:space="260"/>
            <w:col w:w="800" w:space="160"/>
            <w:col w:w="1320" w:space="720"/>
            <w:col w:w="340" w:space="720"/>
            <w:col w:w="3699"/>
          </w:cols>
          <w:pgMar w:left="240" w:top="452" w:right="1440" w:bottom="0" w:gutter="0" w:footer="0" w:header="0"/>
          <w:type w:val="continuous"/>
        </w:sectPr>
      </w:pPr>
    </w:p>
    <w:p>
      <w:pPr>
        <w:jc w:val="right"/>
        <w:ind w:right="8199"/>
        <w:spacing w:after="0"/>
        <w:rPr>
          <w:sz w:val="20"/>
          <w:szCs w:val="20"/>
          <w:color w:val="auto"/>
        </w:rPr>
      </w:pPr>
      <w:r>
        <w:rPr>
          <w:rFonts w:ascii="Courier New" w:cs="Courier New" w:eastAsia="Courier New" w:hAnsi="Courier New"/>
          <w:sz w:val="14"/>
          <w:szCs w:val="14"/>
          <w:color w:val="auto"/>
        </w:rPr>
        <w:t>Issuance, at inception,</w:t>
      </w:r>
    </w:p>
    <w:p>
      <w:pPr>
        <w:spacing w:after="0" w:line="5" w:lineRule="exact"/>
        <w:rPr>
          <w:sz w:val="20"/>
          <w:szCs w:val="20"/>
          <w:color w:val="auto"/>
        </w:rPr>
      </w:pPr>
    </w:p>
    <w:p>
      <w:pPr>
        <w:jc w:val="right"/>
        <w:ind w:right="8199"/>
        <w:spacing w:after="0"/>
        <w:rPr>
          <w:sz w:val="20"/>
          <w:szCs w:val="20"/>
          <w:color w:val="auto"/>
        </w:rPr>
      </w:pPr>
      <w:r>
        <w:rPr>
          <w:rFonts w:ascii="Courier New" w:cs="Courier New" w:eastAsia="Courier New" w:hAnsi="Courier New"/>
          <w:sz w:val="15"/>
          <w:szCs w:val="15"/>
          <w:color w:val="auto"/>
        </w:rPr>
        <w:t>of Series B Preferred</w:t>
      </w:r>
    </w:p>
    <w:p>
      <w:pPr>
        <w:sectPr>
          <w:pgSz w:w="11900" w:h="16838" w:orient="portrait"/>
          <w:cols w:equalWidth="0" w:num="1">
            <w:col w:w="10219"/>
          </w:cols>
          <w:pgMar w:left="240" w:top="452" w:right="1440" w:bottom="0" w:gutter="0" w:footer="0" w:header="0"/>
          <w:type w:val="continuous"/>
        </w:sectPr>
      </w:pPr>
    </w:p>
    <w:p>
      <w:pPr>
        <w:spacing w:after="0" w:line="5" w:lineRule="exact"/>
        <w:rPr>
          <w:sz w:val="20"/>
          <w:szCs w:val="20"/>
          <w:color w:val="auto"/>
        </w:rPr>
      </w:pPr>
    </w:p>
    <w:p>
      <w:pPr>
        <w:ind w:firstLine="176"/>
        <w:spacing w:after="0" w:line="235" w:lineRule="auto"/>
        <w:rPr>
          <w:sz w:val="20"/>
          <w:szCs w:val="20"/>
          <w:color w:val="auto"/>
        </w:rPr>
      </w:pPr>
      <w:r>
        <w:rPr>
          <w:rFonts w:ascii="Courier New" w:cs="Courier New" w:eastAsia="Courier New" w:hAnsi="Courier New"/>
          <w:sz w:val="15"/>
          <w:szCs w:val="15"/>
          <w:color w:val="auto"/>
        </w:rPr>
        <w:t>units at $2.27 per unit Net loss</w:t>
      </w:r>
    </w:p>
    <w:p>
      <w:pPr>
        <w:spacing w:after="0" w:line="20" w:lineRule="exact"/>
        <w:rPr>
          <w:sz w:val="20"/>
          <w:szCs w:val="20"/>
          <w:color w:val="auto"/>
        </w:rPr>
      </w:pPr>
      <w:r>
        <w:rPr>
          <w:sz w:val="20"/>
          <w:szCs w:val="20"/>
          <w:color w:val="auto"/>
        </w:rPr>
        <w:br w:type="column"/>
      </w:r>
    </w:p>
    <w:p>
      <w:pPr>
        <w:ind w:left="780"/>
        <w:spacing w:after="0"/>
        <w:tabs>
          <w:tab w:leader="none" w:pos="1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80"/>
        <w:spacing w:after="0"/>
        <w:tabs>
          <w:tab w:leader="none" w:pos="1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(274,000)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00"/>
        <w:spacing w:after="0"/>
        <w:tabs>
          <w:tab w:leader="none" w:pos="1040" w:val="left"/>
        </w:tabs>
        <w:rPr>
          <w:sz w:val="20"/>
          <w:szCs w:val="20"/>
          <w:color w:val="auto"/>
        </w:rPr>
      </w:pPr>
      <w:r>
        <w:rPr>
          <w:rFonts w:ascii="Courier New" w:cs="Courier New" w:eastAsia="Courier New" w:hAnsi="Courier New"/>
          <w:sz w:val="15"/>
          <w:szCs w:val="15"/>
          <w:color w:val="auto"/>
        </w:rPr>
        <w:t>4,400,000</w:t>
      </w:r>
      <w:r>
        <w:rPr>
          <w:sz w:val="20"/>
          <w:szCs w:val="20"/>
          <w:color w:val="auto"/>
        </w:rPr>
        <w:tab/>
      </w:r>
      <w:r>
        <w:rPr>
          <w:rFonts w:ascii="Courier New" w:cs="Courier New" w:eastAsia="Courier New" w:hAnsi="Courier New"/>
          <w:sz w:val="14"/>
          <w:szCs w:val="14"/>
          <w:color w:val="auto"/>
        </w:rPr>
        <w:t>10,000,000</w:t>
      </w:r>
    </w:p>
    <w:p>
      <w:pPr>
        <w:ind w:left="800"/>
        <w:spacing w:after="0"/>
        <w:tabs>
          <w:tab w:leader="none" w:pos="1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(274,000)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sectPr>
          <w:pgSz w:w="11900" w:h="16838" w:orient="portrait"/>
          <w:cols w:equalWidth="0" w:num="3">
            <w:col w:w="2200" w:space="180"/>
            <w:col w:w="2100" w:space="180"/>
            <w:col w:w="5559"/>
          </w:cols>
          <w:pgMar w:left="240" w:top="452"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at December</w:t>
      </w:r>
    </w:p>
    <w:p>
      <w:pPr>
        <w:sectPr>
          <w:pgSz w:w="11900" w:h="16838" w:orient="portrait"/>
          <w:cols w:equalWidth="0" w:num="1">
            <w:col w:w="10219"/>
          </w:cols>
          <w:pgMar w:left="240" w:top="452" w:right="1440" w:bottom="0" w:gutter="0" w:footer="0" w:header="0"/>
          <w:type w:val="continuous"/>
        </w:sectPr>
      </w:pP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31, 1997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14,726,000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4,400,000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9,726,000</w:t>
      </w:r>
    </w:p>
    <w:p>
      <w:pPr>
        <w:spacing w:after="0" w:line="11" w:lineRule="exact"/>
        <w:rPr>
          <w:sz w:val="20"/>
          <w:szCs w:val="20"/>
          <w:color w:val="auto"/>
        </w:rPr>
      </w:pPr>
    </w:p>
    <w:p>
      <w:pPr>
        <w:sectPr>
          <w:pgSz w:w="11900" w:h="16838" w:orient="portrait"/>
          <w:cols w:equalWidth="0" w:num="5">
            <w:col w:w="1740" w:space="720"/>
            <w:col w:w="800" w:space="260"/>
            <w:col w:w="880" w:space="360"/>
            <w:col w:w="780" w:space="360"/>
            <w:col w:w="4319"/>
          </w:cols>
          <w:pgMar w:left="240" w:top="452"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Proceeds received</w:t>
      </w:r>
    </w:p>
    <w:p>
      <w:pPr>
        <w:sectPr>
          <w:pgSz w:w="11900" w:h="16838" w:orient="portrait"/>
          <w:cols w:equalWidth="0" w:num="1">
            <w:col w:w="10219"/>
          </w:cols>
          <w:pgMar w:left="240" w:top="452" w:right="1440" w:bottom="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from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2" w:lineRule="exact"/>
        <w:rPr>
          <w:sz w:val="20"/>
          <w:szCs w:val="20"/>
          <w:color w:val="auto"/>
        </w:rPr>
      </w:pPr>
    </w:p>
    <w:p>
      <w:pPr>
        <w:sectPr>
          <w:pgSz w:w="11900" w:h="16838" w:orient="portrait"/>
          <w:cols w:equalWidth="0" w:num="5">
            <w:col w:w="2440" w:space="720"/>
            <w:col w:w="420" w:space="720"/>
            <w:col w:w="440" w:space="720"/>
            <w:col w:w="420" w:space="720"/>
            <w:col w:w="3619"/>
          </w:cols>
          <w:pgMar w:left="240" w:top="452"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options to</w:t>
      </w:r>
    </w:p>
    <w:p>
      <w:pPr>
        <w:sectPr>
          <w:pgSz w:w="11900" w:h="16838" w:orient="portrait"/>
          <w:cols w:equalWidth="0" w:num="1">
            <w:col w:w="10219"/>
          </w:cols>
          <w:pgMar w:left="240" w:top="452" w:right="1440" w:bottom="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non-employees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5">
            <w:col w:w="2440" w:space="720"/>
            <w:col w:w="420" w:space="720"/>
            <w:col w:w="440" w:space="720"/>
            <w:col w:w="420" w:space="720"/>
            <w:col w:w="3619"/>
          </w:cols>
          <w:pgMar w:left="240" w:top="452"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Courier New" w:cs="Courier New" w:eastAsia="Courier New" w:hAnsi="Courier New"/>
          <w:sz w:val="14"/>
          <w:szCs w:val="14"/>
          <w:color w:val="auto"/>
        </w:rPr>
        <w:t>(3,964,000)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(3,964,000)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5">
            <w:col w:w="1660" w:space="720"/>
            <w:col w:w="960" w:space="180"/>
            <w:col w:w="960" w:space="180"/>
            <w:col w:w="880" w:space="180"/>
            <w:col w:w="4499"/>
          </w:cols>
          <w:pgMar w:left="240" w:top="452"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at December</w:t>
      </w:r>
    </w:p>
    <w:p>
      <w:pPr>
        <w:sectPr>
          <w:pgSz w:w="11900" w:h="16838" w:orient="portrait"/>
          <w:cols w:equalWidth="0" w:num="1">
            <w:col w:w="10219"/>
          </w:cols>
          <w:pgMar w:left="240" w:top="452" w:right="1440" w:bottom="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31, 1998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4,400,000</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Courier New" w:cs="Courier New" w:eastAsia="Courier New" w:hAnsi="Courier New"/>
          <w:sz w:val="14"/>
          <w:szCs w:val="14"/>
          <w:color w:val="auto"/>
        </w:rPr>
        <w:t>$10,762,000 -----------</w:t>
      </w:r>
    </w:p>
    <w:p>
      <w:pPr>
        <w:spacing w:after="0" w:line="20" w:lineRule="exact"/>
        <w:rPr>
          <w:sz w:val="20"/>
          <w:szCs w:val="20"/>
          <w:color w:val="auto"/>
        </w:rPr>
      </w:pPr>
      <w:r>
        <w:rPr>
          <w:sz w:val="20"/>
          <w:szCs w:val="20"/>
          <w:color w:val="auto"/>
        </w:rPr>
        <w:br w:type="column"/>
      </w:r>
    </w:p>
    <w:p>
      <w:pPr>
        <w:jc w:val="both"/>
        <w:ind w:firstLine="88"/>
        <w:spacing w:after="0" w:line="265" w:lineRule="auto"/>
        <w:rPr>
          <w:sz w:val="20"/>
          <w:szCs w:val="20"/>
          <w:color w:val="auto"/>
        </w:rPr>
      </w:pPr>
      <w:r>
        <w:rPr>
          <w:rFonts w:ascii="Courier New" w:cs="Courier New" w:eastAsia="Courier New" w:hAnsi="Courier New"/>
          <w:sz w:val="14"/>
          <w:szCs w:val="14"/>
          <w:color w:val="auto"/>
        </w:rPr>
        <w:t>4,400,000 ----------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$ 5,762,000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22" w:lineRule="exact"/>
        <w:rPr>
          <w:sz w:val="20"/>
          <w:szCs w:val="20"/>
          <w:color w:val="auto"/>
        </w:rPr>
      </w:pPr>
    </w:p>
    <w:p>
      <w:pPr>
        <w:sectPr>
          <w:pgSz w:w="11900" w:h="16838" w:orient="portrait"/>
          <w:cols w:equalWidth="0" w:num="5">
            <w:col w:w="1660" w:space="720"/>
            <w:col w:w="960" w:space="180"/>
            <w:col w:w="960" w:space="180"/>
            <w:col w:w="880" w:space="180"/>
            <w:col w:w="4499"/>
          </w:cols>
          <w:pgMar w:left="240" w:top="452" w:right="1440" w:bottom="0" w:gutter="0" w:footer="0" w:header="0"/>
          <w:type w:val="continuous"/>
        </w:sectPr>
      </w:pPr>
    </w:p>
    <w:p>
      <w:pPr>
        <w:spacing w:after="0" w:line="29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ADDITIONAL</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PAID-IN</w:t>
      </w:r>
    </w:p>
    <w:p>
      <w:pPr>
        <w:ind w:left="2980"/>
        <w:spacing w:after="0"/>
        <w:rPr>
          <w:sz w:val="20"/>
          <w:szCs w:val="20"/>
          <w:color w:val="auto"/>
        </w:rPr>
      </w:pPr>
      <w:r>
        <w:rPr>
          <w:rFonts w:ascii="Courier New" w:cs="Courier New" w:eastAsia="Courier New" w:hAnsi="Courier New"/>
          <w:sz w:val="15"/>
          <w:szCs w:val="15"/>
          <w:color w:val="auto"/>
        </w:rPr>
        <w:t>CAPITAL</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spacing w:after="0" w:line="260" w:lineRule="auto"/>
        <w:rPr>
          <w:sz w:val="20"/>
          <w:szCs w:val="20"/>
          <w:color w:val="auto"/>
        </w:rPr>
      </w:pPr>
      <w:r>
        <w:rPr>
          <w:rFonts w:ascii="Courier New" w:cs="Courier New" w:eastAsia="Courier New" w:hAnsi="Courier New"/>
          <w:sz w:val="14"/>
          <w:szCs w:val="14"/>
          <w:color w:val="auto"/>
        </w:rPr>
        <w:t>MEMBER CONTIRUBITON RECEIVABLE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350" w:lineRule="exact"/>
        <w:rPr>
          <w:sz w:val="20"/>
          <w:szCs w:val="20"/>
          <w:color w:val="auto"/>
        </w:rPr>
      </w:pPr>
    </w:p>
    <w:p>
      <w:pPr>
        <w:sectPr>
          <w:pgSz w:w="11900" w:h="16838" w:orient="portrait"/>
          <w:cols w:equalWidth="0" w:num="3">
            <w:col w:w="3860" w:space="540"/>
            <w:col w:w="1060" w:space="440"/>
            <w:col w:w="4319"/>
          </w:cols>
          <w:pgMar w:left="240" w:top="452" w:right="1440" w:bottom="0" w:gutter="0" w:footer="0" w:header="0"/>
          <w:type w:val="continuous"/>
        </w:sectPr>
      </w:pPr>
    </w:p>
    <w:p>
      <w:pPr>
        <w:jc w:val="right"/>
        <w:ind w:right="8199"/>
        <w:spacing w:after="0"/>
        <w:rPr>
          <w:sz w:val="20"/>
          <w:szCs w:val="20"/>
          <w:color w:val="auto"/>
        </w:rPr>
      </w:pPr>
      <w:r>
        <w:rPr>
          <w:rFonts w:ascii="Courier New" w:cs="Courier New" w:eastAsia="Courier New" w:hAnsi="Courier New"/>
          <w:sz w:val="14"/>
          <w:szCs w:val="14"/>
          <w:color w:val="auto"/>
        </w:rPr>
        <w:t>Issuance, at inception,</w:t>
      </w:r>
    </w:p>
    <w:p>
      <w:pPr>
        <w:spacing w:after="0" w:line="5" w:lineRule="exact"/>
        <w:rPr>
          <w:sz w:val="20"/>
          <w:szCs w:val="20"/>
          <w:color w:val="auto"/>
        </w:rPr>
      </w:pPr>
    </w:p>
    <w:p>
      <w:pPr>
        <w:jc w:val="right"/>
        <w:ind w:right="8199"/>
        <w:spacing w:after="0"/>
        <w:rPr>
          <w:sz w:val="20"/>
          <w:szCs w:val="20"/>
          <w:color w:val="auto"/>
        </w:rPr>
      </w:pPr>
      <w:r>
        <w:rPr>
          <w:rFonts w:ascii="Courier New" w:cs="Courier New" w:eastAsia="Courier New" w:hAnsi="Courier New"/>
          <w:sz w:val="15"/>
          <w:szCs w:val="15"/>
          <w:color w:val="auto"/>
        </w:rPr>
        <w:t>of Series A Preferred</w:t>
      </w:r>
    </w:p>
    <w:p>
      <w:pPr>
        <w:sectPr>
          <w:pgSz w:w="11900" w:h="16838" w:orient="portrait"/>
          <w:cols w:equalWidth="0" w:num="1">
            <w:col w:w="10219"/>
          </w:cols>
          <w:pgMar w:left="240" w:top="452" w:right="1440" w:bottom="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units at $3.41 per unit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$ 4,000,000</w:t>
      </w:r>
    </w:p>
    <w:p>
      <w:pPr>
        <w:spacing w:after="0" w:line="180" w:lineRule="exact"/>
        <w:rPr>
          <w:sz w:val="20"/>
          <w:szCs w:val="20"/>
          <w:color w:val="auto"/>
        </w:rPr>
      </w:pPr>
    </w:p>
    <w:p>
      <w:pPr>
        <w:sectPr>
          <w:pgSz w:w="11900" w:h="16838" w:orient="portrait"/>
          <w:cols w:equalWidth="0" w:num="4">
            <w:col w:w="2880" w:space="720"/>
            <w:col w:w="100" w:space="700"/>
            <w:col w:w="1140" w:space="360"/>
            <w:col w:w="4319"/>
          </w:cols>
          <w:pgMar w:left="240" w:top="452" w:right="1440" w:bottom="0" w:gutter="0" w:footer="0" w:header="0"/>
          <w:type w:val="continuous"/>
        </w:sectPr>
      </w:pPr>
    </w:p>
    <w:p>
      <w:pPr>
        <w:jc w:val="right"/>
        <w:ind w:right="8199"/>
        <w:spacing w:after="0"/>
        <w:rPr>
          <w:sz w:val="20"/>
          <w:szCs w:val="20"/>
          <w:color w:val="auto"/>
        </w:rPr>
      </w:pPr>
      <w:r>
        <w:rPr>
          <w:rFonts w:ascii="Courier New" w:cs="Courier New" w:eastAsia="Courier New" w:hAnsi="Courier New"/>
          <w:sz w:val="14"/>
          <w:szCs w:val="14"/>
          <w:color w:val="auto"/>
        </w:rPr>
        <w:t>Issuance, at inception,</w:t>
      </w:r>
    </w:p>
    <w:p>
      <w:pPr>
        <w:spacing w:after="0" w:line="5" w:lineRule="exact"/>
        <w:rPr>
          <w:sz w:val="20"/>
          <w:szCs w:val="20"/>
          <w:color w:val="auto"/>
        </w:rPr>
      </w:pPr>
    </w:p>
    <w:p>
      <w:pPr>
        <w:jc w:val="right"/>
        <w:ind w:right="8199"/>
        <w:spacing w:after="0"/>
        <w:rPr>
          <w:sz w:val="20"/>
          <w:szCs w:val="20"/>
          <w:color w:val="auto"/>
        </w:rPr>
      </w:pPr>
      <w:r>
        <w:rPr>
          <w:rFonts w:ascii="Courier New" w:cs="Courier New" w:eastAsia="Courier New" w:hAnsi="Courier New"/>
          <w:sz w:val="15"/>
          <w:szCs w:val="15"/>
          <w:color w:val="auto"/>
        </w:rPr>
        <w:t>of Series B Preferred</w:t>
      </w:r>
    </w:p>
    <w:p>
      <w:pPr>
        <w:sectPr>
          <w:pgSz w:w="11900" w:h="16838" w:orient="portrait"/>
          <w:cols w:equalWidth="0" w:num="1">
            <w:col w:w="10219"/>
          </w:cols>
          <w:pgMar w:left="240" w:top="452" w:right="1440" w:bottom="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units at $2.27 per unit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4,000,000</w:t>
      </w:r>
    </w:p>
    <w:p>
      <w:pPr>
        <w:spacing w:after="0" w:line="175" w:lineRule="exact"/>
        <w:rPr>
          <w:sz w:val="20"/>
          <w:szCs w:val="20"/>
          <w:color w:val="auto"/>
        </w:rPr>
      </w:pPr>
    </w:p>
    <w:p>
      <w:pPr>
        <w:sectPr>
          <w:pgSz w:w="11900" w:h="16838" w:orient="portrait"/>
          <w:cols w:equalWidth="0" w:num="4">
            <w:col w:w="2880" w:space="720"/>
            <w:col w:w="260" w:space="720"/>
            <w:col w:w="960" w:space="540"/>
            <w:col w:w="4139"/>
          </w:cols>
          <w:pgMar w:left="240" w:top="452"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loss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 December 31, 1997</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(17,000,000)</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(548,000)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7,452,000</w:t>
      </w:r>
    </w:p>
    <w:p>
      <w:pPr>
        <w:spacing w:after="0" w:line="175" w:lineRule="exact"/>
        <w:rPr>
          <w:sz w:val="20"/>
          <w:szCs w:val="20"/>
          <w:color w:val="auto"/>
        </w:rPr>
      </w:pPr>
    </w:p>
    <w:p>
      <w:pPr>
        <w:sectPr>
          <w:pgSz w:w="11900" w:h="16838" w:orient="portrait"/>
          <w:cols w:equalWidth="0" w:num="4">
            <w:col w:w="2460" w:space="360"/>
            <w:col w:w="960" w:space="620"/>
            <w:col w:w="1140" w:space="440"/>
            <w:col w:w="4239"/>
          </w:cols>
          <w:pgMar w:left="240" w:top="452"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Proceeds received from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17,000,000</w:t>
      </w:r>
    </w:p>
    <w:p>
      <w:pPr>
        <w:sectPr>
          <w:pgSz w:w="11900" w:h="16838" w:orient="portrait"/>
          <w:cols w:equalWidth="0" w:num="3">
            <w:col w:w="3860" w:space="720"/>
            <w:col w:w="880" w:space="440"/>
            <w:col w:w="4319"/>
          </w:cols>
          <w:pgMar w:left="240" w:top="452" w:right="1440"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Issuance of options to</w:t>
            </w: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non-employees</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10,000</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520"/>
              <w:spacing w:after="0"/>
              <w:rPr>
                <w:sz w:val="20"/>
                <w:szCs w:val="20"/>
                <w:color w:val="auto"/>
              </w:rPr>
            </w:pPr>
            <w:r>
              <w:rPr>
                <w:rFonts w:ascii="Courier New" w:cs="Courier New" w:eastAsia="Courier New" w:hAnsi="Courier New"/>
                <w:sz w:val="15"/>
                <w:szCs w:val="15"/>
                <w:color w:val="auto"/>
              </w:rPr>
              <w:t>10,000</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(7,928,000)</w:t>
            </w:r>
          </w:p>
        </w:tc>
      </w:tr>
      <w:tr>
        <w:trPr>
          <w:trHeight w:val="170"/>
        </w:trPr>
        <w:tc>
          <w:tcPr>
            <w:tcW w:w="2640" w:type="dxa"/>
            <w:vAlign w:val="bottom"/>
          </w:tcPr>
          <w:p>
            <w:pPr>
              <w:spacing w:after="0"/>
              <w:rPr>
                <w:sz w:val="14"/>
                <w:szCs w:val="14"/>
                <w:color w:val="auto"/>
              </w:rPr>
            </w:pP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10,000</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$16,534,000</w:t>
            </w:r>
          </w:p>
        </w:tc>
      </w:tr>
      <w:tr>
        <w:trPr>
          <w:trHeight w:val="170"/>
        </w:trPr>
        <w:tc>
          <w:tcPr>
            <w:tcW w:w="2640" w:type="dxa"/>
            <w:vAlign w:val="bottom"/>
          </w:tcPr>
          <w:p>
            <w:pPr>
              <w:spacing w:after="0"/>
              <w:rPr>
                <w:sz w:val="14"/>
                <w:szCs w:val="14"/>
                <w:color w:val="auto"/>
              </w:rPr>
            </w:pP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30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136" w:right="1440"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DIADEXUS,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LLC</w:t>
            </w: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1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w w:val="95"/>
              </w:rPr>
              <w:t>LIMITED</w:t>
            </w:r>
          </w:p>
        </w:tc>
        <w:tc>
          <w:tcPr>
            <w:tcW w:w="1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LIABILITY</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COMPANY</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(A</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DEVELOPMENT</w:t>
            </w:r>
          </w:p>
        </w:tc>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STAGE</w:t>
            </w:r>
          </w:p>
        </w:tc>
        <w:tc>
          <w:tcPr>
            <w:tcW w:w="3000" w:type="dxa"/>
            <w:vAlign w:val="bottom"/>
          </w:tcPr>
          <w:p>
            <w:pPr>
              <w:ind w:left="120"/>
              <w:spacing w:after="0"/>
              <w:rPr>
                <w:sz w:val="20"/>
                <w:szCs w:val="20"/>
                <w:color w:val="auto"/>
              </w:rPr>
            </w:pPr>
            <w:r>
              <w:rPr>
                <w:rFonts w:ascii="Courier New" w:cs="Courier New" w:eastAsia="Courier New" w:hAnsi="Courier New"/>
                <w:sz w:val="15"/>
                <w:szCs w:val="15"/>
                <w:color w:val="auto"/>
              </w:rPr>
              <w:t>COMPANY)</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STATEMENT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3660" w:type="dxa"/>
            <w:vAlign w:val="bottom"/>
            <w:gridSpan w:val="2"/>
          </w:tcPr>
          <w:p>
            <w:pPr>
              <w:spacing w:after="0"/>
              <w:rPr>
                <w:sz w:val="20"/>
                <w:szCs w:val="20"/>
                <w:color w:val="auto"/>
              </w:rPr>
            </w:pPr>
            <w:r>
              <w:rPr>
                <w:rFonts w:ascii="Courier New" w:cs="Courier New" w:eastAsia="Courier New" w:hAnsi="Courier New"/>
                <w:sz w:val="15"/>
                <w:szCs w:val="15"/>
                <w:color w:val="auto"/>
              </w:rPr>
              <w:t>CASH  FLOWS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980" w:type="dxa"/>
            <w:vAlign w:val="bottom"/>
            <w:gridSpan w:val="5"/>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9"/>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&lt;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c&gt;</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FOR</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  PERIOD</w:t>
            </w: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FROM INCEPTION</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YEAR ENDED</w:t>
            </w:r>
          </w:p>
        </w:tc>
        <w:tc>
          <w:tcPr>
            <w:tcW w:w="25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7"/>
              </w:rPr>
              <w:t>(SEPTEMBER 1997) THROUGH</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DECEMBER 31,</w:t>
            </w:r>
          </w:p>
        </w:tc>
        <w:tc>
          <w:tcPr>
            <w:tcW w:w="256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980" w:type="dxa"/>
            <w:vAlign w:val="bottom"/>
            <w:gridSpan w:val="5"/>
          </w:tcPr>
          <w:p>
            <w:pPr>
              <w:spacing w:after="0"/>
              <w:rPr>
                <w:sz w:val="20"/>
                <w:szCs w:val="20"/>
                <w:color w:val="auto"/>
              </w:rPr>
            </w:pPr>
            <w:r>
              <w:rPr>
                <w:rFonts w:ascii="Courier New" w:cs="Courier New" w:eastAsia="Courier New" w:hAnsi="Courier New"/>
                <w:sz w:val="15"/>
                <w:szCs w:val="15"/>
                <w:color w:val="auto"/>
              </w:rPr>
              <w:t>Cash flow used in operating activities: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Net loss</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$(7,928,000)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$(548,000)</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$(8,476,000)</w:t>
            </w:r>
          </w:p>
        </w:tc>
      </w:tr>
      <w:tr>
        <w:trPr>
          <w:trHeight w:val="170"/>
        </w:trPr>
        <w:tc>
          <w:tcPr>
            <w:tcW w:w="160" w:type="dxa"/>
            <w:vAlign w:val="bottom"/>
          </w:tcPr>
          <w:p>
            <w:pPr>
              <w:spacing w:after="0"/>
              <w:rPr>
                <w:sz w:val="14"/>
                <w:szCs w:val="14"/>
                <w:color w:val="auto"/>
              </w:rPr>
            </w:pPr>
          </w:p>
        </w:tc>
        <w:tc>
          <w:tcPr>
            <w:tcW w:w="4820" w:type="dxa"/>
            <w:vAlign w:val="bottom"/>
            <w:gridSpan w:val="4"/>
          </w:tcPr>
          <w:p>
            <w:pPr>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482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18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Depreciation</w:t>
            </w: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1,657,000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1,659,000</w:t>
            </w:r>
          </w:p>
        </w:tc>
      </w:tr>
      <w:tr>
        <w:trPr>
          <w:trHeight w:val="170"/>
        </w:trPr>
        <w:tc>
          <w:tcPr>
            <w:tcW w:w="160" w:type="dxa"/>
            <w:vAlign w:val="bottom"/>
          </w:tcPr>
          <w:p>
            <w:pPr>
              <w:spacing w:after="0"/>
              <w:rPr>
                <w:sz w:val="14"/>
                <w:szCs w:val="14"/>
                <w:color w:val="auto"/>
              </w:rPr>
            </w:pPr>
          </w:p>
        </w:tc>
        <w:tc>
          <w:tcPr>
            <w:tcW w:w="482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Loss on disposal of property and equipment</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23,000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23,000</w:t>
            </w:r>
          </w:p>
        </w:tc>
      </w:tr>
      <w:tr>
        <w:trPr>
          <w:trHeight w:val="170"/>
        </w:trPr>
        <w:tc>
          <w:tcPr>
            <w:tcW w:w="160" w:type="dxa"/>
            <w:vAlign w:val="bottom"/>
          </w:tcPr>
          <w:p>
            <w:pPr>
              <w:spacing w:after="0"/>
              <w:rPr>
                <w:sz w:val="14"/>
                <w:szCs w:val="14"/>
                <w:color w:val="auto"/>
              </w:rPr>
            </w:pPr>
          </w:p>
        </w:tc>
        <w:tc>
          <w:tcPr>
            <w:tcW w:w="482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Stock-based compensation</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160" w:type="dxa"/>
            <w:vAlign w:val="bottom"/>
          </w:tcPr>
          <w:p>
            <w:pPr>
              <w:spacing w:after="0"/>
              <w:rPr>
                <w:sz w:val="14"/>
                <w:szCs w:val="14"/>
                <w:color w:val="auto"/>
              </w:rPr>
            </w:pPr>
          </w:p>
        </w:tc>
        <w:tc>
          <w:tcPr>
            <w:tcW w:w="482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Changes in assets and liabilities: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482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(319,000)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(85,000)</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(404,000)</w:t>
            </w:r>
          </w:p>
        </w:tc>
      </w:tr>
      <w:tr>
        <w:trPr>
          <w:trHeight w:val="170"/>
        </w:trPr>
        <w:tc>
          <w:tcPr>
            <w:tcW w:w="160" w:type="dxa"/>
            <w:vAlign w:val="bottom"/>
          </w:tcPr>
          <w:p>
            <w:pPr>
              <w:spacing w:after="0"/>
              <w:rPr>
                <w:sz w:val="14"/>
                <w:szCs w:val="14"/>
                <w:color w:val="auto"/>
              </w:rPr>
            </w:pPr>
          </w:p>
        </w:tc>
        <w:tc>
          <w:tcPr>
            <w:tcW w:w="482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239,000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239,000</w:t>
            </w:r>
          </w:p>
        </w:tc>
      </w:tr>
      <w:tr>
        <w:trPr>
          <w:trHeight w:val="170"/>
        </w:trPr>
        <w:tc>
          <w:tcPr>
            <w:tcW w:w="160" w:type="dxa"/>
            <w:vAlign w:val="bottom"/>
          </w:tcPr>
          <w:p>
            <w:pPr>
              <w:spacing w:after="0"/>
              <w:rPr>
                <w:sz w:val="14"/>
                <w:szCs w:val="14"/>
                <w:color w:val="auto"/>
              </w:rPr>
            </w:pPr>
          </w:p>
        </w:tc>
        <w:tc>
          <w:tcPr>
            <w:tcW w:w="482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Accrued liabilities</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244,000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207,000</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451,000</w:t>
            </w:r>
          </w:p>
        </w:tc>
      </w:tr>
      <w:tr>
        <w:trPr>
          <w:trHeight w:val="170"/>
        </w:trPr>
        <w:tc>
          <w:tcPr>
            <w:tcW w:w="160" w:type="dxa"/>
            <w:vAlign w:val="bottom"/>
          </w:tcPr>
          <w:p>
            <w:pPr>
              <w:spacing w:after="0"/>
              <w:rPr>
                <w:sz w:val="14"/>
                <w:szCs w:val="14"/>
                <w:color w:val="auto"/>
              </w:rPr>
            </w:pPr>
          </w:p>
        </w:tc>
        <w:tc>
          <w:tcPr>
            <w:tcW w:w="1820" w:type="dxa"/>
            <w:vAlign w:val="bottom"/>
            <w:gridSpan w:val="3"/>
          </w:tcPr>
          <w:p>
            <w:pPr>
              <w:ind w:left="540"/>
              <w:spacing w:after="0"/>
              <w:rPr>
                <w:sz w:val="20"/>
                <w:szCs w:val="20"/>
                <w:color w:val="auto"/>
              </w:rPr>
            </w:pPr>
            <w:r>
              <w:rPr>
                <w:rFonts w:ascii="Courier New" w:cs="Courier New" w:eastAsia="Courier New" w:hAnsi="Courier New"/>
                <w:sz w:val="15"/>
                <w:szCs w:val="15"/>
                <w:color w:val="auto"/>
                <w:w w:val="99"/>
              </w:rPr>
              <w:t>Due to Members</w:t>
            </w: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132,000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185,000</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317,000</w:t>
            </w:r>
          </w:p>
        </w:tc>
      </w:tr>
      <w:tr>
        <w:trPr>
          <w:trHeight w:val="170"/>
        </w:trPr>
        <w:tc>
          <w:tcPr>
            <w:tcW w:w="160" w:type="dxa"/>
            <w:vAlign w:val="bottom"/>
          </w:tcPr>
          <w:p>
            <w:pPr>
              <w:spacing w:after="0"/>
              <w:rPr>
                <w:sz w:val="14"/>
                <w:szCs w:val="14"/>
                <w:color w:val="auto"/>
              </w:rPr>
            </w:pPr>
          </w:p>
        </w:tc>
        <w:tc>
          <w:tcPr>
            <w:tcW w:w="182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Deposits</w:t>
            </w: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(4,000)</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60" w:type="dxa"/>
            <w:vAlign w:val="bottom"/>
          </w:tcPr>
          <w:p>
            <w:pPr>
              <w:spacing w:after="0"/>
              <w:rPr>
                <w:sz w:val="14"/>
                <w:szCs w:val="14"/>
                <w:color w:val="auto"/>
              </w:rPr>
            </w:pPr>
          </w:p>
        </w:tc>
        <w:tc>
          <w:tcPr>
            <w:tcW w:w="182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Deferred rent</w:t>
            </w: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102,000</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116,000</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Net cash used in operating activities</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(5,926,000)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(141,000)</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(6,067,000)</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4980" w:type="dxa"/>
            <w:vAlign w:val="bottom"/>
            <w:gridSpan w:val="5"/>
          </w:tcPr>
          <w:p>
            <w:pPr>
              <w:spacing w:after="0"/>
              <w:rPr>
                <w:sz w:val="20"/>
                <w:szCs w:val="20"/>
                <w:color w:val="auto"/>
              </w:rPr>
            </w:pPr>
            <w:r>
              <w:rPr>
                <w:rFonts w:ascii="Courier New" w:cs="Courier New" w:eastAsia="Courier New" w:hAnsi="Courier New"/>
                <w:sz w:val="15"/>
                <w:szCs w:val="15"/>
                <w:color w:val="auto"/>
              </w:rPr>
              <w:t>Cash flow used in investing activities for</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60" w:type="dxa"/>
            <w:vAlign w:val="bottom"/>
          </w:tcPr>
          <w:p>
            <w:pPr>
              <w:spacing w:after="0"/>
              <w:rPr>
                <w:sz w:val="14"/>
                <w:szCs w:val="14"/>
                <w:color w:val="auto"/>
              </w:rPr>
            </w:pPr>
          </w:p>
        </w:tc>
        <w:tc>
          <w:tcPr>
            <w:tcW w:w="4820" w:type="dxa"/>
            <w:vAlign w:val="bottom"/>
            <w:gridSpan w:val="4"/>
          </w:tcPr>
          <w:p>
            <w:pPr>
              <w:spacing w:after="0"/>
              <w:rPr>
                <w:sz w:val="20"/>
                <w:szCs w:val="20"/>
                <w:color w:val="auto"/>
              </w:rPr>
            </w:pPr>
            <w:r>
              <w:rPr>
                <w:rFonts w:ascii="Courier New" w:cs="Courier New" w:eastAsia="Courier New" w:hAnsi="Courier New"/>
                <w:sz w:val="15"/>
                <w:szCs w:val="15"/>
                <w:color w:val="auto"/>
              </w:rPr>
              <w:t>Purchases of property and equipment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(1,160,000)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(272,000)</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(1,432,000)</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980" w:type="dxa"/>
            <w:vAlign w:val="bottom"/>
            <w:gridSpan w:val="5"/>
          </w:tcPr>
          <w:p>
            <w:pPr>
              <w:spacing w:after="0"/>
              <w:rPr>
                <w:sz w:val="20"/>
                <w:szCs w:val="20"/>
                <w:color w:val="auto"/>
              </w:rPr>
            </w:pPr>
            <w:r>
              <w:rPr>
                <w:rFonts w:ascii="Courier New" w:cs="Courier New" w:eastAsia="Courier New" w:hAnsi="Courier New"/>
                <w:sz w:val="15"/>
                <w:szCs w:val="15"/>
                <w:color w:val="auto"/>
              </w:rPr>
              <w:t>Cash flow provided by financing activities: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4820" w:type="dxa"/>
            <w:vAlign w:val="bottom"/>
            <w:gridSpan w:val="4"/>
          </w:tcPr>
          <w:p>
            <w:pPr>
              <w:spacing w:after="0"/>
              <w:rPr>
                <w:sz w:val="20"/>
                <w:szCs w:val="20"/>
                <w:color w:val="auto"/>
              </w:rPr>
            </w:pPr>
            <w:r>
              <w:rPr>
                <w:rFonts w:ascii="Courier New" w:cs="Courier New" w:eastAsia="Courier New" w:hAnsi="Courier New"/>
                <w:sz w:val="15"/>
                <w:szCs w:val="15"/>
                <w:color w:val="auto"/>
              </w:rPr>
              <w:t>Proceeds from issuance of Series A Preferred Units</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2,953,000</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13,953,000</w:t>
            </w:r>
          </w:p>
        </w:tc>
      </w:tr>
      <w:tr>
        <w:trPr>
          <w:trHeight w:val="170"/>
        </w:trPr>
        <w:tc>
          <w:tcPr>
            <w:tcW w:w="160" w:type="dxa"/>
            <w:vAlign w:val="bottom"/>
          </w:tcPr>
          <w:p>
            <w:pPr>
              <w:spacing w:after="0"/>
              <w:rPr>
                <w:sz w:val="14"/>
                <w:szCs w:val="14"/>
                <w:color w:val="auto"/>
              </w:rPr>
            </w:pPr>
          </w:p>
        </w:tc>
        <w:tc>
          <w:tcPr>
            <w:tcW w:w="4820" w:type="dxa"/>
            <w:vAlign w:val="bottom"/>
            <w:gridSpan w:val="4"/>
          </w:tcPr>
          <w:p>
            <w:pPr>
              <w:spacing w:after="0"/>
              <w:rPr>
                <w:sz w:val="20"/>
                <w:szCs w:val="20"/>
                <w:color w:val="auto"/>
              </w:rPr>
            </w:pPr>
            <w:r>
              <w:rPr>
                <w:rFonts w:ascii="Courier New" w:cs="Courier New" w:eastAsia="Courier New" w:hAnsi="Courier New"/>
                <w:sz w:val="15"/>
                <w:szCs w:val="15"/>
                <w:color w:val="auto"/>
              </w:rPr>
              <w:t>Proceeds from issuance of Series B Preferred Units</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4,000,000</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10,000,000</w:t>
            </w:r>
          </w:p>
        </w:tc>
      </w:tr>
      <w:tr>
        <w:trPr>
          <w:trHeight w:val="170"/>
        </w:trPr>
        <w:tc>
          <w:tcPr>
            <w:tcW w:w="160" w:type="dxa"/>
            <w:vAlign w:val="bottom"/>
          </w:tcPr>
          <w:p>
            <w:pPr>
              <w:spacing w:after="0"/>
              <w:rPr>
                <w:sz w:val="14"/>
                <w:szCs w:val="14"/>
                <w:color w:val="auto"/>
              </w:rPr>
            </w:pPr>
          </w:p>
        </w:tc>
        <w:tc>
          <w:tcPr>
            <w:tcW w:w="4820" w:type="dxa"/>
            <w:vAlign w:val="bottom"/>
            <w:gridSpan w:val="4"/>
          </w:tcPr>
          <w:p>
            <w:pPr>
              <w:spacing w:after="0"/>
              <w:rPr>
                <w:sz w:val="20"/>
                <w:szCs w:val="20"/>
                <w:color w:val="auto"/>
              </w:rPr>
            </w:pPr>
            <w:r>
              <w:rPr>
                <w:rFonts w:ascii="Courier New" w:cs="Courier New" w:eastAsia="Courier New" w:hAnsi="Courier New"/>
                <w:sz w:val="15"/>
                <w:szCs w:val="15"/>
                <w:color w:val="auto"/>
              </w:rPr>
              <w:t>Proceeds from Member contributions receivable</w:t>
            </w: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17,000,000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17,000,000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6,953,000</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23,953,000</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gridSpan w:val="5"/>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22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9,914,000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6,540,000</w:t>
            </w:r>
          </w:p>
        </w:tc>
        <w:tc>
          <w:tcPr>
            <w:tcW w:w="18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16,454,000</w:t>
            </w:r>
          </w:p>
        </w:tc>
      </w:tr>
      <w:tr>
        <w:trPr>
          <w:trHeight w:val="170"/>
        </w:trPr>
        <w:tc>
          <w:tcPr>
            <w:tcW w:w="4980" w:type="dxa"/>
            <w:vAlign w:val="bottom"/>
            <w:gridSpan w:val="5"/>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6,540,000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gridSpan w:val="5"/>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8"/>
              </w:rPr>
              <w:t>$16,454,000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$6,540,000</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$16,454,000</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gridSpan w:val="5"/>
          </w:tcPr>
          <w:p>
            <w:pPr>
              <w:spacing w:after="0"/>
              <w:rPr>
                <w:sz w:val="20"/>
                <w:szCs w:val="20"/>
                <w:color w:val="auto"/>
              </w:rPr>
            </w:pPr>
            <w:r>
              <w:rPr>
                <w:rFonts w:ascii="Courier New" w:cs="Courier New" w:eastAsia="Courier New" w:hAnsi="Courier New"/>
                <w:sz w:val="15"/>
                <w:szCs w:val="15"/>
                <w:color w:val="auto"/>
                <w:w w:val="98"/>
              </w:rPr>
              <w:t>Supplemental disclosure of noncash financing activities: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60" w:type="dxa"/>
            <w:vAlign w:val="bottom"/>
          </w:tcPr>
          <w:p>
            <w:pPr>
              <w:spacing w:after="0"/>
              <w:rPr>
                <w:sz w:val="14"/>
                <w:szCs w:val="14"/>
                <w:color w:val="auto"/>
              </w:rPr>
            </w:pPr>
          </w:p>
        </w:tc>
        <w:tc>
          <w:tcPr>
            <w:tcW w:w="4820" w:type="dxa"/>
            <w:vAlign w:val="bottom"/>
            <w:gridSpan w:val="4"/>
          </w:tcPr>
          <w:p>
            <w:pPr>
              <w:spacing w:after="0"/>
              <w:rPr>
                <w:sz w:val="20"/>
                <w:szCs w:val="20"/>
                <w:color w:val="auto"/>
              </w:rPr>
            </w:pPr>
            <w:r>
              <w:rPr>
                <w:rFonts w:ascii="Courier New" w:cs="Courier New" w:eastAsia="Courier New" w:hAnsi="Courier New"/>
                <w:sz w:val="15"/>
                <w:szCs w:val="15"/>
                <w:color w:val="auto"/>
              </w:rPr>
              <w:t>Capital contribution of property and equipment</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$1,047,000</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$ 1,047,000</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160" w:type="dxa"/>
            <w:vAlign w:val="bottom"/>
          </w:tcPr>
          <w:p>
            <w:pPr>
              <w:spacing w:after="0"/>
              <w:rPr>
                <w:sz w:val="24"/>
                <w:szCs w:val="24"/>
                <w:color w:val="auto"/>
              </w:rPr>
            </w:pPr>
          </w:p>
        </w:tc>
        <w:tc>
          <w:tcPr>
            <w:tcW w:w="4820" w:type="dxa"/>
            <w:vAlign w:val="bottom"/>
            <w:gridSpan w:val="4"/>
          </w:tcPr>
          <w:p>
            <w:pPr>
              <w:spacing w:after="0"/>
              <w:rPr>
                <w:sz w:val="20"/>
                <w:szCs w:val="20"/>
                <w:color w:val="auto"/>
              </w:rPr>
            </w:pPr>
            <w:r>
              <w:rPr>
                <w:rFonts w:ascii="Courier New" w:cs="Courier New" w:eastAsia="Courier New" w:hAnsi="Courier New"/>
                <w:sz w:val="15"/>
                <w:szCs w:val="15"/>
                <w:color w:val="auto"/>
              </w:rPr>
              <w:t>Construction in-progress funded by a Member</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106,000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$2,199,000</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$ 2,305,000</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160" w:type="dxa"/>
            <w:vAlign w:val="bottom"/>
          </w:tcPr>
          <w:p>
            <w:pPr>
              <w:spacing w:after="0"/>
              <w:rPr>
                <w:sz w:val="24"/>
                <w:szCs w:val="24"/>
                <w:color w:val="auto"/>
              </w:rPr>
            </w:pPr>
          </w:p>
        </w:tc>
        <w:tc>
          <w:tcPr>
            <w:tcW w:w="4820" w:type="dxa"/>
            <w:vAlign w:val="bottom"/>
            <w:gridSpan w:val="4"/>
          </w:tcPr>
          <w:p>
            <w:pPr>
              <w:spacing w:after="0"/>
              <w:rPr>
                <w:sz w:val="20"/>
                <w:szCs w:val="20"/>
                <w:color w:val="auto"/>
              </w:rPr>
            </w:pPr>
            <w:r>
              <w:rPr>
                <w:rFonts w:ascii="Courier New" w:cs="Courier New" w:eastAsia="Courier New" w:hAnsi="Courier New"/>
                <w:sz w:val="15"/>
                <w:szCs w:val="15"/>
                <w:color w:val="auto"/>
              </w:rPr>
              <w:t>Deposit funded by a Member</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   67,000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67,000</w:t>
            </w:r>
          </w:p>
        </w:tc>
      </w:tr>
      <w:tr>
        <w:trPr>
          <w:trHeight w:val="170"/>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622" w:right="1440" w:bottom="1440" w:gutter="0" w:footer="0" w:header="0"/>
        </w:sectPr>
      </w:pPr>
    </w:p>
    <w:bookmarkStart w:id="70" w:name="page71"/>
    <w:bookmarkEnd w:id="70"/>
    <w:p>
      <w:pPr>
        <w:ind w:left="10"/>
        <w:spacing w:after="0"/>
        <w:tabs>
          <w:tab w:leader="none" w:pos="949" w:val="left"/>
        </w:tabs>
        <w:rPr>
          <w:sz w:val="20"/>
          <w:szCs w:val="20"/>
          <w:color w:val="auto"/>
        </w:rPr>
      </w:pPr>
      <w:r>
        <w:rPr>
          <w:rFonts w:ascii="Courier New" w:cs="Courier New" w:eastAsia="Courier New" w:hAnsi="Courier New"/>
          <w:sz w:val="15"/>
          <w:szCs w:val="15"/>
          <w:color w:val="auto"/>
        </w:rPr>
        <w:t>DIADEXUS,</w:t>
        <w:tab/>
        <w:t>LLC</w:t>
      </w:r>
    </w:p>
    <w:p>
      <w:pPr>
        <w:ind w:left="10"/>
        <w:spacing w:after="0"/>
        <w:tabs>
          <w:tab w:leader="none" w:pos="249" w:val="left"/>
          <w:tab w:leader="none" w:pos="1029" w:val="left"/>
          <w:tab w:leader="none" w:pos="2009" w:val="left"/>
        </w:tabs>
        <w:rPr>
          <w:sz w:val="20"/>
          <w:szCs w:val="20"/>
          <w:color w:val="auto"/>
        </w:rPr>
      </w:pPr>
      <w:r>
        <w:rPr>
          <w:rFonts w:ascii="Courier New" w:cs="Courier New" w:eastAsia="Courier New" w:hAnsi="Courier New"/>
          <w:sz w:val="15"/>
          <w:szCs w:val="15"/>
          <w:color w:val="auto"/>
        </w:rPr>
        <w:t>A</w:t>
        <w:tab/>
        <w:t>LIMITED</w:t>
        <w:tab/>
        <w:t>LIABILITY</w:t>
      </w:r>
      <w:r>
        <w:rPr>
          <w:sz w:val="20"/>
          <w:szCs w:val="20"/>
          <w:color w:val="auto"/>
        </w:rPr>
        <w:tab/>
      </w:r>
      <w:r>
        <w:rPr>
          <w:rFonts w:ascii="Courier New" w:cs="Courier New" w:eastAsia="Courier New" w:hAnsi="Courier New"/>
          <w:sz w:val="14"/>
          <w:szCs w:val="14"/>
          <w:color w:val="auto"/>
        </w:rPr>
        <w:t>COMPANY</w:t>
      </w:r>
    </w:p>
    <w:p>
      <w:pPr>
        <w:ind w:left="10"/>
        <w:spacing w:after="0"/>
        <w:tabs>
          <w:tab w:leader="none" w:pos="329" w:val="left"/>
          <w:tab w:leader="none" w:pos="1469" w:val="left"/>
          <w:tab w:leader="none" w:pos="2089" w:val="left"/>
        </w:tabs>
        <w:rPr>
          <w:sz w:val="20"/>
          <w:szCs w:val="20"/>
          <w:color w:val="auto"/>
        </w:rPr>
      </w:pPr>
      <w:r>
        <w:rPr>
          <w:rFonts w:ascii="Courier New" w:cs="Courier New" w:eastAsia="Courier New" w:hAnsi="Courier New"/>
          <w:sz w:val="15"/>
          <w:szCs w:val="15"/>
          <w:color w:val="auto"/>
        </w:rPr>
        <w:t>(A</w:t>
        <w:tab/>
        <w:t>DEVELOPMENT</w:t>
        <w:tab/>
        <w:t>STAGE</w:t>
        <w:tab/>
        <w:t>COMPANY)</w:t>
      </w:r>
    </w:p>
    <w:p>
      <w:pPr>
        <w:ind w:left="10"/>
        <w:spacing w:after="0" w:line="238" w:lineRule="auto"/>
        <w:tabs>
          <w:tab w:leader="none" w:pos="589" w:val="left"/>
          <w:tab w:leader="none" w:pos="949" w:val="left"/>
          <w:tab w:leader="none" w:pos="1909" w:val="left"/>
        </w:tabs>
        <w:rPr>
          <w:sz w:val="20"/>
          <w:szCs w:val="20"/>
          <w:color w:val="auto"/>
        </w:rPr>
      </w:pPr>
      <w:r>
        <w:rPr>
          <w:rFonts w:ascii="Courier New" w:cs="Courier New" w:eastAsia="Courier New" w:hAnsi="Courier New"/>
          <w:sz w:val="15"/>
          <w:szCs w:val="15"/>
          <w:color w:val="auto"/>
        </w:rPr>
        <w:t>NOTES</w:t>
        <w:tab/>
        <w:t>TO</w:t>
        <w:tab/>
        <w:t>FINANCIAL</w:t>
        <w:tab/>
        <w:t>STATEMENTS</w:t>
      </w: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0" w:right="5019" w:hanging="10"/>
        <w:spacing w:after="0" w:line="235" w:lineRule="auto"/>
        <w:tabs>
          <w:tab w:leader="none" w:pos="62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SIGNIFICANT ACCOUNTING POLICIES THE COMPANY</w:t>
      </w:r>
    </w:p>
    <w:p>
      <w:pPr>
        <w:spacing w:after="0" w:line="6" w:lineRule="exact"/>
        <w:rPr>
          <w:rFonts w:ascii="Courier New" w:cs="Courier New" w:eastAsia="Courier New" w:hAnsi="Courier New"/>
          <w:sz w:val="15"/>
          <w:szCs w:val="15"/>
          <w:color w:val="auto"/>
        </w:rPr>
      </w:pPr>
    </w:p>
    <w:p>
      <w:pPr>
        <w:jc w:val="both"/>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diaDexus, LLC (the "Company") was formed in Delaware as a limited liability company ("LLC") in September 1997 for the purpose of discovery and commercialization of novel molecular diagnostic products. The Company's founders and members ("Members") are SmithKline Beecham Corporation ("SmithKline Beecham") and Incyte Pharmaceuticals, Inc. ("Incyte"). The Company is in the development stage at December 31, 1998, devoting substantially all of its efforts to recruiting personnel, financial planning, establishing its facilities, defining its research and product development strategies and conducting research and development.</w:t>
      </w:r>
    </w:p>
    <w:p>
      <w:pPr>
        <w:spacing w:after="0" w:line="179"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In connection with forming the Company, SmithKline Beecham and Incyte entered into several agreements during September 1997, including an Operating Agreement (the "Operating Agreement") and a Master Strategic Relationship Agreement (the "Master Agreement"). The Operating Agreement serves as the Company's by-laws while the Master Agreement documents certain specific matters regarding the operation of the Company. During September 1997, the Company issued 4,400,000 Series A Preferred Units to SmithKline Beecham in exchange for an initial capital contribution of $4.0 million in cash and assets and a contractual commitment for additional cash contributions of $11.0 million, which was received in two installments on April 15 and July 15, 1998. Concurrently, the Company issued 4,400,000 of Series B Preferred Units to Incyte in exchange for an initial capital contribution of $4.0 million in cash and a contractual commitment for additional cash contributions of $6.0 million, which was received in two installments on April 15 and July 15, 1998.</w:t>
      </w:r>
    </w:p>
    <w:p>
      <w:pPr>
        <w:spacing w:after="0" w:line="184"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In addition to the above contributions, SmithKline Beecham has granted the Company various exclusive and non-exclusive rights to develop certain diagnostic tests using genes identified by SmithKline Beecham, including genes identified by SmithKline Beecham from the Human Genome Sciences, Inc. collaboration. SmithKline Beecham has also granted the Company an exclusive license for a number of diagnostic tests which are in late stage clinical validation. Incyte has provided the Company with non-exclusive access to certain of its gene sequence and expression databases for various exclusive and non-exclusive rights to diagnostic applications. The Company will pay royalties to Incyte and Human Genome Sciences, Inc. on the sale of certain products developed using their respective proprietary databases. Both SmithKline Beecham and Incyte have also non-exclusively licensed various additional technologies useful in the diagnostic field to the Company. Non-cash assets received as capital contributions have been recorded in amounts equal to the Members' net book value, which was zero for all the property and rights described above.</w:t>
      </w:r>
    </w:p>
    <w:p>
      <w:pPr>
        <w:spacing w:after="0" w:line="16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The LLC will merge into a C corporation at the earliest of (i) the eighteen month anniversary of the Company's formation (March 1999); (ii) any time after January 1, 1999, if the Company's cash balance falls below $2.0 million, or (iii) the mutual agreement of SmithKline Beecham and Incyte.</w:t>
      </w:r>
    </w:p>
    <w:p>
      <w:pPr>
        <w:spacing w:after="0" w:line="176"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The Company has incurred a loss of $8,476,000 since inception and expects to incur additional losses in 1999. Management believes that the aggregate amount of cash and cash equivalents on hand at December 31, 1998 will provide sufficient working capital to fund the Company's operations through at least December 31, 1999.</w:t>
      </w:r>
    </w:p>
    <w:p>
      <w:pPr>
        <w:sectPr>
          <w:pgSz w:w="11900" w:h="16838" w:orient="portrait"/>
          <w:cols w:equalWidth="0" w:num="1">
            <w:col w:w="10229"/>
          </w:cols>
          <w:pgMar w:left="230" w:top="452" w:right="1440" w:bottom="1440" w:gutter="0" w:footer="0" w:header="0"/>
        </w:sectPr>
      </w:pPr>
    </w:p>
    <w:bookmarkStart w:id="71" w:name="page72"/>
    <w:bookmarkEnd w:id="71"/>
    <w:p>
      <w:pPr>
        <w:spacing w:after="0"/>
        <w:tabs>
          <w:tab w:leader="none" w:pos="940" w:val="left"/>
        </w:tabs>
        <w:rPr>
          <w:sz w:val="20"/>
          <w:szCs w:val="20"/>
          <w:color w:val="auto"/>
        </w:rPr>
      </w:pPr>
      <w:r>
        <w:rPr>
          <w:rFonts w:ascii="Courier New" w:cs="Courier New" w:eastAsia="Courier New" w:hAnsi="Courier New"/>
          <w:sz w:val="15"/>
          <w:szCs w:val="15"/>
          <w:color w:val="auto"/>
        </w:rPr>
        <w:t>DIADEXUS,</w:t>
        <w:tab/>
        <w:t>LLC</w:t>
      </w:r>
    </w:p>
    <w:p>
      <w:pPr>
        <w:spacing w:after="0"/>
        <w:tabs>
          <w:tab w:leader="none" w:pos="240" w:val="left"/>
          <w:tab w:leader="none" w:pos="1020" w:val="left"/>
          <w:tab w:leader="none" w:pos="2000" w:val="left"/>
        </w:tabs>
        <w:rPr>
          <w:sz w:val="20"/>
          <w:szCs w:val="20"/>
          <w:color w:val="auto"/>
        </w:rPr>
      </w:pPr>
      <w:r>
        <w:rPr>
          <w:rFonts w:ascii="Courier New" w:cs="Courier New" w:eastAsia="Courier New" w:hAnsi="Courier New"/>
          <w:sz w:val="15"/>
          <w:szCs w:val="15"/>
          <w:color w:val="auto"/>
        </w:rPr>
        <w:t>A</w:t>
        <w:tab/>
        <w:t>LIMITED</w:t>
        <w:tab/>
        <w:t>LIABILITY</w:t>
      </w:r>
      <w:r>
        <w:rPr>
          <w:sz w:val="20"/>
          <w:szCs w:val="20"/>
          <w:color w:val="auto"/>
        </w:rPr>
        <w:tab/>
      </w:r>
      <w:r>
        <w:rPr>
          <w:rFonts w:ascii="Courier New" w:cs="Courier New" w:eastAsia="Courier New" w:hAnsi="Courier New"/>
          <w:sz w:val="14"/>
          <w:szCs w:val="14"/>
          <w:color w:val="auto"/>
        </w:rPr>
        <w:t>COMPANY</w:t>
      </w:r>
    </w:p>
    <w:p>
      <w:pPr>
        <w:spacing w:after="0"/>
        <w:tabs>
          <w:tab w:leader="none" w:pos="320" w:val="left"/>
          <w:tab w:leader="none" w:pos="1460" w:val="left"/>
          <w:tab w:leader="none" w:pos="2080" w:val="left"/>
        </w:tabs>
        <w:rPr>
          <w:sz w:val="20"/>
          <w:szCs w:val="20"/>
          <w:color w:val="auto"/>
        </w:rPr>
      </w:pPr>
      <w:r>
        <w:rPr>
          <w:rFonts w:ascii="Courier New" w:cs="Courier New" w:eastAsia="Courier New" w:hAnsi="Courier New"/>
          <w:sz w:val="15"/>
          <w:szCs w:val="15"/>
          <w:color w:val="auto"/>
        </w:rPr>
        <w:t>(A</w:t>
        <w:tab/>
        <w:t>DEVELOPMENT</w:t>
        <w:tab/>
        <w:t>STAGE</w:t>
        <w:tab/>
        <w:t>COMPANY)</w:t>
      </w:r>
    </w:p>
    <w:p>
      <w:pPr>
        <w:spacing w:after="0"/>
        <w:tabs>
          <w:tab w:leader="none" w:pos="580" w:val="left"/>
          <w:tab w:leader="none" w:pos="940" w:val="left"/>
          <w:tab w:leader="none" w:pos="1900" w:val="left"/>
          <w:tab w:leader="none" w:pos="2960" w:val="left"/>
        </w:tabs>
        <w:rPr>
          <w:sz w:val="20"/>
          <w:szCs w:val="20"/>
          <w:color w:val="auto"/>
        </w:rPr>
      </w:pPr>
      <w:r>
        <w:rPr>
          <w:rFonts w:ascii="Courier New" w:cs="Courier New" w:eastAsia="Courier New" w:hAnsi="Courier New"/>
          <w:sz w:val="15"/>
          <w:szCs w:val="15"/>
          <w:color w:val="auto"/>
        </w:rPr>
        <w:t>NOTES</w:t>
        <w:tab/>
        <w:t>TO</w:t>
        <w:tab/>
        <w:t>FINANCIAL</w:t>
        <w:tab/>
        <w:t>STATEMENTS</w:t>
      </w:r>
      <w:r>
        <w:rPr>
          <w:sz w:val="20"/>
          <w:szCs w:val="20"/>
          <w:color w:val="auto"/>
        </w:rPr>
        <w:tab/>
      </w:r>
      <w:r>
        <w:rPr>
          <w:rFonts w:ascii="Courier New" w:cs="Courier New" w:eastAsia="Courier New" w:hAnsi="Courier New"/>
          <w:sz w:val="14"/>
          <w:szCs w:val="14"/>
          <w:color w:val="auto"/>
        </w:rPr>
        <w:t>(CONTINUED)</w:t>
      </w:r>
    </w:p>
    <w:p>
      <w:pPr>
        <w:spacing w:after="0"/>
        <w:rPr>
          <w:sz w:val="20"/>
          <w:szCs w:val="20"/>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p>
      <w:pPr>
        <w:spacing w:after="0"/>
        <w:tabs>
          <w:tab w:leader="none" w:pos="500" w:val="left"/>
          <w:tab w:leader="none" w:pos="940" w:val="left"/>
          <w:tab w:leader="none" w:pos="1460" w:val="left"/>
        </w:tabs>
        <w:rPr>
          <w:sz w:val="20"/>
          <w:szCs w:val="20"/>
          <w:color w:val="auto"/>
        </w:rPr>
      </w:pPr>
      <w:r>
        <w:rPr>
          <w:rFonts w:ascii="Courier New" w:cs="Courier New" w:eastAsia="Courier New" w:hAnsi="Courier New"/>
          <w:sz w:val="15"/>
          <w:szCs w:val="15"/>
          <w:color w:val="auto"/>
        </w:rPr>
        <w:t>CASH</w:t>
        <w:tab/>
        <w:t>AND</w:t>
        <w:tab/>
        <w:t>CASH</w:t>
      </w:r>
      <w:r>
        <w:rPr>
          <w:sz w:val="20"/>
          <w:szCs w:val="20"/>
          <w:color w:val="auto"/>
        </w:rPr>
        <w:tab/>
      </w:r>
      <w:r>
        <w:rPr>
          <w:rFonts w:ascii="Courier New" w:cs="Courier New" w:eastAsia="Courier New" w:hAnsi="Courier New"/>
          <w:sz w:val="14"/>
          <w:szCs w:val="14"/>
          <w:color w:val="auto"/>
        </w:rPr>
        <w:t>EQUIVALENTS</w:t>
      </w:r>
    </w:p>
    <w:p>
      <w:pPr>
        <w:spacing w:after="0" w:line="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considers all highly liquid investments with an original maturity of three months or less to be cash equivalents. Cash equivalents at December 31, 1998 consist of a money market investment totaling $16,321,000, the carrying amount of which approximates fair value.</w:t>
      </w:r>
    </w:p>
    <w:p>
      <w:pPr>
        <w:spacing w:after="0" w:line="171" w:lineRule="exact"/>
        <w:rPr>
          <w:sz w:val="20"/>
          <w:szCs w:val="20"/>
          <w:color w:val="auto"/>
        </w:rPr>
      </w:pPr>
    </w:p>
    <w:p>
      <w:pPr>
        <w:spacing w:after="0"/>
        <w:tabs>
          <w:tab w:leader="none" w:pos="1300" w:val="left"/>
          <w:tab w:leader="none" w:pos="1640" w:val="left"/>
          <w:tab w:leader="none" w:pos="2360" w:val="left"/>
        </w:tabs>
        <w:rPr>
          <w:sz w:val="20"/>
          <w:szCs w:val="20"/>
          <w:color w:val="auto"/>
        </w:rPr>
      </w:pPr>
      <w:r>
        <w:rPr>
          <w:rFonts w:ascii="Courier New" w:cs="Courier New" w:eastAsia="Courier New" w:hAnsi="Courier New"/>
          <w:sz w:val="15"/>
          <w:szCs w:val="15"/>
          <w:color w:val="auto"/>
        </w:rPr>
        <w:t>CONCENTRATION</w:t>
        <w:tab/>
        <w:t>OF</w:t>
        <w:tab/>
        <w:t>CREDIT</w:t>
      </w:r>
      <w:r>
        <w:rPr>
          <w:sz w:val="20"/>
          <w:szCs w:val="20"/>
          <w:color w:val="auto"/>
        </w:rPr>
        <w:tab/>
      </w:r>
      <w:r>
        <w:rPr>
          <w:rFonts w:ascii="Courier New" w:cs="Courier New" w:eastAsia="Courier New" w:hAnsi="Courier New"/>
          <w:sz w:val="14"/>
          <w:szCs w:val="14"/>
          <w:color w:val="auto"/>
        </w:rPr>
        <w:t>RISK</w:t>
      </w:r>
    </w:p>
    <w:p>
      <w:pPr>
        <w:spacing w:after="0"/>
        <w:tabs>
          <w:tab w:leader="none" w:pos="940" w:val="left"/>
          <w:tab w:leader="none" w:pos="2080" w:val="left"/>
          <w:tab w:leader="none" w:pos="2620" w:val="left"/>
          <w:tab w:leader="none" w:pos="3760" w:val="left"/>
          <w:tab w:leader="none" w:pos="4560" w:val="left"/>
          <w:tab w:leader="none" w:pos="5000" w:val="left"/>
          <w:tab w:leader="none" w:pos="5780" w:val="left"/>
        </w:tabs>
        <w:rPr>
          <w:sz w:val="20"/>
          <w:szCs w:val="20"/>
          <w:color w:val="auto"/>
        </w:rPr>
      </w:pPr>
      <w:r>
        <w:rPr>
          <w:rFonts w:ascii="Courier New" w:cs="Courier New" w:eastAsia="Courier New" w:hAnsi="Courier New"/>
          <w:sz w:val="15"/>
          <w:szCs w:val="15"/>
          <w:color w:val="auto"/>
        </w:rPr>
        <w:t>Financial</w:t>
        <w:tab/>
        <w:t>instruments</w:t>
        <w:tab/>
        <w:t>that</w:t>
        <w:tab/>
        <w:t>potentially</w:t>
        <w:tab/>
        <w:t>subject</w:t>
        <w:tab/>
        <w:t>the</w:t>
        <w:tab/>
        <w:t>Company</w:t>
      </w:r>
      <w:r>
        <w:rPr>
          <w:sz w:val="20"/>
          <w:szCs w:val="20"/>
          <w:color w:val="auto"/>
        </w:rPr>
        <w:tab/>
      </w:r>
      <w:r>
        <w:rPr>
          <w:rFonts w:ascii="Courier New" w:cs="Courier New" w:eastAsia="Courier New" w:hAnsi="Courier New"/>
          <w:sz w:val="14"/>
          <w:szCs w:val="14"/>
          <w:color w:val="auto"/>
        </w:rPr>
        <w:t>to significant</w:t>
      </w:r>
    </w:p>
    <w:tbl>
      <w:tblPr>
        <w:tblLayout w:type="fixed"/>
        <w:tblInd w:w="0" w:type="dxa"/>
        <w:tblCellMar>
          <w:top w:w="0" w:type="dxa"/>
          <w:left w:w="0" w:type="dxa"/>
          <w:bottom w:w="0" w:type="dxa"/>
          <w:right w:w="0" w:type="dxa"/>
        </w:tblCellMar>
      </w:tblPr>
      <w:tr>
        <w:trPr>
          <w:trHeight w:val="169"/>
        </w:trPr>
        <w:tc>
          <w:tcPr>
            <w:tcW w:w="1220" w:type="dxa"/>
            <w:vAlign w:val="bottom"/>
            <w:gridSpan w:val="5"/>
          </w:tcPr>
          <w:p>
            <w:pPr>
              <w:spacing w:after="0"/>
              <w:rPr>
                <w:sz w:val="20"/>
                <w:szCs w:val="20"/>
                <w:color w:val="auto"/>
              </w:rPr>
            </w:pPr>
            <w:r>
              <w:rPr>
                <w:rFonts w:ascii="Courier New" w:cs="Courier New" w:eastAsia="Courier New" w:hAnsi="Courier New"/>
                <w:sz w:val="15"/>
                <w:szCs w:val="15"/>
                <w:color w:val="auto"/>
                <w:w w:val="95"/>
              </w:rPr>
              <w:t>concentrations</w:t>
            </w:r>
          </w:p>
        </w:tc>
        <w:tc>
          <w:tcPr>
            <w:tcW w:w="582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of credit risk consist principally of cash and cash equivalents.</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6700" w:type="dxa"/>
            <w:vAlign w:val="bottom"/>
            <w:gridSpan w:val="18"/>
          </w:tcPr>
          <w:p>
            <w:pPr>
              <w:ind w:left="100"/>
              <w:spacing w:after="0"/>
              <w:rPr>
                <w:sz w:val="20"/>
                <w:szCs w:val="20"/>
                <w:color w:val="auto"/>
              </w:rPr>
            </w:pPr>
            <w:r>
              <w:rPr>
                <w:rFonts w:ascii="Courier New" w:cs="Courier New" w:eastAsia="Courier New" w:hAnsi="Courier New"/>
                <w:sz w:val="15"/>
                <w:szCs w:val="15"/>
                <w:color w:val="auto"/>
                <w:w w:val="97"/>
              </w:rPr>
              <w:t>Company maintains its cash and cash equivalents in a money market fund with</w:t>
            </w:r>
          </w:p>
        </w:tc>
      </w:tr>
      <w:tr>
        <w:trPr>
          <w:trHeight w:val="170"/>
        </w:trPr>
        <w:tc>
          <w:tcPr>
            <w:tcW w:w="4360" w:type="dxa"/>
            <w:vAlign w:val="bottom"/>
            <w:gridSpan w:val="14"/>
          </w:tcPr>
          <w:p>
            <w:pPr>
              <w:spacing w:after="0"/>
              <w:rPr>
                <w:sz w:val="20"/>
                <w:szCs w:val="20"/>
                <w:color w:val="auto"/>
              </w:rPr>
            </w:pPr>
            <w:r>
              <w:rPr>
                <w:rFonts w:ascii="Courier New" w:cs="Courier New" w:eastAsia="Courier New" w:hAnsi="Courier New"/>
                <w:sz w:val="15"/>
                <w:szCs w:val="15"/>
                <w:color w:val="auto"/>
              </w:rPr>
              <w:t>a  high-credit  quality  financial  institution.</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9"/>
        </w:trPr>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rPr>
              <w:t>PROPERTY</w:t>
            </w:r>
          </w:p>
        </w:tc>
        <w:tc>
          <w:tcPr>
            <w:tcW w:w="100" w:type="dxa"/>
            <w:vAlign w:val="bottom"/>
          </w:tcPr>
          <w:p>
            <w:pPr>
              <w:spacing w:after="0"/>
              <w:rPr>
                <w:sz w:val="24"/>
                <w:szCs w:val="2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AND</w:t>
            </w:r>
          </w:p>
        </w:tc>
        <w:tc>
          <w:tcPr>
            <w:tcW w:w="10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EQUIPMENT</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rPr>
              <w:t>Property</w:t>
            </w:r>
          </w:p>
        </w:tc>
        <w:tc>
          <w:tcPr>
            <w:tcW w:w="100" w:type="dxa"/>
            <w:vAlign w:val="bottom"/>
          </w:tcPr>
          <w:p>
            <w:pPr>
              <w:spacing w:after="0"/>
              <w:rPr>
                <w:sz w:val="14"/>
                <w:szCs w:val="1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and</w:t>
            </w:r>
          </w:p>
        </w:tc>
        <w:tc>
          <w:tcPr>
            <w:tcW w:w="10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equipment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are</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stated</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at</w:t>
            </w:r>
          </w:p>
        </w:tc>
        <w:tc>
          <w:tcPr>
            <w:tcW w:w="34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the  Company's cost, less accumulated</w:t>
            </w:r>
          </w:p>
        </w:tc>
      </w:tr>
      <w:tr>
        <w:trPr>
          <w:trHeight w:val="170"/>
        </w:trPr>
        <w:tc>
          <w:tcPr>
            <w:tcW w:w="1220" w:type="dxa"/>
            <w:vAlign w:val="bottom"/>
            <w:gridSpan w:val="5"/>
          </w:tcPr>
          <w:p>
            <w:pPr>
              <w:spacing w:after="0"/>
              <w:rPr>
                <w:sz w:val="20"/>
                <w:szCs w:val="20"/>
                <w:color w:val="auto"/>
              </w:rPr>
            </w:pPr>
            <w:r>
              <w:rPr>
                <w:rFonts w:ascii="Courier New" w:cs="Courier New" w:eastAsia="Courier New" w:hAnsi="Courier New"/>
                <w:sz w:val="15"/>
                <w:szCs w:val="15"/>
                <w:color w:val="auto"/>
              </w:rPr>
              <w:t>depreciation.</w:t>
            </w:r>
          </w:p>
        </w:tc>
        <w:tc>
          <w:tcPr>
            <w:tcW w:w="7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Assets</w:t>
            </w:r>
          </w:p>
        </w:tc>
        <w:tc>
          <w:tcPr>
            <w:tcW w:w="1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rPr>
              <w:t>contributed</w:t>
            </w:r>
          </w:p>
        </w:tc>
        <w:tc>
          <w:tcPr>
            <w:tcW w:w="396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by the Members are recorded at amounts equal</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the</w:t>
            </w:r>
          </w:p>
        </w:tc>
        <w:tc>
          <w:tcPr>
            <w:tcW w:w="180" w:type="dxa"/>
            <w:vAlign w:val="bottom"/>
          </w:tcPr>
          <w:p>
            <w:pPr>
              <w:spacing w:after="0"/>
              <w:rPr>
                <w:sz w:val="14"/>
                <w:szCs w:val="14"/>
                <w:color w:val="auto"/>
              </w:rPr>
            </w:pPr>
          </w:p>
        </w:tc>
        <w:tc>
          <w:tcPr>
            <w:tcW w:w="800" w:type="dxa"/>
            <w:vAlign w:val="bottom"/>
            <w:gridSpan w:val="3"/>
          </w:tcPr>
          <w:p>
            <w:pPr>
              <w:jc w:val="center"/>
              <w:ind w:right="27"/>
              <w:spacing w:after="0"/>
              <w:rPr>
                <w:sz w:val="20"/>
                <w:szCs w:val="20"/>
                <w:color w:val="auto"/>
              </w:rPr>
            </w:pPr>
            <w:r>
              <w:rPr>
                <w:rFonts w:ascii="Courier New" w:cs="Courier New" w:eastAsia="Courier New" w:hAnsi="Courier New"/>
                <w:sz w:val="15"/>
                <w:szCs w:val="15"/>
                <w:color w:val="auto"/>
                <w:w w:val="97"/>
              </w:rPr>
              <w:t>Members'</w:t>
            </w:r>
          </w:p>
        </w:tc>
        <w:tc>
          <w:tcPr>
            <w:tcW w:w="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88"/>
              </w:rPr>
              <w:t>net</w:t>
            </w:r>
          </w:p>
        </w:tc>
        <w:tc>
          <w:tcPr>
            <w:tcW w:w="2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book</w:t>
            </w: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2"/>
              </w:rPr>
              <w:t>value.</w:t>
            </w:r>
          </w:p>
        </w:tc>
        <w:tc>
          <w:tcPr>
            <w:tcW w:w="180" w:type="dxa"/>
            <w:vAlign w:val="bottom"/>
          </w:tcPr>
          <w:p>
            <w:pPr>
              <w:spacing w:after="0"/>
              <w:rPr>
                <w:sz w:val="14"/>
                <w:szCs w:val="14"/>
                <w:color w:val="auto"/>
              </w:rPr>
            </w:pP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Depreciation</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is</w:t>
            </w:r>
          </w:p>
        </w:tc>
        <w:tc>
          <w:tcPr>
            <w:tcW w:w="8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computed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using  the</w:t>
            </w:r>
          </w:p>
        </w:tc>
      </w:tr>
      <w:tr>
        <w:trPr>
          <w:trHeight w:val="170"/>
        </w:trPr>
        <w:tc>
          <w:tcPr>
            <w:tcW w:w="1220" w:type="dxa"/>
            <w:vAlign w:val="bottom"/>
            <w:gridSpan w:val="5"/>
          </w:tcPr>
          <w:p>
            <w:pPr>
              <w:spacing w:after="0"/>
              <w:rPr>
                <w:sz w:val="20"/>
                <w:szCs w:val="20"/>
                <w:color w:val="auto"/>
              </w:rPr>
            </w:pPr>
            <w:r>
              <w:rPr>
                <w:rFonts w:ascii="Courier New" w:cs="Courier New" w:eastAsia="Courier New" w:hAnsi="Courier New"/>
                <w:sz w:val="15"/>
                <w:szCs w:val="15"/>
                <w:color w:val="auto"/>
              </w:rPr>
              <w:t>straight-line</w:t>
            </w:r>
          </w:p>
        </w:tc>
        <w:tc>
          <w:tcPr>
            <w:tcW w:w="7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method</w:t>
            </w:r>
          </w:p>
        </w:tc>
        <w:tc>
          <w:tcPr>
            <w:tcW w:w="100" w:type="dxa"/>
            <w:vAlign w:val="bottom"/>
          </w:tcPr>
          <w:p>
            <w:pPr>
              <w:spacing w:after="0"/>
              <w:rPr>
                <w:sz w:val="14"/>
                <w:szCs w:val="14"/>
                <w:color w:val="auto"/>
              </w:rPr>
            </w:pPr>
          </w:p>
        </w:tc>
        <w:tc>
          <w:tcPr>
            <w:tcW w:w="5020" w:type="dxa"/>
            <w:vAlign w:val="bottom"/>
            <w:gridSpan w:val="11"/>
          </w:tcPr>
          <w:p>
            <w:pPr>
              <w:jc w:val="right"/>
              <w:spacing w:after="0"/>
              <w:rPr>
                <w:sz w:val="20"/>
                <w:szCs w:val="20"/>
                <w:color w:val="auto"/>
              </w:rPr>
            </w:pPr>
            <w:r>
              <w:rPr>
                <w:rFonts w:ascii="Courier New" w:cs="Courier New" w:eastAsia="Courier New" w:hAnsi="Courier New"/>
                <w:sz w:val="15"/>
                <w:szCs w:val="15"/>
                <w:color w:val="auto"/>
                <w:w w:val="97"/>
              </w:rPr>
              <w:t>over  the estimated remaining useful lives of the assets,</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which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is</w:t>
            </w:r>
          </w:p>
        </w:tc>
        <w:tc>
          <w:tcPr>
            <w:tcW w:w="100" w:type="dxa"/>
            <w:vAlign w:val="bottom"/>
          </w:tcPr>
          <w:p>
            <w:pPr>
              <w:spacing w:after="0"/>
              <w:rPr>
                <w:sz w:val="14"/>
                <w:szCs w:val="14"/>
                <w:color w:val="auto"/>
              </w:rPr>
            </w:pPr>
          </w:p>
        </w:tc>
        <w:tc>
          <w:tcPr>
            <w:tcW w:w="2720" w:type="dxa"/>
            <w:vAlign w:val="bottom"/>
            <w:gridSpan w:val="9"/>
          </w:tcPr>
          <w:p>
            <w:pPr>
              <w:ind w:left="80"/>
              <w:spacing w:after="0"/>
              <w:rPr>
                <w:sz w:val="20"/>
                <w:szCs w:val="20"/>
                <w:color w:val="auto"/>
              </w:rPr>
            </w:pPr>
            <w:r>
              <w:rPr>
                <w:rFonts w:ascii="Courier New" w:cs="Courier New" w:eastAsia="Courier New" w:hAnsi="Courier New"/>
                <w:sz w:val="15"/>
                <w:szCs w:val="15"/>
                <w:color w:val="auto"/>
              </w:rPr>
              <w:t>generally one to three years.</w:t>
            </w:r>
          </w:p>
        </w:tc>
        <w:tc>
          <w:tcPr>
            <w:tcW w:w="34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Leasehold improvements are depreciated</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over</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w:t>
            </w:r>
          </w:p>
        </w:tc>
        <w:tc>
          <w:tcPr>
            <w:tcW w:w="1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shorter</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00" w:type="dxa"/>
            <w:vAlign w:val="bottom"/>
          </w:tcPr>
          <w:p>
            <w:pPr>
              <w:spacing w:after="0"/>
              <w:rPr>
                <w:sz w:val="14"/>
                <w:szCs w:val="14"/>
                <w:color w:val="auto"/>
              </w:rPr>
            </w:pPr>
          </w:p>
        </w:tc>
        <w:tc>
          <w:tcPr>
            <w:tcW w:w="5020" w:type="dxa"/>
            <w:vAlign w:val="bottom"/>
            <w:gridSpan w:val="11"/>
          </w:tcPr>
          <w:p>
            <w:pPr>
              <w:ind w:left="80"/>
              <w:spacing w:after="0"/>
              <w:rPr>
                <w:sz w:val="20"/>
                <w:szCs w:val="20"/>
                <w:color w:val="auto"/>
              </w:rPr>
            </w:pPr>
            <w:r>
              <w:rPr>
                <w:rFonts w:ascii="Courier New" w:cs="Courier New" w:eastAsia="Courier New" w:hAnsi="Courier New"/>
                <w:sz w:val="15"/>
                <w:szCs w:val="15"/>
                <w:color w:val="auto"/>
              </w:rPr>
              <w:t>their  useful  lives  or  the  term  of  the  lease.</w:t>
            </w:r>
          </w:p>
        </w:tc>
      </w:tr>
      <w:tr>
        <w:trPr>
          <w:trHeight w:val="339"/>
        </w:trPr>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rPr>
              <w:t>RESEARCH</w:t>
            </w:r>
          </w:p>
        </w:tc>
        <w:tc>
          <w:tcPr>
            <w:tcW w:w="100" w:type="dxa"/>
            <w:vAlign w:val="bottom"/>
          </w:tcPr>
          <w:p>
            <w:pPr>
              <w:spacing w:after="0"/>
              <w:rPr>
                <w:sz w:val="24"/>
                <w:szCs w:val="2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AND</w:t>
            </w:r>
          </w:p>
        </w:tc>
        <w:tc>
          <w:tcPr>
            <w:tcW w:w="106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4"/>
              </w:rPr>
              <w:t>DEVELOPMENT</w:t>
            </w:r>
          </w:p>
        </w:tc>
        <w:tc>
          <w:tcPr>
            <w:tcW w:w="1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rPr>
              <w:t>Research</w:t>
            </w:r>
          </w:p>
        </w:tc>
        <w:tc>
          <w:tcPr>
            <w:tcW w:w="100" w:type="dxa"/>
            <w:vAlign w:val="bottom"/>
          </w:tcPr>
          <w:p>
            <w:pPr>
              <w:spacing w:after="0"/>
              <w:rPr>
                <w:sz w:val="14"/>
                <w:szCs w:val="1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and</w:t>
            </w:r>
          </w:p>
        </w:tc>
        <w:tc>
          <w:tcPr>
            <w:tcW w:w="4360" w:type="dxa"/>
            <w:vAlign w:val="bottom"/>
            <w:gridSpan w:val="12"/>
          </w:tcPr>
          <w:p>
            <w:pPr>
              <w:ind w:left="100"/>
              <w:spacing w:after="0"/>
              <w:rPr>
                <w:sz w:val="20"/>
                <w:szCs w:val="20"/>
                <w:color w:val="auto"/>
              </w:rPr>
            </w:pPr>
            <w:r>
              <w:rPr>
                <w:rFonts w:ascii="Courier New" w:cs="Courier New" w:eastAsia="Courier New" w:hAnsi="Courier New"/>
                <w:sz w:val="15"/>
                <w:szCs w:val="15"/>
                <w:color w:val="auto"/>
                <w:w w:val="98"/>
              </w:rPr>
              <w:t>development  costs  are  expensed  as  incurred.</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9"/>
        </w:trPr>
        <w:tc>
          <w:tcPr>
            <w:tcW w:w="1220" w:type="dxa"/>
            <w:vAlign w:val="bottom"/>
            <w:gridSpan w:val="5"/>
          </w:tcPr>
          <w:p>
            <w:pPr>
              <w:spacing w:after="0"/>
              <w:rPr>
                <w:sz w:val="20"/>
                <w:szCs w:val="20"/>
                <w:color w:val="auto"/>
              </w:rPr>
            </w:pPr>
            <w:r>
              <w:rPr>
                <w:rFonts w:ascii="Courier New" w:cs="Courier New" w:eastAsia="Courier New" w:hAnsi="Courier New"/>
                <w:sz w:val="15"/>
                <w:szCs w:val="15"/>
                <w:color w:val="auto"/>
              </w:rPr>
              <w:t>EQUITY-BASED</w:t>
            </w:r>
          </w:p>
        </w:tc>
        <w:tc>
          <w:tcPr>
            <w:tcW w:w="1060" w:type="dxa"/>
            <w:vAlign w:val="bottom"/>
            <w:gridSpan w:val="4"/>
          </w:tcPr>
          <w:p>
            <w:pPr>
              <w:spacing w:after="0"/>
              <w:rPr>
                <w:sz w:val="20"/>
                <w:szCs w:val="20"/>
                <w:color w:val="auto"/>
              </w:rPr>
            </w:pPr>
            <w:r>
              <w:rPr>
                <w:rFonts w:ascii="Courier New" w:cs="Courier New" w:eastAsia="Courier New" w:hAnsi="Courier New"/>
                <w:sz w:val="15"/>
                <w:szCs w:val="15"/>
                <w:color w:val="auto"/>
                <w:w w:val="96"/>
              </w:rPr>
              <w:t>COMPENSATION</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8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Company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has</w:t>
            </w:r>
          </w:p>
        </w:tc>
        <w:tc>
          <w:tcPr>
            <w:tcW w:w="546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9"/>
              </w:rPr>
              <w:t>adopted the pro forma disclosure requirements of Statement of</w:t>
            </w:r>
          </w:p>
        </w:tc>
      </w:tr>
      <w:tr>
        <w:trPr>
          <w:trHeight w:val="170"/>
        </w:trPr>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w w:val="93"/>
              </w:rPr>
              <w:t>Financial</w:t>
            </w:r>
          </w:p>
        </w:tc>
        <w:tc>
          <w:tcPr>
            <w:tcW w:w="10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Accounting</w:t>
            </w:r>
          </w:p>
        </w:tc>
        <w:tc>
          <w:tcPr>
            <w:tcW w:w="100" w:type="dxa"/>
            <w:vAlign w:val="bottom"/>
          </w:tcPr>
          <w:p>
            <w:pPr>
              <w:spacing w:after="0"/>
              <w:rPr>
                <w:sz w:val="14"/>
                <w:szCs w:val="14"/>
                <w:color w:val="auto"/>
              </w:rPr>
            </w:pPr>
          </w:p>
        </w:tc>
        <w:tc>
          <w:tcPr>
            <w:tcW w:w="10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Standards</w:t>
            </w:r>
          </w:p>
        </w:tc>
        <w:tc>
          <w:tcPr>
            <w:tcW w:w="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w:t>
            </w:r>
          </w:p>
        </w:tc>
        <w:tc>
          <w:tcPr>
            <w:tcW w:w="1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"Accounting</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rPr>
              <w:t>for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Stock-Based</w:t>
            </w:r>
          </w:p>
        </w:tc>
      </w:tr>
      <w:tr>
        <w:trPr>
          <w:trHeight w:val="170"/>
        </w:trPr>
        <w:tc>
          <w:tcPr>
            <w:tcW w:w="1220" w:type="dxa"/>
            <w:vAlign w:val="bottom"/>
            <w:gridSpan w:val="5"/>
          </w:tcPr>
          <w:p>
            <w:pPr>
              <w:spacing w:after="0"/>
              <w:rPr>
                <w:sz w:val="20"/>
                <w:szCs w:val="20"/>
                <w:color w:val="auto"/>
              </w:rPr>
            </w:pPr>
            <w:r>
              <w:rPr>
                <w:rFonts w:ascii="Courier New" w:cs="Courier New" w:eastAsia="Courier New" w:hAnsi="Courier New"/>
                <w:sz w:val="15"/>
                <w:szCs w:val="15"/>
                <w:color w:val="auto"/>
              </w:rPr>
              <w:t>Compensation"</w:t>
            </w:r>
          </w:p>
        </w:tc>
        <w:tc>
          <w:tcPr>
            <w:tcW w:w="7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("SFAS</w:t>
            </w: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123").</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As</w:t>
            </w:r>
          </w:p>
        </w:tc>
        <w:tc>
          <w:tcPr>
            <w:tcW w:w="396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7"/>
              </w:rPr>
              <w:t>permitted, the Company continues to recognize</w:t>
            </w:r>
          </w:p>
        </w:tc>
      </w:tr>
      <w:tr>
        <w:trPr>
          <w:trHeight w:val="170"/>
        </w:trPr>
        <w:tc>
          <w:tcPr>
            <w:tcW w:w="1220" w:type="dxa"/>
            <w:vAlign w:val="bottom"/>
            <w:gridSpan w:val="5"/>
          </w:tcPr>
          <w:p>
            <w:pPr>
              <w:spacing w:after="0"/>
              <w:rPr>
                <w:sz w:val="20"/>
                <w:szCs w:val="20"/>
                <w:color w:val="auto"/>
              </w:rPr>
            </w:pPr>
            <w:r>
              <w:rPr>
                <w:rFonts w:ascii="Courier New" w:cs="Courier New" w:eastAsia="Courier New" w:hAnsi="Courier New"/>
                <w:sz w:val="15"/>
                <w:szCs w:val="15"/>
                <w:color w:val="auto"/>
              </w:rPr>
              <w:t>equity-based</w:t>
            </w:r>
          </w:p>
        </w:tc>
        <w:tc>
          <w:tcPr>
            <w:tcW w:w="1060" w:type="dxa"/>
            <w:vAlign w:val="bottom"/>
            <w:gridSpan w:val="4"/>
          </w:tcPr>
          <w:p>
            <w:pPr>
              <w:spacing w:after="0"/>
              <w:rPr>
                <w:sz w:val="20"/>
                <w:szCs w:val="20"/>
                <w:color w:val="auto"/>
              </w:rPr>
            </w:pPr>
            <w:r>
              <w:rPr>
                <w:rFonts w:ascii="Courier New" w:cs="Courier New" w:eastAsia="Courier New" w:hAnsi="Courier New"/>
                <w:sz w:val="15"/>
                <w:szCs w:val="15"/>
                <w:color w:val="auto"/>
                <w:w w:val="96"/>
              </w:rPr>
              <w:t>compensation</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under</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intrinsic</w:t>
            </w:r>
          </w:p>
        </w:tc>
        <w:tc>
          <w:tcPr>
            <w:tcW w:w="26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value method of accounting as</w:t>
            </w:r>
          </w:p>
        </w:tc>
      </w:tr>
      <w:tr>
        <w:trPr>
          <w:trHeight w:val="170"/>
        </w:trPr>
        <w:tc>
          <w:tcPr>
            <w:tcW w:w="880" w:type="dxa"/>
            <w:vAlign w:val="bottom"/>
            <w:gridSpan w:val="4"/>
          </w:tcPr>
          <w:p>
            <w:pPr>
              <w:spacing w:after="0"/>
              <w:rPr>
                <w:sz w:val="20"/>
                <w:szCs w:val="20"/>
                <w:color w:val="auto"/>
              </w:rPr>
            </w:pPr>
            <w:r>
              <w:rPr>
                <w:rFonts w:ascii="Courier New" w:cs="Courier New" w:eastAsia="Courier New" w:hAnsi="Courier New"/>
                <w:sz w:val="15"/>
                <w:szCs w:val="15"/>
                <w:color w:val="auto"/>
                <w:w w:val="95"/>
              </w:rPr>
              <w:t>prescribed</w:t>
            </w:r>
          </w:p>
        </w:tc>
        <w:tc>
          <w:tcPr>
            <w:tcW w:w="3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by</w:t>
            </w:r>
          </w:p>
        </w:tc>
        <w:tc>
          <w:tcPr>
            <w:tcW w:w="3980" w:type="dxa"/>
            <w:vAlign w:val="bottom"/>
            <w:gridSpan w:val="11"/>
          </w:tcPr>
          <w:p>
            <w:pPr>
              <w:ind w:left="100"/>
              <w:spacing w:after="0"/>
              <w:rPr>
                <w:sz w:val="20"/>
                <w:szCs w:val="20"/>
                <w:color w:val="auto"/>
              </w:rPr>
            </w:pPr>
            <w:r>
              <w:rPr>
                <w:rFonts w:ascii="Courier New" w:cs="Courier New" w:eastAsia="Courier New" w:hAnsi="Courier New"/>
                <w:sz w:val="15"/>
                <w:szCs w:val="15"/>
                <w:color w:val="auto"/>
                <w:w w:val="99"/>
              </w:rPr>
              <w:t>Accounting Principles Board Opinion No. 25.</w:t>
            </w: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pro forma effect</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880" w:type="dxa"/>
            <w:vAlign w:val="bottom"/>
            <w:gridSpan w:val="4"/>
          </w:tcPr>
          <w:p>
            <w:pPr>
              <w:spacing w:after="0"/>
              <w:rPr>
                <w:sz w:val="20"/>
                <w:szCs w:val="20"/>
                <w:color w:val="auto"/>
              </w:rPr>
            </w:pPr>
            <w:r>
              <w:rPr>
                <w:rFonts w:ascii="Courier New" w:cs="Courier New" w:eastAsia="Courier New" w:hAnsi="Courier New"/>
                <w:sz w:val="15"/>
                <w:szCs w:val="15"/>
                <w:color w:val="auto"/>
              </w:rPr>
              <w:t>applying</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SFAS</w:t>
            </w:r>
          </w:p>
        </w:tc>
        <w:tc>
          <w:tcPr>
            <w:tcW w:w="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88"/>
              </w:rPr>
              <w:t>123</w:t>
            </w:r>
          </w:p>
        </w:tc>
        <w:tc>
          <w:tcPr>
            <w:tcW w:w="158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is described in</w:t>
            </w:r>
          </w:p>
        </w:tc>
        <w:tc>
          <w:tcPr>
            <w:tcW w:w="34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Note 6 to the financial statements. The</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w w:val="91"/>
              </w:rPr>
              <w:t>Company</w:t>
            </w:r>
          </w:p>
        </w:tc>
        <w:tc>
          <w:tcPr>
            <w:tcW w:w="180" w:type="dxa"/>
            <w:vAlign w:val="bottom"/>
          </w:tcPr>
          <w:p>
            <w:pPr>
              <w:spacing w:after="0"/>
              <w:rPr>
                <w:sz w:val="14"/>
                <w:szCs w:val="14"/>
                <w:color w:val="auto"/>
              </w:rPr>
            </w:pPr>
          </w:p>
        </w:tc>
        <w:tc>
          <w:tcPr>
            <w:tcW w:w="800" w:type="dxa"/>
            <w:vAlign w:val="bottom"/>
            <w:gridSpan w:val="3"/>
          </w:tcPr>
          <w:p>
            <w:pPr>
              <w:jc w:val="center"/>
              <w:ind w:right="27"/>
              <w:spacing w:after="0"/>
              <w:rPr>
                <w:sz w:val="20"/>
                <w:szCs w:val="20"/>
                <w:color w:val="auto"/>
              </w:rPr>
            </w:pPr>
            <w:r>
              <w:rPr>
                <w:rFonts w:ascii="Courier New" w:cs="Courier New" w:eastAsia="Courier New" w:hAnsi="Courier New"/>
                <w:sz w:val="15"/>
                <w:szCs w:val="15"/>
                <w:color w:val="auto"/>
                <w:w w:val="97"/>
              </w:rPr>
              <w:t>accounts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for</w:t>
            </w:r>
          </w:p>
        </w:tc>
        <w:tc>
          <w:tcPr>
            <w:tcW w:w="1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options</w:t>
            </w: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2"/>
              </w:rPr>
              <w:t>issued</w:t>
            </w:r>
          </w:p>
        </w:tc>
        <w:tc>
          <w:tcPr>
            <w:tcW w:w="180" w:type="dxa"/>
            <w:vAlign w:val="bottom"/>
          </w:tcPr>
          <w:p>
            <w:pPr>
              <w:spacing w:after="0"/>
              <w:rPr>
                <w:sz w:val="14"/>
                <w:szCs w:val="14"/>
                <w:color w:val="auto"/>
              </w:rPr>
            </w:pPr>
          </w:p>
        </w:tc>
        <w:tc>
          <w:tcPr>
            <w:tcW w:w="34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to non-employees in accordance with the</w:t>
            </w:r>
          </w:p>
        </w:tc>
      </w:tr>
      <w:tr>
        <w:trPr>
          <w:trHeight w:val="170"/>
        </w:trPr>
        <w:tc>
          <w:tcPr>
            <w:tcW w:w="880" w:type="dxa"/>
            <w:vAlign w:val="bottom"/>
            <w:gridSpan w:val="4"/>
          </w:tcPr>
          <w:p>
            <w:pPr>
              <w:spacing w:after="0"/>
              <w:rPr>
                <w:sz w:val="20"/>
                <w:szCs w:val="20"/>
                <w:color w:val="auto"/>
              </w:rPr>
            </w:pPr>
            <w:r>
              <w:rPr>
                <w:rFonts w:ascii="Courier New" w:cs="Courier New" w:eastAsia="Courier New" w:hAnsi="Courier New"/>
                <w:sz w:val="15"/>
                <w:szCs w:val="15"/>
                <w:color w:val="auto"/>
                <w:w w:val="95"/>
              </w:rPr>
              <w:t>provisions</w:t>
            </w:r>
          </w:p>
        </w:tc>
        <w:tc>
          <w:tcPr>
            <w:tcW w:w="3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of</w:t>
            </w:r>
          </w:p>
        </w:tc>
        <w:tc>
          <w:tcPr>
            <w:tcW w:w="7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SFAS</w:t>
            </w:r>
          </w:p>
        </w:tc>
        <w:tc>
          <w:tcPr>
            <w:tcW w:w="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123.</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9"/>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INCOME</w:t>
            </w:r>
          </w:p>
        </w:tc>
        <w:tc>
          <w:tcPr>
            <w:tcW w:w="6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TAXES</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No</w:t>
            </w:r>
          </w:p>
        </w:tc>
        <w:tc>
          <w:tcPr>
            <w:tcW w:w="8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6"/>
              </w:rPr>
              <w:t>provision</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or</w:t>
            </w:r>
          </w:p>
        </w:tc>
        <w:tc>
          <w:tcPr>
            <w:tcW w:w="546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9"/>
              </w:rPr>
              <w:t>benefit for federal and state income taxes is reported in the</w:t>
            </w:r>
          </w:p>
        </w:tc>
      </w:tr>
      <w:tr>
        <w:trPr>
          <w:trHeight w:val="170"/>
        </w:trPr>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w w:val="93"/>
              </w:rPr>
              <w:t>financial</w:t>
            </w:r>
          </w:p>
        </w:tc>
        <w:tc>
          <w:tcPr>
            <w:tcW w:w="10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statements</w:t>
            </w:r>
          </w:p>
        </w:tc>
        <w:tc>
          <w:tcPr>
            <w:tcW w:w="10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rPr>
              <w:t>as</w:t>
            </w:r>
          </w:p>
        </w:tc>
        <w:tc>
          <w:tcPr>
            <w:tcW w:w="476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9"/>
              </w:rPr>
              <w:t>the Company has elected to be taxed as a partnership.</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6700" w:type="dxa"/>
            <w:vAlign w:val="bottom"/>
            <w:gridSpan w:val="18"/>
          </w:tcPr>
          <w:p>
            <w:pPr>
              <w:ind w:left="100"/>
              <w:spacing w:after="0"/>
              <w:rPr>
                <w:sz w:val="20"/>
                <w:szCs w:val="20"/>
                <w:color w:val="auto"/>
              </w:rPr>
            </w:pPr>
            <w:r>
              <w:rPr>
                <w:rFonts w:ascii="Courier New" w:cs="Courier New" w:eastAsia="Courier New" w:hAnsi="Courier New"/>
                <w:sz w:val="15"/>
                <w:szCs w:val="15"/>
                <w:color w:val="auto"/>
                <w:w w:val="97"/>
              </w:rPr>
              <w:t>federal and state income tax effects of the Company's results of operations</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are</w:t>
            </w:r>
          </w:p>
        </w:tc>
        <w:tc>
          <w:tcPr>
            <w:tcW w:w="8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recorded</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Members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in</w:t>
            </w:r>
          </w:p>
        </w:tc>
        <w:tc>
          <w:tcPr>
            <w:tcW w:w="17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their  respective</w:t>
            </w:r>
          </w:p>
        </w:tc>
        <w:tc>
          <w:tcPr>
            <w:tcW w:w="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income</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rPr>
              <w:t>tax</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returns.</w:t>
            </w:r>
          </w:p>
        </w:tc>
      </w:tr>
      <w:tr>
        <w:trPr>
          <w:trHeight w:val="339"/>
        </w:trPr>
        <w:tc>
          <w:tcPr>
            <w:tcW w:w="340" w:type="dxa"/>
            <w:vAlign w:val="bottom"/>
          </w:tcPr>
          <w:p>
            <w:pPr>
              <w:spacing w:after="0"/>
              <w:rPr>
                <w:sz w:val="20"/>
                <w:szCs w:val="20"/>
                <w:color w:val="auto"/>
              </w:rPr>
            </w:pPr>
            <w:r>
              <w:rPr>
                <w:rFonts w:ascii="Courier New" w:cs="Courier New" w:eastAsia="Courier New" w:hAnsi="Courier New"/>
                <w:sz w:val="15"/>
                <w:szCs w:val="15"/>
                <w:color w:val="auto"/>
              </w:rPr>
              <w:t>USE</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w w:val="77"/>
              </w:rPr>
              <w:t>OF</w:t>
            </w:r>
          </w:p>
        </w:tc>
        <w:tc>
          <w:tcPr>
            <w:tcW w:w="1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Courier New" w:cs="Courier New" w:eastAsia="Courier New" w:hAnsi="Courier New"/>
                <w:sz w:val="15"/>
                <w:szCs w:val="15"/>
                <w:color w:val="auto"/>
                <w:w w:val="96"/>
              </w:rPr>
              <w:t>ESTIMATES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2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preparation</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of</w:t>
            </w:r>
          </w:p>
        </w:tc>
        <w:tc>
          <w:tcPr>
            <w:tcW w:w="5120" w:type="dxa"/>
            <w:vAlign w:val="bottom"/>
            <w:gridSpan w:val="12"/>
          </w:tcPr>
          <w:p>
            <w:pPr>
              <w:jc w:val="right"/>
              <w:spacing w:after="0"/>
              <w:rPr>
                <w:sz w:val="20"/>
                <w:szCs w:val="20"/>
                <w:color w:val="auto"/>
              </w:rPr>
            </w:pPr>
            <w:r>
              <w:rPr>
                <w:rFonts w:ascii="Courier New" w:cs="Courier New" w:eastAsia="Courier New" w:hAnsi="Courier New"/>
                <w:sz w:val="15"/>
                <w:szCs w:val="15"/>
                <w:color w:val="auto"/>
                <w:w w:val="97"/>
              </w:rPr>
              <w:t>financial statements in conformity with generally accepted</w:t>
            </w:r>
          </w:p>
        </w:tc>
      </w:tr>
    </w:tbl>
    <w:p>
      <w:pPr>
        <w:spacing w:after="0" w:line="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accounting principles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ectPr>
          <w:pgSz w:w="11900" w:h="16838" w:orient="portrait"/>
          <w:cols w:equalWidth="0" w:num="1">
            <w:col w:w="10219"/>
          </w:cols>
          <w:pgMar w:left="240" w:top="452" w:right="1440" w:bottom="1440" w:gutter="0" w:footer="0" w:header="0"/>
        </w:sectPr>
      </w:pPr>
    </w:p>
    <w:bookmarkStart w:id="72" w:name="page73"/>
    <w:bookmarkEnd w:id="72"/>
    <w:p>
      <w:pPr>
        <w:ind w:left="10"/>
        <w:spacing w:after="0"/>
        <w:tabs>
          <w:tab w:leader="none" w:pos="949" w:val="left"/>
        </w:tabs>
        <w:rPr>
          <w:sz w:val="20"/>
          <w:szCs w:val="20"/>
          <w:color w:val="auto"/>
        </w:rPr>
      </w:pPr>
      <w:r>
        <w:rPr>
          <w:rFonts w:ascii="Courier New" w:cs="Courier New" w:eastAsia="Courier New" w:hAnsi="Courier New"/>
          <w:sz w:val="15"/>
          <w:szCs w:val="15"/>
          <w:color w:val="auto"/>
        </w:rPr>
        <w:t>DIADEXUS,</w:t>
        <w:tab/>
        <w:t>LLC</w:t>
      </w:r>
    </w:p>
    <w:p>
      <w:pPr>
        <w:ind w:left="10"/>
        <w:spacing w:after="0"/>
        <w:tabs>
          <w:tab w:leader="none" w:pos="249" w:val="left"/>
          <w:tab w:leader="none" w:pos="1029" w:val="left"/>
          <w:tab w:leader="none" w:pos="2009" w:val="left"/>
        </w:tabs>
        <w:rPr>
          <w:sz w:val="20"/>
          <w:szCs w:val="20"/>
          <w:color w:val="auto"/>
        </w:rPr>
      </w:pPr>
      <w:r>
        <w:rPr>
          <w:rFonts w:ascii="Courier New" w:cs="Courier New" w:eastAsia="Courier New" w:hAnsi="Courier New"/>
          <w:sz w:val="15"/>
          <w:szCs w:val="15"/>
          <w:color w:val="auto"/>
        </w:rPr>
        <w:t>A</w:t>
        <w:tab/>
        <w:t>LIMITED</w:t>
        <w:tab/>
        <w:t>LIABILITY</w:t>
      </w:r>
      <w:r>
        <w:rPr>
          <w:sz w:val="20"/>
          <w:szCs w:val="20"/>
          <w:color w:val="auto"/>
        </w:rPr>
        <w:tab/>
      </w:r>
      <w:r>
        <w:rPr>
          <w:rFonts w:ascii="Courier New" w:cs="Courier New" w:eastAsia="Courier New" w:hAnsi="Courier New"/>
          <w:sz w:val="14"/>
          <w:szCs w:val="14"/>
          <w:color w:val="auto"/>
        </w:rPr>
        <w:t>COMPANY</w:t>
      </w:r>
    </w:p>
    <w:p>
      <w:pPr>
        <w:ind w:left="10"/>
        <w:spacing w:after="0"/>
        <w:tabs>
          <w:tab w:leader="none" w:pos="329" w:val="left"/>
          <w:tab w:leader="none" w:pos="1469" w:val="left"/>
          <w:tab w:leader="none" w:pos="2089" w:val="left"/>
        </w:tabs>
        <w:rPr>
          <w:sz w:val="20"/>
          <w:szCs w:val="20"/>
          <w:color w:val="auto"/>
        </w:rPr>
      </w:pPr>
      <w:r>
        <w:rPr>
          <w:rFonts w:ascii="Courier New" w:cs="Courier New" w:eastAsia="Courier New" w:hAnsi="Courier New"/>
          <w:sz w:val="15"/>
          <w:szCs w:val="15"/>
          <w:color w:val="auto"/>
        </w:rPr>
        <w:t>(A</w:t>
        <w:tab/>
        <w:t>DEVELOPMENT</w:t>
        <w:tab/>
        <w:t>STAGE</w:t>
        <w:tab/>
        <w:t>COMPANY)</w:t>
      </w:r>
    </w:p>
    <w:p>
      <w:pPr>
        <w:ind w:left="10"/>
        <w:spacing w:after="0"/>
        <w:tabs>
          <w:tab w:leader="none" w:pos="589" w:val="left"/>
          <w:tab w:leader="none" w:pos="949" w:val="left"/>
          <w:tab w:leader="none" w:pos="1909" w:val="left"/>
          <w:tab w:leader="none" w:pos="2969" w:val="left"/>
        </w:tabs>
        <w:rPr>
          <w:sz w:val="20"/>
          <w:szCs w:val="20"/>
          <w:color w:val="auto"/>
        </w:rPr>
      </w:pPr>
      <w:r>
        <w:rPr>
          <w:rFonts w:ascii="Courier New" w:cs="Courier New" w:eastAsia="Courier New" w:hAnsi="Courier New"/>
          <w:sz w:val="15"/>
          <w:szCs w:val="15"/>
          <w:color w:val="auto"/>
        </w:rPr>
        <w:t>NOTES</w:t>
        <w:tab/>
        <w:t>TO</w:t>
        <w:tab/>
        <w:t>FINANCIAL</w:t>
        <w:tab/>
        <w:t>STATEMENTS</w:t>
      </w:r>
      <w:r>
        <w:rPr>
          <w:sz w:val="20"/>
          <w:szCs w:val="20"/>
          <w:color w:val="auto"/>
        </w:rPr>
        <w:tab/>
      </w:r>
      <w:r>
        <w:rPr>
          <w:rFonts w:ascii="Courier New" w:cs="Courier New" w:eastAsia="Courier New" w:hAnsi="Courier New"/>
          <w:sz w:val="14"/>
          <w:szCs w:val="14"/>
          <w:color w:val="auto"/>
        </w:rPr>
        <w:t>(CONTINUED)</w:t>
      </w:r>
    </w:p>
    <w:p>
      <w:pPr>
        <w:ind w:left="10"/>
        <w:spacing w:after="0"/>
        <w:rPr>
          <w:sz w:val="20"/>
          <w:szCs w:val="20"/>
          <w:color w:val="auto"/>
        </w:rPr>
      </w:pPr>
      <w:r>
        <w:rPr>
          <w:rFonts w:ascii="Courier New" w:cs="Courier New" w:eastAsia="Courier New" w:hAnsi="Courier New"/>
          <w:sz w:val="15"/>
          <w:szCs w:val="15"/>
          <w:color w:val="auto"/>
        </w:rPr>
        <w:t>- ---------------------------------------------</w:t>
      </w:r>
    </w:p>
    <w:p>
      <w:pPr>
        <w:ind w:left="610" w:hanging="610"/>
        <w:spacing w:after="0"/>
        <w:tabs>
          <w:tab w:leader="none" w:pos="6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4"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Under an Intercompany Services Agreement, SmithKline Beecham and Incyte have agreed to provide the Company with certain services, including legal, financial and research and development. Charges for these services are primarily based on actual costs incurred by each Member and amounted to $159,000 and $26,000 for SmithKline Beecham and Incyte, respectively, during the period from inception (September 1997) to December 31, 1997. Of the total fiscal 1997 charges, $120,000 and $65,000 were included in research and development and general and administrative expense, respectively. During 1998, the Company incurred additional charges of $86,000 and $72,000 from SmithKline Beecham and Incyte, respectively, all of which has been included in research and development.</w:t>
      </w:r>
    </w:p>
    <w:p>
      <w:pPr>
        <w:spacing w:after="0" w:line="166"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Additionally, SmithKline Beecham has agreed to pay, on the Company's behalf, certain costs associated with the build-out of the Company's leased facility. Such amounts were included in construction-in-progress at December 31, 1997 and in leasehold improvements and laboratory equipment at December 31, 1998. In 1997, SmithKline Beecham also made a lease deposit on behalf of the Company of $67,000.</w:t>
      </w:r>
    </w:p>
    <w:p>
      <w:pPr>
        <w:spacing w:after="0" w:line="176"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In September 1998, the Company entered into a service agreement with SmithKline Beecham and SmithKline Beecham plc. Under the agreement, SmithKline Beecham plc will employ an individual to monitor journals and databases for information on genes and proteins which may be of interest to the Company's research efforts. The term of the agreement is one year, unless otherwise modified by the Company and SmithKline Beecham plc. In consideration for such services, the Company will pay a total of $200,000, of which $50,000 was included in the due to Members balance at December 31, 1998.</w:t>
      </w:r>
    </w:p>
    <w:p>
      <w:pPr>
        <w:spacing w:after="0" w:line="178"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In March 1998, the Company entered into a collaboration and license agreement with Incyte and a third party (see Note 3). Through December 31, 1998, no amounts had been recorded relating to this agreement.</w:t>
      </w:r>
    </w:p>
    <w:p>
      <w:pPr>
        <w:spacing w:after="0" w:line="17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At December 31, 1998 and 1997, due to Members consisted of $2,618,000 and $2,425,000, respectively, due to SmithKline Beecham and $72,000 and $26,000, respectively, due to Incyte. The Company's intention is to repay all amounts due to Members during 1999.</w:t>
      </w:r>
    </w:p>
    <w:p>
      <w:pPr>
        <w:sectPr>
          <w:pgSz w:w="11900" w:h="16838" w:orient="portrait"/>
          <w:cols w:equalWidth="0" w:num="1">
            <w:col w:w="10229"/>
          </w:cols>
          <w:pgMar w:left="230" w:top="452" w:right="1440" w:bottom="1440" w:gutter="0" w:footer="0" w:header="0"/>
        </w:sectPr>
      </w:pPr>
    </w:p>
    <w:bookmarkStart w:id="73" w:name="page74"/>
    <w:bookmarkEnd w:id="73"/>
    <w:p>
      <w:pPr>
        <w:ind w:left="10"/>
        <w:spacing w:after="0"/>
        <w:tabs>
          <w:tab w:leader="none" w:pos="949" w:val="left"/>
        </w:tabs>
        <w:rPr>
          <w:sz w:val="20"/>
          <w:szCs w:val="20"/>
          <w:color w:val="auto"/>
        </w:rPr>
      </w:pPr>
      <w:r>
        <w:rPr>
          <w:rFonts w:ascii="Courier New" w:cs="Courier New" w:eastAsia="Courier New" w:hAnsi="Courier New"/>
          <w:sz w:val="15"/>
          <w:szCs w:val="15"/>
          <w:color w:val="auto"/>
        </w:rPr>
        <w:t>DIADEXUS,</w:t>
        <w:tab/>
        <w:t>LLC</w:t>
      </w:r>
    </w:p>
    <w:p>
      <w:pPr>
        <w:ind w:left="10"/>
        <w:spacing w:after="0"/>
        <w:tabs>
          <w:tab w:leader="none" w:pos="249" w:val="left"/>
          <w:tab w:leader="none" w:pos="1029" w:val="left"/>
          <w:tab w:leader="none" w:pos="2009" w:val="left"/>
        </w:tabs>
        <w:rPr>
          <w:sz w:val="20"/>
          <w:szCs w:val="20"/>
          <w:color w:val="auto"/>
        </w:rPr>
      </w:pPr>
      <w:r>
        <w:rPr>
          <w:rFonts w:ascii="Courier New" w:cs="Courier New" w:eastAsia="Courier New" w:hAnsi="Courier New"/>
          <w:sz w:val="15"/>
          <w:szCs w:val="15"/>
          <w:color w:val="auto"/>
        </w:rPr>
        <w:t>A</w:t>
        <w:tab/>
        <w:t>LIMITED</w:t>
        <w:tab/>
        <w:t>LIABILITY</w:t>
      </w:r>
      <w:r>
        <w:rPr>
          <w:sz w:val="20"/>
          <w:szCs w:val="20"/>
          <w:color w:val="auto"/>
        </w:rPr>
        <w:tab/>
      </w:r>
      <w:r>
        <w:rPr>
          <w:rFonts w:ascii="Courier New" w:cs="Courier New" w:eastAsia="Courier New" w:hAnsi="Courier New"/>
          <w:sz w:val="14"/>
          <w:szCs w:val="14"/>
          <w:color w:val="auto"/>
        </w:rPr>
        <w:t>COMPANY</w:t>
      </w:r>
    </w:p>
    <w:p>
      <w:pPr>
        <w:ind w:left="10"/>
        <w:spacing w:after="0"/>
        <w:tabs>
          <w:tab w:leader="none" w:pos="329" w:val="left"/>
          <w:tab w:leader="none" w:pos="1469" w:val="left"/>
          <w:tab w:leader="none" w:pos="2089" w:val="left"/>
        </w:tabs>
        <w:rPr>
          <w:sz w:val="20"/>
          <w:szCs w:val="20"/>
          <w:color w:val="auto"/>
        </w:rPr>
      </w:pPr>
      <w:r>
        <w:rPr>
          <w:rFonts w:ascii="Courier New" w:cs="Courier New" w:eastAsia="Courier New" w:hAnsi="Courier New"/>
          <w:sz w:val="15"/>
          <w:szCs w:val="15"/>
          <w:color w:val="auto"/>
        </w:rPr>
        <w:t>(A</w:t>
        <w:tab/>
        <w:t>DEVELOPMENT</w:t>
        <w:tab/>
        <w:t>STAGE</w:t>
        <w:tab/>
        <w:t>COMPANY)</w:t>
      </w:r>
    </w:p>
    <w:p>
      <w:pPr>
        <w:ind w:left="10"/>
        <w:spacing w:after="0"/>
        <w:tabs>
          <w:tab w:leader="none" w:pos="589" w:val="left"/>
          <w:tab w:leader="none" w:pos="949" w:val="left"/>
          <w:tab w:leader="none" w:pos="1909" w:val="left"/>
          <w:tab w:leader="none" w:pos="2969" w:val="left"/>
        </w:tabs>
        <w:rPr>
          <w:sz w:val="20"/>
          <w:szCs w:val="20"/>
          <w:color w:val="auto"/>
        </w:rPr>
      </w:pPr>
      <w:r>
        <w:rPr>
          <w:rFonts w:ascii="Courier New" w:cs="Courier New" w:eastAsia="Courier New" w:hAnsi="Courier New"/>
          <w:sz w:val="15"/>
          <w:szCs w:val="15"/>
          <w:color w:val="auto"/>
        </w:rPr>
        <w:t>NOTES</w:t>
        <w:tab/>
        <w:t>TO</w:t>
        <w:tab/>
        <w:t>FINANCIAL</w:t>
        <w:tab/>
        <w:t>STATEMENTS</w:t>
      </w:r>
      <w:r>
        <w:rPr>
          <w:sz w:val="20"/>
          <w:szCs w:val="20"/>
          <w:color w:val="auto"/>
        </w:rPr>
        <w:tab/>
      </w:r>
      <w:r>
        <w:rPr>
          <w:rFonts w:ascii="Courier New" w:cs="Courier New" w:eastAsia="Courier New" w:hAnsi="Courier New"/>
          <w:sz w:val="14"/>
          <w:szCs w:val="14"/>
          <w:color w:val="auto"/>
        </w:rPr>
        <w:t>(CONTINUED)</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610" w:hanging="610"/>
        <w:spacing w:after="0"/>
        <w:tabs>
          <w:tab w:leader="none" w:pos="61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COLLABORATION  AND  LICENSE  AGREEMENTS</w:t>
      </w:r>
    </w:p>
    <w:tbl>
      <w:tblPr>
        <w:tblLayout w:type="fixed"/>
        <w:tblInd w:w="10" w:type="dxa"/>
        <w:tblCellMar>
          <w:top w:w="0" w:type="dxa"/>
          <w:left w:w="0" w:type="dxa"/>
          <w:bottom w:w="0" w:type="dxa"/>
          <w:right w:w="0" w:type="dxa"/>
        </w:tblCellMar>
      </w:tblP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8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3"/>
              </w:rPr>
              <w:t>September</w:t>
            </w:r>
          </w:p>
        </w:tc>
        <w:tc>
          <w:tcPr>
            <w:tcW w:w="2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1998,</w:t>
            </w:r>
          </w:p>
        </w:tc>
        <w:tc>
          <w:tcPr>
            <w:tcW w:w="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w:t>
            </w:r>
          </w:p>
        </w:tc>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Company</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entered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into  a</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worldwide,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exclusive,</w:t>
            </w:r>
          </w:p>
        </w:tc>
      </w:tr>
      <w:tr>
        <w:trPr>
          <w:trHeight w:val="170"/>
        </w:trPr>
        <w:tc>
          <w:tcPr>
            <w:tcW w:w="1480" w:type="dxa"/>
            <w:vAlign w:val="bottom"/>
            <w:gridSpan w:val="4"/>
          </w:tcPr>
          <w:p>
            <w:pPr>
              <w:spacing w:after="0"/>
              <w:rPr>
                <w:sz w:val="20"/>
                <w:szCs w:val="20"/>
                <w:color w:val="auto"/>
              </w:rPr>
            </w:pPr>
            <w:r>
              <w:rPr>
                <w:rFonts w:ascii="Courier New" w:cs="Courier New" w:eastAsia="Courier New" w:hAnsi="Courier New"/>
                <w:sz w:val="15"/>
                <w:szCs w:val="15"/>
                <w:color w:val="auto"/>
              </w:rPr>
              <w:t>royalty-bearing</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license</w:t>
            </w:r>
          </w:p>
        </w:tc>
        <w:tc>
          <w:tcPr>
            <w:tcW w:w="180" w:type="dxa"/>
            <w:vAlign w:val="bottom"/>
          </w:tcPr>
          <w:p>
            <w:pPr>
              <w:spacing w:after="0"/>
              <w:rPr>
                <w:sz w:val="14"/>
                <w:szCs w:val="14"/>
                <w:color w:val="auto"/>
              </w:rPr>
            </w:pPr>
          </w:p>
        </w:tc>
        <w:tc>
          <w:tcPr>
            <w:tcW w:w="264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w w:val="97"/>
              </w:rPr>
              <w:t>agreement whereby the Company</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was granted the right to</w:t>
            </w:r>
          </w:p>
        </w:tc>
      </w:tr>
      <w:tr>
        <w:trPr>
          <w:trHeight w:val="170"/>
        </w:trPr>
        <w:tc>
          <w:tcPr>
            <w:tcW w:w="4920" w:type="dxa"/>
            <w:vAlign w:val="bottom"/>
            <w:gridSpan w:val="11"/>
          </w:tcPr>
          <w:p>
            <w:pPr>
              <w:spacing w:after="0"/>
              <w:rPr>
                <w:sz w:val="20"/>
                <w:szCs w:val="20"/>
                <w:color w:val="auto"/>
              </w:rPr>
            </w:pPr>
            <w:r>
              <w:rPr>
                <w:rFonts w:ascii="Courier New" w:cs="Courier New" w:eastAsia="Courier New" w:hAnsi="Courier New"/>
                <w:sz w:val="15"/>
                <w:szCs w:val="15"/>
                <w:color w:val="auto"/>
                <w:w w:val="98"/>
              </w:rPr>
              <w:t>develop, manufacture and sell certain products relating</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to diagnosis of cervical</w:t>
            </w:r>
          </w:p>
        </w:tc>
      </w:tr>
      <w:tr>
        <w:trPr>
          <w:trHeight w:val="170"/>
        </w:trPr>
        <w:tc>
          <w:tcPr>
            <w:tcW w:w="2720" w:type="dxa"/>
            <w:vAlign w:val="bottom"/>
            <w:gridSpan w:val="7"/>
          </w:tcPr>
          <w:p>
            <w:pPr>
              <w:spacing w:after="0"/>
              <w:rPr>
                <w:sz w:val="20"/>
                <w:szCs w:val="20"/>
                <w:color w:val="auto"/>
              </w:rPr>
            </w:pPr>
            <w:r>
              <w:rPr>
                <w:rFonts w:ascii="Courier New" w:cs="Courier New" w:eastAsia="Courier New" w:hAnsi="Courier New"/>
                <w:sz w:val="15"/>
                <w:szCs w:val="15"/>
                <w:color w:val="auto"/>
                <w:w w:val="96"/>
              </w:rPr>
              <w:t>disease.  The  Company  paid  a</w:t>
            </w:r>
          </w:p>
        </w:tc>
        <w:tc>
          <w:tcPr>
            <w:tcW w:w="43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non-refundable fee of $250,000 upon signing the</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agreement</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for</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access</w:t>
            </w:r>
          </w:p>
        </w:tc>
        <w:tc>
          <w:tcPr>
            <w:tcW w:w="282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7"/>
              </w:rPr>
              <w:t>to related technology for a six</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month evaluation period.</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Company</w:t>
            </w:r>
          </w:p>
        </w:tc>
        <w:tc>
          <w:tcPr>
            <w:tcW w:w="15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is amortizing the</w:t>
            </w:r>
          </w:p>
        </w:tc>
        <w:tc>
          <w:tcPr>
            <w:tcW w:w="220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6"/>
              </w:rPr>
              <w:t>initial fee over the six</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month evaluation period</w:t>
            </w:r>
          </w:p>
        </w:tc>
      </w:tr>
      <w:tr>
        <w:trPr>
          <w:trHeight w:val="170"/>
        </w:trPr>
        <w:tc>
          <w:tcPr>
            <w:tcW w:w="2720" w:type="dxa"/>
            <w:vAlign w:val="bottom"/>
            <w:gridSpan w:val="7"/>
          </w:tcPr>
          <w:p>
            <w:pPr>
              <w:spacing w:after="0"/>
              <w:rPr>
                <w:sz w:val="20"/>
                <w:szCs w:val="20"/>
                <w:color w:val="auto"/>
              </w:rPr>
            </w:pPr>
            <w:r>
              <w:rPr>
                <w:rFonts w:ascii="Courier New" w:cs="Courier New" w:eastAsia="Courier New" w:hAnsi="Courier New"/>
                <w:sz w:val="15"/>
                <w:szCs w:val="15"/>
                <w:color w:val="auto"/>
                <w:w w:val="99"/>
              </w:rPr>
              <w:t>and,  at  December  31,  1998,</w:t>
            </w:r>
          </w:p>
        </w:tc>
        <w:tc>
          <w:tcPr>
            <w:tcW w:w="14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approximately</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$191,000</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is  included in prepaid</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expenses.</w:t>
            </w:r>
          </w:p>
        </w:tc>
        <w:tc>
          <w:tcPr>
            <w:tcW w:w="3260" w:type="dxa"/>
            <w:vAlign w:val="bottom"/>
            <w:gridSpan w:val="8"/>
          </w:tcPr>
          <w:p>
            <w:pPr>
              <w:jc w:val="right"/>
              <w:ind w:right="27"/>
              <w:spacing w:after="0"/>
              <w:rPr>
                <w:sz w:val="20"/>
                <w:szCs w:val="20"/>
                <w:color w:val="auto"/>
              </w:rPr>
            </w:pPr>
            <w:r>
              <w:rPr>
                <w:rFonts w:ascii="Courier New" w:cs="Courier New" w:eastAsia="Courier New" w:hAnsi="Courier New"/>
                <w:sz w:val="15"/>
                <w:szCs w:val="15"/>
                <w:color w:val="auto"/>
                <w:w w:val="99"/>
              </w:rPr>
              <w:t>Unless previously terminated by the</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Company,</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additional fees totaling</w:t>
            </w:r>
          </w:p>
        </w:tc>
      </w:tr>
      <w:tr>
        <w:trPr>
          <w:trHeight w:val="170"/>
        </w:trPr>
        <w:tc>
          <w:tcPr>
            <w:tcW w:w="2720" w:type="dxa"/>
            <w:vAlign w:val="bottom"/>
            <w:gridSpan w:val="7"/>
          </w:tcPr>
          <w:p>
            <w:pPr>
              <w:spacing w:after="0"/>
              <w:rPr>
                <w:sz w:val="20"/>
                <w:szCs w:val="20"/>
                <w:color w:val="auto"/>
              </w:rPr>
            </w:pPr>
            <w:r>
              <w:rPr>
                <w:rFonts w:ascii="Courier New" w:cs="Courier New" w:eastAsia="Courier New" w:hAnsi="Courier New"/>
                <w:sz w:val="15"/>
                <w:szCs w:val="15"/>
                <w:color w:val="auto"/>
                <w:w w:val="96"/>
              </w:rPr>
              <w:t>$1,750,000  will  be  due  upon</w:t>
            </w:r>
          </w:p>
        </w:tc>
        <w:tc>
          <w:tcPr>
            <w:tcW w:w="14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the earlier of</w:t>
            </w:r>
          </w:p>
        </w:tc>
        <w:tc>
          <w:tcPr>
            <w:tcW w:w="2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specified dates or achievement of</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designated</w:t>
            </w:r>
          </w:p>
        </w:tc>
        <w:tc>
          <w:tcPr>
            <w:tcW w:w="12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milestones.</w:t>
            </w:r>
          </w:p>
        </w:tc>
        <w:tc>
          <w:tcPr>
            <w:tcW w:w="12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The  Company</w:t>
            </w:r>
          </w:p>
        </w:tc>
        <w:tc>
          <w:tcPr>
            <w:tcW w:w="36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has the option to terminate the agreement</w:t>
            </w:r>
          </w:p>
        </w:tc>
      </w:tr>
      <w:tr>
        <w:trPr>
          <w:trHeight w:val="170"/>
        </w:trPr>
        <w:tc>
          <w:tcPr>
            <w:tcW w:w="1480" w:type="dxa"/>
            <w:vAlign w:val="bottom"/>
            <w:gridSpan w:val="4"/>
          </w:tcPr>
          <w:p>
            <w:pPr>
              <w:spacing w:after="0"/>
              <w:rPr>
                <w:sz w:val="20"/>
                <w:szCs w:val="20"/>
                <w:color w:val="auto"/>
              </w:rPr>
            </w:pPr>
            <w:r>
              <w:rPr>
                <w:rFonts w:ascii="Courier New" w:cs="Courier New" w:eastAsia="Courier New" w:hAnsi="Courier New"/>
                <w:sz w:val="15"/>
                <w:szCs w:val="15"/>
                <w:color w:val="auto"/>
              </w:rPr>
              <w:t>without  penalty</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through</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w:t>
            </w:r>
          </w:p>
        </w:tc>
        <w:tc>
          <w:tcPr>
            <w:tcW w:w="43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earlier  of  the  successful  completion  of the</w:t>
            </w:r>
          </w:p>
        </w:tc>
      </w:tr>
      <w:tr>
        <w:trPr>
          <w:trHeight w:val="170"/>
        </w:trPr>
        <w:tc>
          <w:tcPr>
            <w:tcW w:w="1220" w:type="dxa"/>
            <w:vAlign w:val="bottom"/>
            <w:gridSpan w:val="3"/>
          </w:tcPr>
          <w:p>
            <w:pPr>
              <w:spacing w:after="0"/>
              <w:rPr>
                <w:sz w:val="20"/>
                <w:szCs w:val="20"/>
                <w:color w:val="auto"/>
              </w:rPr>
            </w:pPr>
            <w:r>
              <w:rPr>
                <w:rFonts w:ascii="Courier New" w:cs="Courier New" w:eastAsia="Courier New" w:hAnsi="Courier New"/>
                <w:sz w:val="15"/>
                <w:szCs w:val="15"/>
                <w:color w:val="auto"/>
              </w:rPr>
              <w:t>predetermined</w:t>
            </w:r>
          </w:p>
        </w:tc>
        <w:tc>
          <w:tcPr>
            <w:tcW w:w="10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4"/>
              </w:rPr>
              <w:t>development</w:t>
            </w: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plan</w:t>
            </w: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or September 30, 2000.</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the Company has not</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sold</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or</w:t>
            </w:r>
          </w:p>
        </w:tc>
        <w:tc>
          <w:tcPr>
            <w:tcW w:w="6160" w:type="dxa"/>
            <w:vAlign w:val="bottom"/>
            <w:gridSpan w:val="11"/>
          </w:tcPr>
          <w:p>
            <w:pPr>
              <w:jc w:val="right"/>
              <w:spacing w:after="0"/>
              <w:rPr>
                <w:sz w:val="20"/>
                <w:szCs w:val="20"/>
                <w:color w:val="auto"/>
              </w:rPr>
            </w:pPr>
            <w:r>
              <w:rPr>
                <w:rFonts w:ascii="Courier New" w:cs="Courier New" w:eastAsia="Courier New" w:hAnsi="Courier New"/>
                <w:sz w:val="15"/>
                <w:szCs w:val="15"/>
                <w:color w:val="auto"/>
                <w:w w:val="97"/>
              </w:rPr>
              <w:t>sublicensed any products relating to the license agreement, no royalty</w:t>
            </w:r>
          </w:p>
        </w:tc>
      </w:tr>
      <w:tr>
        <w:trPr>
          <w:trHeight w:val="170"/>
        </w:trPr>
        <w:tc>
          <w:tcPr>
            <w:tcW w:w="1480" w:type="dxa"/>
            <w:vAlign w:val="bottom"/>
            <w:gridSpan w:val="4"/>
          </w:tcPr>
          <w:p>
            <w:pPr>
              <w:spacing w:after="0"/>
              <w:rPr>
                <w:sz w:val="20"/>
                <w:szCs w:val="20"/>
                <w:color w:val="auto"/>
              </w:rPr>
            </w:pPr>
            <w:r>
              <w:rPr>
                <w:rFonts w:ascii="Courier New" w:cs="Courier New" w:eastAsia="Courier New" w:hAnsi="Courier New"/>
                <w:sz w:val="15"/>
                <w:szCs w:val="15"/>
                <w:color w:val="auto"/>
                <w:w w:val="95"/>
              </w:rPr>
              <w:t>obligations  have</w:t>
            </w:r>
          </w:p>
        </w:tc>
        <w:tc>
          <w:tcPr>
            <w:tcW w:w="12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accumulated</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w w:val="77"/>
              </w:rPr>
              <w:t>or</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been  paid</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through</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w w:val="95"/>
              </w:rPr>
              <w:t>December  31,</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bl>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In March 1998, the Company entered into a collaboration and license agreement with Incyte and a third party (collectively, the "Licensor"). The agreement provides the Company access to certain information and databases relating to prostate disease for an initial option period which expires on the later of March 18, 1999 or six months following the completion of certain research activities, as defined. The Company may then, at its option, enter into either an exclusive or a non-exclusive license arrangement with the Licensor. Future consideration for entering into an exclusive license arrangement is $1,000,000 or $500,000 for a non-exclusive license. Additionally, should it choose to obtain either license, the Company will owe the Licensor $100,000 upon approval for sale in certain countries of each product developed as a result of the collaboration and license agreement. The $100,000 payments are creditable against future royalties on sales of the related products. Through December 31, 1998, the Company has not recorded any amounts relating to the collaboration and license agreement.</w:t>
      </w:r>
    </w:p>
    <w:p>
      <w:pPr>
        <w:spacing w:after="0" w:line="179" w:lineRule="exact"/>
        <w:rPr>
          <w:sz w:val="20"/>
          <w:szCs w:val="20"/>
          <w:color w:val="auto"/>
        </w:rPr>
      </w:pPr>
    </w:p>
    <w:p>
      <w:pPr>
        <w:ind w:left="610" w:hanging="610"/>
        <w:spacing w:after="0"/>
        <w:tabs>
          <w:tab w:leader="none" w:pos="61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ind w:left="10"/>
        <w:spacing w:after="0"/>
        <w:tabs>
          <w:tab w:leader="none" w:pos="869" w:val="left"/>
          <w:tab w:leader="none" w:pos="1309" w:val="left"/>
          <w:tab w:leader="none" w:pos="2269" w:val="left"/>
          <w:tab w:leader="none" w:pos="3149" w:val="left"/>
          <w:tab w:leader="none" w:pos="3509" w:val="left"/>
          <w:tab w:leader="none" w:pos="3949" w:val="left"/>
        </w:tabs>
        <w:rPr>
          <w:sz w:val="20"/>
          <w:szCs w:val="20"/>
          <w:color w:val="auto"/>
        </w:rPr>
      </w:pPr>
      <w:r>
        <w:rPr>
          <w:rFonts w:ascii="Courier New" w:cs="Courier New" w:eastAsia="Courier New" w:hAnsi="Courier New"/>
          <w:sz w:val="15"/>
          <w:szCs w:val="15"/>
          <w:color w:val="auto"/>
        </w:rPr>
        <w:t>Property</w:t>
        <w:tab/>
        <w:t>and</w:t>
        <w:tab/>
        <w:t>equipment</w:t>
        <w:tab/>
        <w:t>consists</w:t>
        <w:tab/>
        <w:t>of</w:t>
        <w:tab/>
        <w:t>the</w:t>
      </w:r>
      <w:r>
        <w:rPr>
          <w:sz w:val="20"/>
          <w:szCs w:val="20"/>
          <w:color w:val="auto"/>
        </w:rPr>
        <w:tab/>
      </w:r>
      <w:r>
        <w:rPr>
          <w:rFonts w:ascii="Courier New" w:cs="Courier New" w:eastAsia="Courier New" w:hAnsi="Courier New"/>
          <w:sz w:val="14"/>
          <w:szCs w:val="14"/>
          <w:color w:val="auto"/>
        </w:rPr>
        <w:t>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2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2,111,000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Laboratory equipment</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1,313,000</w:t>
            </w:r>
          </w:p>
        </w:tc>
        <w:tc>
          <w:tcPr>
            <w:tcW w:w="1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1,047,000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Computer equipment and software</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599,000</w:t>
            </w:r>
          </w:p>
        </w:tc>
        <w:tc>
          <w:tcPr>
            <w:tcW w:w="1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168,000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428,000</w:t>
            </w:r>
          </w:p>
        </w:tc>
        <w:tc>
          <w:tcPr>
            <w:tcW w:w="1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75,000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Construction-in-progress</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477,000</w:t>
            </w:r>
          </w:p>
        </w:tc>
        <w:tc>
          <w:tcPr>
            <w:tcW w:w="1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2,228,000</w:t>
            </w:r>
          </w:p>
        </w:tc>
      </w:tr>
      <w:tr>
        <w:trPr>
          <w:trHeight w:val="170"/>
        </w:trPr>
        <w:tc>
          <w:tcPr>
            <w:tcW w:w="282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4,928,000</w:t>
            </w:r>
          </w:p>
        </w:tc>
        <w:tc>
          <w:tcPr>
            <w:tcW w:w="1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3,518,000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3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(1,648,000)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82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82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3,280,000</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$3,516,000</w:t>
            </w:r>
          </w:p>
        </w:tc>
      </w:tr>
      <w:tr>
        <w:trPr>
          <w:trHeight w:val="170"/>
        </w:trPr>
        <w:tc>
          <w:tcPr>
            <w:tcW w:w="282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bl>
    <w:p>
      <w:pPr>
        <w:sectPr>
          <w:pgSz w:w="11900" w:h="16838" w:orient="portrait"/>
          <w:cols w:equalWidth="0" w:num="1">
            <w:col w:w="10229"/>
          </w:cols>
          <w:pgMar w:left="230" w:top="452" w:right="1440" w:bottom="1440" w:gutter="0" w:footer="0" w:header="0"/>
        </w:sectPr>
      </w:pPr>
    </w:p>
    <w:bookmarkStart w:id="74" w:name="page75"/>
    <w:bookmarkEnd w:id="74"/>
    <w:p>
      <w:pPr>
        <w:ind w:left="10"/>
        <w:spacing w:after="0"/>
        <w:tabs>
          <w:tab w:leader="none" w:pos="949" w:val="left"/>
        </w:tabs>
        <w:rPr>
          <w:sz w:val="20"/>
          <w:szCs w:val="20"/>
          <w:color w:val="auto"/>
        </w:rPr>
      </w:pPr>
      <w:r>
        <w:rPr>
          <w:rFonts w:ascii="Courier New" w:cs="Courier New" w:eastAsia="Courier New" w:hAnsi="Courier New"/>
          <w:sz w:val="15"/>
          <w:szCs w:val="15"/>
          <w:color w:val="auto"/>
        </w:rPr>
        <w:t>DIADEXUS,</w:t>
        <w:tab/>
        <w:t>LLC</w:t>
      </w:r>
    </w:p>
    <w:p>
      <w:pPr>
        <w:ind w:left="10"/>
        <w:spacing w:after="0"/>
        <w:tabs>
          <w:tab w:leader="none" w:pos="249" w:val="left"/>
          <w:tab w:leader="none" w:pos="1029" w:val="left"/>
          <w:tab w:leader="none" w:pos="2009" w:val="left"/>
        </w:tabs>
        <w:rPr>
          <w:sz w:val="20"/>
          <w:szCs w:val="20"/>
          <w:color w:val="auto"/>
        </w:rPr>
      </w:pPr>
      <w:r>
        <w:rPr>
          <w:rFonts w:ascii="Courier New" w:cs="Courier New" w:eastAsia="Courier New" w:hAnsi="Courier New"/>
          <w:sz w:val="15"/>
          <w:szCs w:val="15"/>
          <w:color w:val="auto"/>
        </w:rPr>
        <w:t>A</w:t>
        <w:tab/>
        <w:t>LIMITED</w:t>
        <w:tab/>
        <w:t>LIABILITY</w:t>
      </w:r>
      <w:r>
        <w:rPr>
          <w:sz w:val="20"/>
          <w:szCs w:val="20"/>
          <w:color w:val="auto"/>
        </w:rPr>
        <w:tab/>
      </w:r>
      <w:r>
        <w:rPr>
          <w:rFonts w:ascii="Courier New" w:cs="Courier New" w:eastAsia="Courier New" w:hAnsi="Courier New"/>
          <w:sz w:val="14"/>
          <w:szCs w:val="14"/>
          <w:color w:val="auto"/>
        </w:rPr>
        <w:t>COMPANY</w:t>
      </w:r>
    </w:p>
    <w:p>
      <w:pPr>
        <w:ind w:left="10"/>
        <w:spacing w:after="0"/>
        <w:tabs>
          <w:tab w:leader="none" w:pos="329" w:val="left"/>
          <w:tab w:leader="none" w:pos="1469" w:val="left"/>
          <w:tab w:leader="none" w:pos="2089" w:val="left"/>
        </w:tabs>
        <w:rPr>
          <w:sz w:val="20"/>
          <w:szCs w:val="20"/>
          <w:color w:val="auto"/>
        </w:rPr>
      </w:pPr>
      <w:r>
        <w:rPr>
          <w:rFonts w:ascii="Courier New" w:cs="Courier New" w:eastAsia="Courier New" w:hAnsi="Courier New"/>
          <w:sz w:val="15"/>
          <w:szCs w:val="15"/>
          <w:color w:val="auto"/>
        </w:rPr>
        <w:t>(A</w:t>
        <w:tab/>
        <w:t>DEVELOPMENT</w:t>
        <w:tab/>
        <w:t>STAGE</w:t>
        <w:tab/>
        <w:t>COMPANY)</w:t>
      </w:r>
    </w:p>
    <w:p>
      <w:pPr>
        <w:ind w:left="10"/>
        <w:spacing w:after="0"/>
        <w:tabs>
          <w:tab w:leader="none" w:pos="589" w:val="left"/>
          <w:tab w:leader="none" w:pos="949" w:val="left"/>
          <w:tab w:leader="none" w:pos="1909" w:val="left"/>
          <w:tab w:leader="none" w:pos="2969" w:val="left"/>
        </w:tabs>
        <w:rPr>
          <w:sz w:val="20"/>
          <w:szCs w:val="20"/>
          <w:color w:val="auto"/>
        </w:rPr>
      </w:pPr>
      <w:r>
        <w:rPr>
          <w:rFonts w:ascii="Courier New" w:cs="Courier New" w:eastAsia="Courier New" w:hAnsi="Courier New"/>
          <w:sz w:val="15"/>
          <w:szCs w:val="15"/>
          <w:color w:val="auto"/>
        </w:rPr>
        <w:t>NOTES</w:t>
        <w:tab/>
        <w:t>TO</w:t>
        <w:tab/>
        <w:t>FINANCIAL</w:t>
        <w:tab/>
        <w:t>STATEMENTS</w:t>
      </w:r>
      <w:r>
        <w:rPr>
          <w:sz w:val="20"/>
          <w:szCs w:val="20"/>
          <w:color w:val="auto"/>
        </w:rPr>
        <w:tab/>
      </w:r>
      <w:r>
        <w:rPr>
          <w:rFonts w:ascii="Courier New" w:cs="Courier New" w:eastAsia="Courier New" w:hAnsi="Courier New"/>
          <w:sz w:val="14"/>
          <w:szCs w:val="14"/>
          <w:color w:val="auto"/>
        </w:rPr>
        <w:t>(CONTINUED)</w:t>
      </w:r>
    </w:p>
    <w:p>
      <w:pPr>
        <w:ind w:left="10"/>
        <w:spacing w:after="0"/>
        <w:rPr>
          <w:sz w:val="20"/>
          <w:szCs w:val="20"/>
          <w:color w:val="auto"/>
        </w:rPr>
      </w:pPr>
      <w:r>
        <w:rPr>
          <w:rFonts w:ascii="Courier New" w:cs="Courier New" w:eastAsia="Courier New" w:hAnsi="Courier New"/>
          <w:sz w:val="15"/>
          <w:szCs w:val="15"/>
          <w:color w:val="auto"/>
        </w:rPr>
        <w:t>- ---------------------------------------------</w:t>
      </w:r>
    </w:p>
    <w:p>
      <w:pPr>
        <w:ind w:left="610" w:hanging="610"/>
        <w:spacing w:after="0"/>
        <w:tabs>
          <w:tab w:leader="none" w:pos="61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EQUITY</w:t>
      </w:r>
    </w:p>
    <w:p>
      <w:pPr>
        <w:spacing w:after="0" w:line="4"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In accordance with the terms of the Operating Agreement, the rights and preference of the Members, as well as the allocation and distribution of net income or losses, are as follows:</w:t>
      </w:r>
    </w:p>
    <w:p>
      <w:pPr>
        <w:spacing w:after="0" w:line="169"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PREFERRED</w:t>
        <w:tab/>
        <w:t>UNITS</w:t>
      </w:r>
    </w:p>
    <w:p>
      <w:pPr>
        <w:spacing w:after="0" w:line="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At December 31, 1998 and 1997, the Company had authorized and outstanding 8,800,000 Preferred Units ("Preferred Units"), of which 4,400,000 are designated Series A and 4,400,000 are designated as Series B. Each Preferred Unit is entitled to one vote on all matters, other than the election of the Board of Directors, including Member distributions. The holders of Series A and B Preferred Units are each entitled, upon approval of the majority of the units within each series, to elect two of the five Directors constituting the Board. The fifth Board member is the Company's Chief Executive Officer who was elected by the A/B Members, voting as a class (by vote of the holders of a majority of the Series A and Series B Preferred Units).</w:t>
      </w:r>
    </w:p>
    <w:p>
      <w:pPr>
        <w:spacing w:after="0" w:line="180"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In the event the Company makes a distribution, each Preferred Unit has a distribution preference of $11.36 per unit (defined as the "Original Purchase Price"), plus a 15% per annum compounded rate of return (the "Preference Amount") on such Original Purchase Price.</w:t>
      </w:r>
    </w:p>
    <w:p>
      <w:pPr>
        <w:spacing w:after="0" w:line="176"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When the Company merges into a C corporation, each Preferred Unit will automatically convert into one share of preferred stock. Each member will also receive 100 shares of common stock upon such conversion.</w:t>
      </w:r>
    </w:p>
    <w:p>
      <w:pPr>
        <w:spacing w:after="0" w:line="169" w:lineRule="exact"/>
        <w:rPr>
          <w:sz w:val="20"/>
          <w:szCs w:val="20"/>
          <w:color w:val="auto"/>
        </w:rPr>
      </w:pPr>
    </w:p>
    <w:p>
      <w:pPr>
        <w:ind w:left="10"/>
        <w:spacing w:after="0"/>
        <w:tabs>
          <w:tab w:leader="none" w:pos="689" w:val="left"/>
        </w:tabs>
        <w:rPr>
          <w:sz w:val="20"/>
          <w:szCs w:val="20"/>
          <w:color w:val="auto"/>
        </w:rPr>
      </w:pPr>
      <w:r>
        <w:rPr>
          <w:rFonts w:ascii="Courier New" w:cs="Courier New" w:eastAsia="Courier New" w:hAnsi="Courier New"/>
          <w:sz w:val="15"/>
          <w:szCs w:val="15"/>
          <w:color w:val="auto"/>
        </w:rPr>
        <w:t>COMMON</w:t>
        <w:tab/>
        <w:t>UNITS</w:t>
      </w:r>
    </w:p>
    <w:tbl>
      <w:tblPr>
        <w:tblLayout w:type="fixed"/>
        <w:tblInd w:w="10" w:type="dxa"/>
        <w:tblCellMar>
          <w:top w:w="0" w:type="dxa"/>
          <w:left w:w="0" w:type="dxa"/>
          <w:bottom w:w="0" w:type="dxa"/>
          <w:right w:w="0" w:type="dxa"/>
        </w:tblCellMar>
      </w:tblPr>
      <w:tr>
        <w:trPr>
          <w:trHeight w:val="170"/>
        </w:trPr>
        <w:tc>
          <w:tcPr>
            <w:tcW w:w="1840" w:type="dxa"/>
            <w:vAlign w:val="bottom"/>
            <w:gridSpan w:val="6"/>
          </w:tcPr>
          <w:p>
            <w:pPr>
              <w:spacing w:after="0"/>
              <w:rPr>
                <w:sz w:val="20"/>
                <w:szCs w:val="20"/>
                <w:color w:val="auto"/>
              </w:rPr>
            </w:pPr>
            <w:r>
              <w:rPr>
                <w:rFonts w:ascii="Courier New" w:cs="Courier New" w:eastAsia="Courier New" w:hAnsi="Courier New"/>
                <w:sz w:val="15"/>
                <w:szCs w:val="15"/>
                <w:color w:val="auto"/>
              </w:rPr>
              <w:t>At December 31, 1998</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and 1997,</w:t>
            </w:r>
          </w:p>
        </w:tc>
        <w:tc>
          <w:tcPr>
            <w:tcW w:w="44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the Company had authorized 1,200,000 Common Units</w:t>
            </w:r>
          </w:p>
        </w:tc>
      </w:tr>
      <w:tr>
        <w:trPr>
          <w:trHeight w:val="170"/>
        </w:trPr>
        <w:tc>
          <w:tcPr>
            <w:tcW w:w="3420" w:type="dxa"/>
            <w:vAlign w:val="bottom"/>
            <w:gridSpan w:val="10"/>
          </w:tcPr>
          <w:p>
            <w:pPr>
              <w:spacing w:after="0"/>
              <w:rPr>
                <w:sz w:val="20"/>
                <w:szCs w:val="20"/>
                <w:color w:val="auto"/>
              </w:rPr>
            </w:pPr>
            <w:r>
              <w:rPr>
                <w:rFonts w:ascii="Courier New" w:cs="Courier New" w:eastAsia="Courier New" w:hAnsi="Courier New"/>
                <w:sz w:val="15"/>
                <w:szCs w:val="15"/>
                <w:color w:val="auto"/>
                <w:w w:val="99"/>
              </w:rPr>
              <w:t>for issuance in connection with a unit</w:t>
            </w:r>
          </w:p>
        </w:tc>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option plan.</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Common Units have no voting</w:t>
            </w:r>
          </w:p>
        </w:tc>
      </w:tr>
      <w:tr>
        <w:trPr>
          <w:trHeight w:val="170"/>
        </w:trPr>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w w:val="92"/>
              </w:rPr>
              <w:t>rights</w:t>
            </w:r>
          </w:p>
        </w:tc>
        <w:tc>
          <w:tcPr>
            <w:tcW w:w="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88"/>
              </w:rPr>
              <w:t>and,</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after</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payment</w:t>
            </w:r>
          </w:p>
        </w:tc>
        <w:tc>
          <w:tcPr>
            <w:tcW w:w="1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the</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Preference</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w w:val="97"/>
              </w:rPr>
              <w:t>Amount  to the Preferred Unit</w:t>
            </w:r>
          </w:p>
        </w:tc>
      </w:tr>
      <w:tr>
        <w:trPr>
          <w:trHeight w:val="170"/>
        </w:trPr>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holders,</w:t>
            </w:r>
          </w:p>
        </w:tc>
        <w:tc>
          <w:tcPr>
            <w:tcW w:w="616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7"/>
              </w:rPr>
              <w:t>distributions (if any) are allocated ratably among holders of both the</w:t>
            </w:r>
          </w:p>
        </w:tc>
      </w:tr>
      <w:tr>
        <w:trPr>
          <w:trHeight w:val="170"/>
        </w:trPr>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w w:val="92"/>
              </w:rPr>
              <w:t>Common</w:t>
            </w:r>
          </w:p>
        </w:tc>
        <w:tc>
          <w:tcPr>
            <w:tcW w:w="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w:t>
            </w:r>
          </w:p>
        </w:tc>
        <w:tc>
          <w:tcPr>
            <w:tcW w:w="150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5"/>
              </w:rPr>
              <w:t>Preferred Units.</w:t>
            </w:r>
          </w:p>
        </w:tc>
        <w:tc>
          <w:tcPr>
            <w:tcW w:w="100" w:type="dxa"/>
            <w:vAlign w:val="bottom"/>
          </w:tcPr>
          <w:p>
            <w:pPr>
              <w:spacing w:after="0"/>
              <w:rPr>
                <w:sz w:val="14"/>
                <w:szCs w:val="14"/>
                <w:color w:val="auto"/>
              </w:rPr>
            </w:pPr>
          </w:p>
        </w:tc>
        <w:tc>
          <w:tcPr>
            <w:tcW w:w="44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As of December 31, 1998, no units had been issued</w:t>
            </w:r>
          </w:p>
        </w:tc>
      </w:tr>
      <w:tr>
        <w:trPr>
          <w:trHeight w:val="170"/>
        </w:trPr>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rPr>
              <w:t>under</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w w:val="96"/>
              </w:rPr>
              <w:t>the</w:t>
            </w:r>
          </w:p>
        </w:tc>
        <w:tc>
          <w:tcPr>
            <w:tcW w:w="1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Company's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w w:val="92"/>
              </w:rPr>
              <w:t>option</w:t>
            </w:r>
          </w:p>
        </w:tc>
        <w:tc>
          <w:tcPr>
            <w:tcW w:w="1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plan.</w:t>
            </w:r>
          </w:p>
        </w:tc>
        <w:tc>
          <w:tcPr>
            <w:tcW w:w="106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339"/>
        </w:trPr>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w w:val="95"/>
              </w:rPr>
              <w:t>ALLOCATION</w:t>
            </w:r>
          </w:p>
        </w:tc>
        <w:tc>
          <w:tcPr>
            <w:tcW w:w="1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NET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LOSSES</w:t>
            </w:r>
          </w:p>
        </w:tc>
        <w:tc>
          <w:tcPr>
            <w:tcW w:w="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AND</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NET</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560" w:type="dxa"/>
            <w:vAlign w:val="bottom"/>
          </w:tcPr>
          <w:p>
            <w:pPr>
              <w:spacing w:after="0"/>
              <w:rPr>
                <w:sz w:val="24"/>
                <w:szCs w:val="24"/>
                <w:color w:val="auto"/>
              </w:rPr>
            </w:pP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300" w:type="dxa"/>
            <w:vAlign w:val="bottom"/>
            <w:gridSpan w:val="7"/>
          </w:tcPr>
          <w:p>
            <w:pPr>
              <w:ind w:left="100"/>
              <w:spacing w:after="0"/>
              <w:rPr>
                <w:sz w:val="20"/>
                <w:szCs w:val="20"/>
                <w:color w:val="auto"/>
              </w:rPr>
            </w:pPr>
            <w:r>
              <w:rPr>
                <w:rFonts w:ascii="Courier New" w:cs="Courier New" w:eastAsia="Courier New" w:hAnsi="Courier New"/>
                <w:sz w:val="15"/>
                <w:szCs w:val="15"/>
                <w:color w:val="auto"/>
                <w:w w:val="96"/>
              </w:rPr>
              <w:t>losses of the Company are</w:t>
            </w:r>
          </w:p>
        </w:tc>
        <w:tc>
          <w:tcPr>
            <w:tcW w:w="44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allocated (i) to the members of the Preferred and</w:t>
            </w:r>
          </w:p>
        </w:tc>
      </w:tr>
      <w:tr>
        <w:trPr>
          <w:trHeight w:val="170"/>
        </w:trPr>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w w:val="92"/>
              </w:rPr>
              <w:t>Common</w:t>
            </w:r>
          </w:p>
        </w:tc>
        <w:tc>
          <w:tcPr>
            <w:tcW w:w="2120" w:type="dxa"/>
            <w:vAlign w:val="bottom"/>
            <w:gridSpan w:val="6"/>
          </w:tcPr>
          <w:p>
            <w:pPr>
              <w:ind w:left="180"/>
              <w:spacing w:after="0"/>
              <w:rPr>
                <w:sz w:val="20"/>
                <w:szCs w:val="20"/>
                <w:color w:val="auto"/>
              </w:rPr>
            </w:pPr>
            <w:r>
              <w:rPr>
                <w:rFonts w:ascii="Courier New" w:cs="Courier New" w:eastAsia="Courier New" w:hAnsi="Courier New"/>
                <w:sz w:val="15"/>
                <w:szCs w:val="15"/>
                <w:color w:val="auto"/>
                <w:w w:val="96"/>
              </w:rPr>
              <w:t>Units in proportion to</w:t>
            </w:r>
          </w:p>
        </w:tc>
        <w:tc>
          <w:tcPr>
            <w:tcW w:w="44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their relative number of units to the extent that</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this</w:t>
            </w:r>
          </w:p>
        </w:tc>
        <w:tc>
          <w:tcPr>
            <w:tcW w:w="180" w:type="dxa"/>
            <w:vAlign w:val="bottom"/>
          </w:tcPr>
          <w:p>
            <w:pPr>
              <w:spacing w:after="0"/>
              <w:rPr>
                <w:sz w:val="14"/>
                <w:szCs w:val="14"/>
                <w:color w:val="auto"/>
              </w:rPr>
            </w:pPr>
          </w:p>
        </w:tc>
        <w:tc>
          <w:tcPr>
            <w:tcW w:w="652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7"/>
              </w:rPr>
              <w:t>would not cause such holders to have a capital deficit; (ii) to the extent</w:t>
            </w:r>
          </w:p>
        </w:tc>
      </w:tr>
      <w:tr>
        <w:trPr>
          <w:trHeight w:val="170"/>
        </w:trPr>
        <w:tc>
          <w:tcPr>
            <w:tcW w:w="1840" w:type="dxa"/>
            <w:vAlign w:val="bottom"/>
            <w:gridSpan w:val="6"/>
          </w:tcPr>
          <w:p>
            <w:pPr>
              <w:spacing w:after="0"/>
              <w:rPr>
                <w:sz w:val="20"/>
                <w:szCs w:val="20"/>
                <w:color w:val="auto"/>
              </w:rPr>
            </w:pPr>
            <w:r>
              <w:rPr>
                <w:rFonts w:ascii="Courier New" w:cs="Courier New" w:eastAsia="Courier New" w:hAnsi="Courier New"/>
                <w:sz w:val="15"/>
                <w:szCs w:val="15"/>
                <w:color w:val="auto"/>
              </w:rPr>
              <w:t>any holder's capital</w:t>
            </w:r>
          </w:p>
        </w:tc>
        <w:tc>
          <w:tcPr>
            <w:tcW w:w="52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account would equal zero the loss is allocated to all other</w:t>
            </w:r>
          </w:p>
        </w:tc>
      </w:tr>
      <w:tr>
        <w:trPr>
          <w:trHeight w:val="170"/>
        </w:trPr>
        <w:tc>
          <w:tcPr>
            <w:tcW w:w="2640" w:type="dxa"/>
            <w:vAlign w:val="bottom"/>
            <w:gridSpan w:val="8"/>
          </w:tcPr>
          <w:p>
            <w:pPr>
              <w:spacing w:after="0"/>
              <w:rPr>
                <w:sz w:val="20"/>
                <w:szCs w:val="20"/>
                <w:color w:val="auto"/>
              </w:rPr>
            </w:pPr>
            <w:r>
              <w:rPr>
                <w:rFonts w:ascii="Courier New" w:cs="Courier New" w:eastAsia="Courier New" w:hAnsi="Courier New"/>
                <w:sz w:val="15"/>
                <w:szCs w:val="15"/>
                <w:color w:val="auto"/>
                <w:w w:val="97"/>
              </w:rPr>
              <w:t>holders in proportion to their</w:t>
            </w:r>
          </w:p>
        </w:tc>
        <w:tc>
          <w:tcPr>
            <w:tcW w:w="44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relative ownership of units until such allocation</w:t>
            </w:r>
          </w:p>
        </w:tc>
      </w:tr>
      <w:tr>
        <w:trPr>
          <w:trHeight w:val="170"/>
        </w:trPr>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rPr>
              <w:t>would</w:t>
            </w:r>
          </w:p>
        </w:tc>
        <w:tc>
          <w:tcPr>
            <w:tcW w:w="5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3"/>
              </w:rPr>
              <w:t>cause</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those</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holders</w:t>
            </w:r>
          </w:p>
        </w:tc>
        <w:tc>
          <w:tcPr>
            <w:tcW w:w="1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to</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have</w:t>
            </w:r>
          </w:p>
        </w:tc>
        <w:tc>
          <w:tcPr>
            <w:tcW w:w="3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 capital account balance of zero; (iii)</w:t>
            </w:r>
          </w:p>
        </w:tc>
      </w:tr>
      <w:tr>
        <w:trPr>
          <w:trHeight w:val="170"/>
        </w:trPr>
        <w:tc>
          <w:tcPr>
            <w:tcW w:w="1040" w:type="dxa"/>
            <w:vAlign w:val="bottom"/>
            <w:gridSpan w:val="4"/>
          </w:tcPr>
          <w:p>
            <w:pPr>
              <w:spacing w:after="0"/>
              <w:rPr>
                <w:sz w:val="20"/>
                <w:szCs w:val="20"/>
                <w:color w:val="auto"/>
              </w:rPr>
            </w:pPr>
            <w:r>
              <w:rPr>
                <w:rFonts w:ascii="Courier New" w:cs="Courier New" w:eastAsia="Courier New" w:hAnsi="Courier New"/>
                <w:sz w:val="15"/>
                <w:szCs w:val="15"/>
                <w:color w:val="auto"/>
              </w:rPr>
              <w:t>thereafter,</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the</w:t>
            </w:r>
          </w:p>
        </w:tc>
        <w:tc>
          <w:tcPr>
            <w:tcW w:w="564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remaining loss would be allocated to all holders in proportion</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rPr>
              <w:t>their</w:t>
            </w:r>
          </w:p>
        </w:tc>
        <w:tc>
          <w:tcPr>
            <w:tcW w:w="9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relative</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88"/>
              </w:rPr>
              <w:t>of</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units.</w:t>
            </w:r>
          </w:p>
        </w:tc>
        <w:tc>
          <w:tcPr>
            <w:tcW w:w="1060" w:type="dxa"/>
            <w:vAlign w:val="bottom"/>
          </w:tcPr>
          <w:p>
            <w:pPr>
              <w:spacing w:after="0"/>
              <w:rPr>
                <w:sz w:val="14"/>
                <w:szCs w:val="14"/>
                <w:color w:val="auto"/>
              </w:rPr>
            </w:pPr>
          </w:p>
        </w:tc>
        <w:tc>
          <w:tcPr>
            <w:tcW w:w="2560" w:type="dxa"/>
            <w:vAlign w:val="bottom"/>
          </w:tcPr>
          <w:p>
            <w:pPr>
              <w:spacing w:after="0"/>
              <w:rPr>
                <w:sz w:val="14"/>
                <w:szCs w:val="14"/>
                <w:color w:val="auto"/>
              </w:rPr>
            </w:pPr>
          </w:p>
        </w:tc>
      </w:tr>
    </w:tbl>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Net income of the Company is allocated (i) to the holders of Preferred Units proportionately based on their capital account deficit until all capital accounts are zero; (ii) to the holders of Preferred Units whose capital account is less than any declared but unpaid dividend in proportion to their respective unpaid dividends; (iii) to the holders of Preferred Units whose capital account is less than any unpaid Preference Amount in proportion to such amounts; (iv) to each Common Unit that has a capital account less than any distributed amount in proportion to such amounts; and (v) thereafter, to all holders in proportion to their relative number of units.</w:t>
      </w:r>
    </w:p>
    <w:p>
      <w:pPr>
        <w:sectPr>
          <w:pgSz w:w="11900" w:h="16838" w:orient="portrait"/>
          <w:cols w:equalWidth="0" w:num="1">
            <w:col w:w="10229"/>
          </w:cols>
          <w:pgMar w:left="230" w:top="452" w:right="1440" w:bottom="1440" w:gutter="0" w:footer="0" w:header="0"/>
        </w:sectPr>
      </w:pPr>
    </w:p>
    <w:bookmarkStart w:id="75" w:name="page76"/>
    <w:bookmarkEnd w:id="75"/>
    <w:tbl>
      <w:tblPr>
        <w:tblLayout w:type="fixed"/>
        <w:tblInd w:w="10" w:type="dxa"/>
        <w:tblCellMar>
          <w:top w:w="0" w:type="dxa"/>
          <w:left w:w="0" w:type="dxa"/>
          <w:bottom w:w="0" w:type="dxa"/>
          <w:right w:w="0" w:type="dxa"/>
        </w:tblCellMar>
      </w:tblPr>
      <w:tr>
        <w:trPr>
          <w:trHeight w:val="170"/>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DIADEXUS,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LLC</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LIMITED</w:t>
            </w:r>
          </w:p>
        </w:tc>
        <w:tc>
          <w:tcPr>
            <w:tcW w:w="10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LIABILITY</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COMPANY</w:t>
            </w:r>
          </w:p>
        </w:tc>
        <w:tc>
          <w:tcPr>
            <w:tcW w:w="4100" w:type="dxa"/>
            <w:vAlign w:val="bottom"/>
          </w:tcPr>
          <w:p>
            <w:pPr>
              <w:spacing w:after="0"/>
              <w:rPr>
                <w:sz w:val="14"/>
                <w:szCs w:val="14"/>
                <w:color w:val="auto"/>
              </w:rPr>
            </w:pP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DEVELOPMENT</w:t>
            </w:r>
          </w:p>
        </w:tc>
        <w:tc>
          <w:tcPr>
            <w:tcW w:w="6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3"/>
              </w:rPr>
              <w:t>STAGE</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COMPANY)</w:t>
            </w:r>
          </w:p>
        </w:tc>
        <w:tc>
          <w:tcPr>
            <w:tcW w:w="4100" w:type="dxa"/>
            <w:vAlign w:val="bottom"/>
          </w:tcPr>
          <w:p>
            <w:pPr>
              <w:spacing w:after="0"/>
              <w:rPr>
                <w:sz w:val="14"/>
                <w:szCs w:val="14"/>
                <w:color w:val="auto"/>
              </w:rPr>
            </w:pPr>
          </w:p>
        </w:tc>
      </w:tr>
      <w:tr>
        <w:trPr>
          <w:trHeight w:val="170"/>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NOTES  TO</w:t>
            </w:r>
          </w:p>
        </w:tc>
        <w:tc>
          <w:tcPr>
            <w:tcW w:w="10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FINANCIAL</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STATEMENTS</w:t>
            </w:r>
          </w:p>
        </w:tc>
        <w:tc>
          <w:tcPr>
            <w:tcW w:w="4100" w:type="dxa"/>
            <w:vAlign w:val="bottom"/>
          </w:tcPr>
          <w:p>
            <w:pPr>
              <w:jc w:val="right"/>
              <w:ind w:right="3007"/>
              <w:spacing w:after="0"/>
              <w:rPr>
                <w:sz w:val="20"/>
                <w:szCs w:val="20"/>
                <w:color w:val="auto"/>
              </w:rPr>
            </w:pPr>
            <w:r>
              <w:rPr>
                <w:rFonts w:ascii="Courier New" w:cs="Courier New" w:eastAsia="Courier New" w:hAnsi="Courier New"/>
                <w:sz w:val="15"/>
                <w:szCs w:val="15"/>
                <w:color w:val="auto"/>
              </w:rPr>
              <w:t>(CONTINUED)</w:t>
            </w:r>
          </w:p>
        </w:tc>
      </w:tr>
      <w:tr>
        <w:trPr>
          <w:trHeight w:val="170"/>
        </w:trPr>
        <w:tc>
          <w:tcPr>
            <w:tcW w:w="7040" w:type="dxa"/>
            <w:vAlign w:val="bottom"/>
            <w:gridSpan w:val="7"/>
          </w:tcPr>
          <w:p>
            <w:pPr>
              <w:spacing w:after="0"/>
              <w:rPr>
                <w:sz w:val="20"/>
                <w:szCs w:val="20"/>
                <w:color w:val="auto"/>
              </w:rPr>
            </w:pPr>
            <w:r>
              <w:rPr>
                <w:rFonts w:ascii="Courier New" w:cs="Courier New" w:eastAsia="Courier New" w:hAnsi="Courier New"/>
                <w:sz w:val="15"/>
                <w:szCs w:val="15"/>
                <w:color w:val="auto"/>
              </w:rPr>
              <w:t>- ---------------------------------------------</w:t>
            </w:r>
          </w:p>
        </w:tc>
      </w:tr>
      <w:tr>
        <w:trPr>
          <w:trHeight w:val="339"/>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DIVIDENDS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The</w:t>
            </w:r>
          </w:p>
        </w:tc>
        <w:tc>
          <w:tcPr>
            <w:tcW w:w="13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holders  of</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the</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Preferred</w:t>
            </w:r>
          </w:p>
        </w:tc>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w w:val="98"/>
              </w:rPr>
              <w:t>Units are entitled to receive a non-cumulative</w:t>
            </w:r>
          </w:p>
        </w:tc>
      </w:tr>
      <w:tr>
        <w:trPr>
          <w:trHeight w:val="170"/>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dividend,</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if</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and</w:t>
            </w:r>
          </w:p>
        </w:tc>
        <w:tc>
          <w:tcPr>
            <w:tcW w:w="5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when declared by the Board, at a rate of 8% per annum of the</w:t>
            </w:r>
          </w:p>
        </w:tc>
      </w:tr>
      <w:tr>
        <w:trPr>
          <w:trHeight w:val="170"/>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undistributed</w:t>
            </w:r>
          </w:p>
        </w:tc>
        <w:tc>
          <w:tcPr>
            <w:tcW w:w="1620" w:type="dxa"/>
            <w:vAlign w:val="bottom"/>
            <w:gridSpan w:val="3"/>
          </w:tcPr>
          <w:p>
            <w:pPr>
              <w:spacing w:after="0"/>
              <w:rPr>
                <w:sz w:val="20"/>
                <w:szCs w:val="20"/>
                <w:color w:val="auto"/>
              </w:rPr>
            </w:pPr>
            <w:r>
              <w:rPr>
                <w:rFonts w:ascii="Courier New" w:cs="Courier New" w:eastAsia="Courier New" w:hAnsi="Courier New"/>
                <w:sz w:val="15"/>
                <w:szCs w:val="15"/>
                <w:color w:val="auto"/>
                <w:w w:val="98"/>
              </w:rPr>
              <w:t>Preference  Amount</w:t>
            </w:r>
          </w:p>
        </w:tc>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rPr>
              <w:t>attributable to each Preferred Unit, prorated</w:t>
            </w:r>
          </w:p>
        </w:tc>
      </w:tr>
    </w:tbl>
    <w:p>
      <w:pPr>
        <w:spacing w:after="0" w:line="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for any partial year, commencing on the first date each Preferred Unit is issued and outstanding. Dividends shall be paid from available cash after approval of at least 75% of the Preferred Unit holders.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LIQUIDATION</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the event of any liquidation of the Company, distributions, if any, will be made to all unit holders in proportion to the positive balance in their respective capital accounts, after giving cumulative effect to all contributions, distributions and allocations for all periods and payment of costs for winding up of the business, payment of debts, and establishment of appropriate reserves.</w:t>
      </w:r>
    </w:p>
    <w:p>
      <w:pPr>
        <w:spacing w:after="0" w:line="170" w:lineRule="exact"/>
        <w:rPr>
          <w:sz w:val="20"/>
          <w:szCs w:val="20"/>
          <w:color w:val="auto"/>
        </w:rPr>
      </w:pPr>
    </w:p>
    <w:p>
      <w:pPr>
        <w:ind w:left="610" w:hanging="610"/>
        <w:spacing w:after="0"/>
        <w:tabs>
          <w:tab w:leader="none" w:pos="61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In January 1998, the Company's Board of Directors adopted the 1997 Incentive Plan (the "1997 Plan") under which 1,200,000 shares of the Company's Common Units ("Units") were reserved for issuance to employees and consultants of the Company. Options granted under the 1997 Plan are for terms not to exceed ten years. If the option is granted to an individual who, at the time of grant, owns a membership interest in the Company representing more than 10% of the voting power of all classes of membership interest of the Company or any parent or subsidiary, the exercise price of the stock option must be at least 110% of the estimated fair value of the Units at the date of grant. Exercise prices of options granted to all other persons must be at least 85% of the estimated fair value of the Units at the date of grant. Options under the 1997 Plan generally vest over four to five years. The 1997 Plan expires in 2008.</w:t>
      </w:r>
    </w:p>
    <w:p>
      <w:pPr>
        <w:spacing w:after="0" w:line="176" w:lineRule="exact"/>
        <w:rPr>
          <w:sz w:val="20"/>
          <w:szCs w:val="20"/>
          <w:color w:val="auto"/>
        </w:rPr>
      </w:pPr>
    </w:p>
    <w:p>
      <w:pPr>
        <w:ind w:left="10"/>
        <w:spacing w:after="0"/>
        <w:tabs>
          <w:tab w:leader="none" w:pos="1129" w:val="left"/>
          <w:tab w:leader="none" w:pos="2089" w:val="left"/>
          <w:tab w:leader="none" w:pos="2529" w:val="left"/>
          <w:tab w:leader="none" w:pos="3509" w:val="left"/>
          <w:tab w:leader="none" w:pos="4209" w:val="left"/>
          <w:tab w:leader="none" w:pos="5089" w:val="left"/>
          <w:tab w:leader="none" w:pos="5449" w:val="left"/>
          <w:tab w:leader="none" w:pos="6509" w:val="left"/>
        </w:tabs>
        <w:rPr>
          <w:sz w:val="20"/>
          <w:szCs w:val="20"/>
          <w:color w:val="auto"/>
        </w:rPr>
      </w:pPr>
      <w:r>
        <w:rPr>
          <w:rFonts w:ascii="Courier New" w:cs="Courier New" w:eastAsia="Courier New" w:hAnsi="Courier New"/>
          <w:sz w:val="15"/>
          <w:szCs w:val="15"/>
          <w:color w:val="auto"/>
        </w:rPr>
        <w:t>Information</w:t>
        <w:tab/>
        <w:t>regarding</w:t>
        <w:tab/>
        <w:t>the</w:t>
        <w:tab/>
        <w:t>Company's</w:t>
        <w:tab/>
        <w:t>option</w:t>
        <w:tab/>
        <w:t>activity</w:t>
        <w:tab/>
        <w:t>is</w:t>
        <w:tab/>
        <w:t>summarized</w:t>
      </w:r>
      <w:r>
        <w:rPr>
          <w:sz w:val="20"/>
          <w:szCs w:val="20"/>
          <w:color w:val="auto"/>
        </w:rPr>
        <w:tab/>
      </w:r>
      <w:r>
        <w:rPr>
          <w:rFonts w:ascii="Courier New" w:cs="Courier New" w:eastAsia="Courier New" w:hAnsi="Courier New"/>
          <w:sz w:val="14"/>
          <w:szCs w:val="14"/>
          <w:color w:val="auto"/>
        </w:rPr>
        <w:t>below:</w:t>
      </w:r>
    </w:p>
    <w:p>
      <w:pPr>
        <w:sectPr>
          <w:pgSz w:w="11900" w:h="16838" w:orient="portrait"/>
          <w:cols w:equalWidth="0" w:num="1">
            <w:col w:w="10229"/>
          </w:cols>
          <w:pgMar w:left="230" w:top="4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OPTIONS</w:t>
      </w:r>
    </w:p>
    <w:p>
      <w:pPr>
        <w:spacing w:after="0" w:line="5" w:lineRule="exact"/>
        <w:rPr>
          <w:sz w:val="20"/>
          <w:szCs w:val="20"/>
          <w:color w:val="auto"/>
        </w:rPr>
      </w:pPr>
    </w:p>
    <w:p>
      <w:pPr>
        <w:ind w:left="2650"/>
        <w:spacing w:after="0"/>
        <w:rPr>
          <w:sz w:val="20"/>
          <w:szCs w:val="20"/>
          <w:color w:val="auto"/>
        </w:rPr>
      </w:pPr>
      <w:r>
        <w:rPr>
          <w:rFonts w:ascii="Courier New" w:cs="Courier New" w:eastAsia="Courier New" w:hAnsi="Courier New"/>
          <w:sz w:val="14"/>
          <w:szCs w:val="14"/>
          <w:color w:val="auto"/>
        </w:rPr>
        <w:t>AVAILABLE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65" w:lineRule="auto"/>
        <w:rPr>
          <w:sz w:val="20"/>
          <w:szCs w:val="20"/>
          <w:color w:val="auto"/>
        </w:rPr>
      </w:pPr>
      <w:r>
        <w:rPr>
          <w:rFonts w:ascii="Courier New" w:cs="Courier New" w:eastAsia="Courier New" w:hAnsi="Courier New"/>
          <w:sz w:val="14"/>
          <w:szCs w:val="14"/>
          <w:color w:val="auto"/>
        </w:rPr>
        <w:t>OPTIONS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w:t>
      </w:r>
    </w:p>
    <w:p>
      <w:pPr>
        <w:spacing w:after="0"/>
        <w:rPr>
          <w:sz w:val="20"/>
          <w:szCs w:val="20"/>
          <w:color w:val="auto"/>
        </w:rPr>
      </w:pPr>
      <w:r>
        <w:rPr>
          <w:rFonts w:ascii="Courier New" w:cs="Courier New" w:eastAsia="Courier New" w:hAnsi="Courier New"/>
          <w:sz w:val="15"/>
          <w:szCs w:val="15"/>
          <w:color w:val="auto"/>
        </w:rPr>
        <w:t>AVERAGE</w:t>
      </w:r>
    </w:p>
    <w:p>
      <w:pPr>
        <w:spacing w:after="0"/>
        <w:rPr>
          <w:sz w:val="20"/>
          <w:szCs w:val="20"/>
          <w:color w:val="auto"/>
        </w:rPr>
      </w:pPr>
      <w:r>
        <w:rPr>
          <w:rFonts w:ascii="Courier New" w:cs="Courier New" w:eastAsia="Courier New" w:hAnsi="Courier New"/>
          <w:sz w:val="15"/>
          <w:szCs w:val="15"/>
          <w:color w:val="auto"/>
        </w:rPr>
        <w:t>EXERCISE</w:t>
      </w:r>
    </w:p>
    <w:p>
      <w:pPr>
        <w:spacing w:after="0" w:line="238" w:lineRule="auto"/>
        <w:rPr>
          <w:sz w:val="20"/>
          <w:szCs w:val="20"/>
          <w:color w:val="auto"/>
        </w:rPr>
      </w:pPr>
      <w:r>
        <w:rPr>
          <w:rFonts w:ascii="Courier New" w:cs="Courier New" w:eastAsia="Courier New" w:hAnsi="Courier New"/>
          <w:sz w:val="15"/>
          <w:szCs w:val="15"/>
          <w:color w:val="auto"/>
        </w:rPr>
        <w:t>PRICE</w:t>
      </w:r>
    </w:p>
    <w:p>
      <w:pPr>
        <w:spacing w:after="0" w:line="169" w:lineRule="exact"/>
        <w:rPr>
          <w:sz w:val="20"/>
          <w:szCs w:val="20"/>
          <w:color w:val="auto"/>
        </w:rPr>
      </w:pPr>
    </w:p>
    <w:p>
      <w:pPr>
        <w:sectPr>
          <w:pgSz w:w="11900" w:h="16838" w:orient="portrait"/>
          <w:cols w:equalWidth="0" w:num="3">
            <w:col w:w="3430" w:space="280"/>
            <w:col w:w="960" w:space="260"/>
            <w:col w:w="5299"/>
          </w:cols>
          <w:pgMar w:left="230" w:top="452" w:right="1440" w:bottom="1440" w:gutter="0" w:footer="0" w:header="0"/>
          <w:type w:val="continuous"/>
        </w:sectPr>
      </w:pP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Options authorized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Granted</w:t>
      </w:r>
    </w:p>
    <w:p>
      <w:pPr>
        <w:ind w:left="10"/>
        <w:spacing w:after="0"/>
        <w:rPr>
          <w:sz w:val="20"/>
          <w:szCs w:val="20"/>
          <w:color w:val="auto"/>
        </w:rPr>
      </w:pPr>
      <w:r>
        <w:rPr>
          <w:rFonts w:ascii="Courier New" w:cs="Courier New" w:eastAsia="Courier New" w:hAnsi="Courier New"/>
          <w:sz w:val="15"/>
          <w:szCs w:val="15"/>
          <w:color w:val="auto"/>
        </w:rPr>
        <w:t>Canceled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1,200,000</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(760,500)</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44,250</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760,500</w:t>
      </w:r>
    </w:p>
    <w:p>
      <w:pPr>
        <w:spacing w:after="0"/>
        <w:rPr>
          <w:sz w:val="20"/>
          <w:szCs w:val="20"/>
          <w:color w:val="auto"/>
        </w:rPr>
      </w:pPr>
      <w:r>
        <w:rPr>
          <w:rFonts w:ascii="Courier New" w:cs="Courier New" w:eastAsia="Courier New" w:hAnsi="Courier New"/>
          <w:sz w:val="15"/>
          <w:szCs w:val="15"/>
          <w:color w:val="auto"/>
        </w:rPr>
        <w:t>(44,250)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3"/>
          <w:szCs w:val="13"/>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0.36</w:t>
      </w:r>
    </w:p>
    <w:p>
      <w:pPr>
        <w:spacing w:after="0"/>
        <w:rPr>
          <w:sz w:val="20"/>
          <w:szCs w:val="20"/>
          <w:color w:val="auto"/>
        </w:rPr>
      </w:pPr>
      <w:r>
        <w:rPr>
          <w:rFonts w:ascii="Courier New" w:cs="Courier New" w:eastAsia="Courier New" w:hAnsi="Courier New"/>
          <w:sz w:val="15"/>
          <w:szCs w:val="15"/>
          <w:color w:val="auto"/>
        </w:rPr>
        <w:t>0.35</w:t>
      </w:r>
    </w:p>
    <w:p>
      <w:pPr>
        <w:spacing w:after="0" w:line="4" w:lineRule="exact"/>
        <w:rPr>
          <w:sz w:val="20"/>
          <w:szCs w:val="20"/>
          <w:color w:val="auto"/>
        </w:rPr>
      </w:pPr>
    </w:p>
    <w:p>
      <w:pPr>
        <w:sectPr>
          <w:pgSz w:w="11900" w:h="16838" w:orient="portrait"/>
          <w:cols w:equalWidth="0" w:num="5">
            <w:col w:w="1930" w:space="720"/>
            <w:col w:w="880" w:space="520"/>
            <w:col w:w="720" w:space="160"/>
            <w:col w:w="100" w:space="340"/>
            <w:col w:w="4859"/>
          </w:cols>
          <w:pgMar w:left="230" w:top="452" w:right="1440" w:bottom="1440" w:gutter="0" w:footer="0" w:header="0"/>
          <w:type w:val="continuous"/>
        </w:sectPr>
      </w:pPr>
    </w:p>
    <w:p>
      <w:pPr>
        <w:ind w:left="265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530" w:space="180"/>
            <w:col w:w="6519"/>
          </w:cols>
          <w:pgMar w:left="230" w:top="452" w:right="1440" w:bottom="1440" w:gutter="0" w:footer="0" w:header="0"/>
          <w:type w:val="continuous"/>
        </w:sectPr>
      </w:pP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Balance at December 31, 1998</w:t>
      </w:r>
    </w:p>
    <w:p>
      <w:pPr>
        <w:spacing w:after="0" w:line="20" w:lineRule="exact"/>
        <w:rPr>
          <w:sz w:val="20"/>
          <w:szCs w:val="20"/>
          <w:color w:val="auto"/>
        </w:rPr>
      </w:pPr>
      <w:r>
        <w:rPr>
          <w:sz w:val="20"/>
          <w:szCs w:val="20"/>
          <w:color w:val="auto"/>
        </w:rPr>
        <w:br w:type="column"/>
      </w:r>
    </w:p>
    <w:p>
      <w:pPr>
        <w:ind w:firstLine="176"/>
        <w:spacing w:after="0" w:line="265" w:lineRule="auto"/>
        <w:rPr>
          <w:sz w:val="20"/>
          <w:szCs w:val="20"/>
          <w:color w:val="auto"/>
        </w:rPr>
      </w:pPr>
      <w:r>
        <w:rPr>
          <w:rFonts w:ascii="Courier New" w:cs="Courier New" w:eastAsia="Courier New" w:hAnsi="Courier New"/>
          <w:sz w:val="14"/>
          <w:szCs w:val="14"/>
          <w:color w:val="auto"/>
        </w:rPr>
        <w:t>483,750 ----------</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5"/>
          <w:szCs w:val="15"/>
          <w:color w:val="auto"/>
        </w:rPr>
        <w:t>716,250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0.36</w:t>
      </w:r>
    </w:p>
    <w:p>
      <w:pPr>
        <w:sectPr>
          <w:pgSz w:w="11900" w:h="16838" w:orient="portrait"/>
          <w:cols w:equalWidth="0" w:num="4">
            <w:col w:w="2470" w:space="180"/>
            <w:col w:w="880" w:space="180"/>
            <w:col w:w="1060" w:space="600"/>
            <w:col w:w="4859"/>
          </w:cols>
          <w:pgMar w:left="230" w:top="452" w:right="1440" w:bottom="1440" w:gutter="0" w:footer="0" w:header="0"/>
          <w:type w:val="continuous"/>
        </w:sectPr>
      </w:pPr>
    </w:p>
    <w:bookmarkStart w:id="76" w:name="page77"/>
    <w:bookmarkEnd w:id="76"/>
    <w:p>
      <w:pPr>
        <w:ind w:left="10"/>
        <w:spacing w:after="0"/>
        <w:tabs>
          <w:tab w:leader="none" w:pos="949" w:val="left"/>
        </w:tabs>
        <w:rPr>
          <w:sz w:val="20"/>
          <w:szCs w:val="20"/>
          <w:color w:val="auto"/>
        </w:rPr>
      </w:pPr>
      <w:r>
        <w:rPr>
          <w:rFonts w:ascii="Courier New" w:cs="Courier New" w:eastAsia="Courier New" w:hAnsi="Courier New"/>
          <w:sz w:val="15"/>
          <w:szCs w:val="15"/>
          <w:color w:val="auto"/>
        </w:rPr>
        <w:t>DIADEXUS,</w:t>
        <w:tab/>
        <w:t>LLC</w:t>
      </w:r>
    </w:p>
    <w:p>
      <w:pPr>
        <w:ind w:left="10"/>
        <w:spacing w:after="0"/>
        <w:tabs>
          <w:tab w:leader="none" w:pos="249" w:val="left"/>
          <w:tab w:leader="none" w:pos="1029" w:val="left"/>
          <w:tab w:leader="none" w:pos="2009" w:val="left"/>
        </w:tabs>
        <w:rPr>
          <w:sz w:val="20"/>
          <w:szCs w:val="20"/>
          <w:color w:val="auto"/>
        </w:rPr>
      </w:pPr>
      <w:r>
        <w:rPr>
          <w:rFonts w:ascii="Courier New" w:cs="Courier New" w:eastAsia="Courier New" w:hAnsi="Courier New"/>
          <w:sz w:val="15"/>
          <w:szCs w:val="15"/>
          <w:color w:val="auto"/>
        </w:rPr>
        <w:t>A</w:t>
        <w:tab/>
        <w:t>LIMITED</w:t>
        <w:tab/>
        <w:t>LIABILITY</w:t>
      </w:r>
      <w:r>
        <w:rPr>
          <w:sz w:val="20"/>
          <w:szCs w:val="20"/>
          <w:color w:val="auto"/>
        </w:rPr>
        <w:tab/>
      </w:r>
      <w:r>
        <w:rPr>
          <w:rFonts w:ascii="Courier New" w:cs="Courier New" w:eastAsia="Courier New" w:hAnsi="Courier New"/>
          <w:sz w:val="14"/>
          <w:szCs w:val="14"/>
          <w:color w:val="auto"/>
        </w:rPr>
        <w:t>COMPANY</w:t>
      </w:r>
    </w:p>
    <w:p>
      <w:pPr>
        <w:ind w:left="10"/>
        <w:spacing w:after="0"/>
        <w:tabs>
          <w:tab w:leader="none" w:pos="329" w:val="left"/>
          <w:tab w:leader="none" w:pos="1469" w:val="left"/>
          <w:tab w:leader="none" w:pos="2089" w:val="left"/>
        </w:tabs>
        <w:rPr>
          <w:sz w:val="20"/>
          <w:szCs w:val="20"/>
          <w:color w:val="auto"/>
        </w:rPr>
      </w:pPr>
      <w:r>
        <w:rPr>
          <w:rFonts w:ascii="Courier New" w:cs="Courier New" w:eastAsia="Courier New" w:hAnsi="Courier New"/>
          <w:sz w:val="15"/>
          <w:szCs w:val="15"/>
          <w:color w:val="auto"/>
        </w:rPr>
        <w:t>(A</w:t>
        <w:tab/>
        <w:t>DEVELOPMENT</w:t>
        <w:tab/>
        <w:t>STAGE</w:t>
        <w:tab/>
        <w:t>COMPANY)</w:t>
      </w:r>
    </w:p>
    <w:p>
      <w:pPr>
        <w:ind w:left="10"/>
        <w:spacing w:after="0"/>
        <w:tabs>
          <w:tab w:leader="none" w:pos="589" w:val="left"/>
          <w:tab w:leader="none" w:pos="949" w:val="left"/>
          <w:tab w:leader="none" w:pos="1909" w:val="left"/>
          <w:tab w:leader="none" w:pos="2969" w:val="left"/>
        </w:tabs>
        <w:rPr>
          <w:sz w:val="20"/>
          <w:szCs w:val="20"/>
          <w:color w:val="auto"/>
        </w:rPr>
      </w:pPr>
      <w:r>
        <w:rPr>
          <w:rFonts w:ascii="Courier New" w:cs="Courier New" w:eastAsia="Courier New" w:hAnsi="Courier New"/>
          <w:sz w:val="15"/>
          <w:szCs w:val="15"/>
          <w:color w:val="auto"/>
        </w:rPr>
        <w:t>NOTES</w:t>
        <w:tab/>
        <w:t>TO</w:t>
        <w:tab/>
        <w:t>FINANCIAL</w:t>
        <w:tab/>
        <w:t>STATEMENTS</w:t>
      </w:r>
      <w:r>
        <w:rPr>
          <w:sz w:val="20"/>
          <w:szCs w:val="20"/>
          <w:color w:val="auto"/>
        </w:rPr>
        <w:tab/>
      </w:r>
      <w:r>
        <w:rPr>
          <w:rFonts w:ascii="Courier New" w:cs="Courier New" w:eastAsia="Courier New" w:hAnsi="Courier New"/>
          <w:sz w:val="14"/>
          <w:szCs w:val="14"/>
          <w:color w:val="auto"/>
        </w:rPr>
        <w:t>(CONTINUED)</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left="10" w:right="3179"/>
        <w:spacing w:after="0" w:line="235" w:lineRule="auto"/>
        <w:rPr>
          <w:sz w:val="20"/>
          <w:szCs w:val="20"/>
          <w:color w:val="auto"/>
        </w:rPr>
      </w:pPr>
      <w:r>
        <w:rPr>
          <w:rFonts w:ascii="Courier New" w:cs="Courier New" w:eastAsia="Courier New" w:hAnsi="Courier New"/>
          <w:sz w:val="15"/>
          <w:szCs w:val="15"/>
          <w:color w:val="auto"/>
        </w:rPr>
        <w:t>The following table summarizes information about options outstanding and exercisable under the 1997 Plan at December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REMAINING</w:t>
            </w:r>
          </w:p>
        </w:tc>
      </w:tr>
      <w:tr>
        <w:trPr>
          <w:trHeight w:val="170"/>
        </w:trPr>
        <w:tc>
          <w:tcPr>
            <w:tcW w:w="224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OPTIONS</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CONTRACTUAL</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EXERCISE PRICE PER UNIT</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EXERCISABLE</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LIFE (YEARS)</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0.35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691,250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11,509</w:t>
            </w:r>
          </w:p>
        </w:tc>
        <w:tc>
          <w:tcPr>
            <w:tcW w:w="2520" w:type="dxa"/>
            <w:vAlign w:val="bottom"/>
          </w:tcPr>
          <w:p>
            <w:pPr>
              <w:ind w:left="680"/>
              <w:spacing w:after="0"/>
              <w:rPr>
                <w:sz w:val="20"/>
                <w:szCs w:val="20"/>
                <w:color w:val="auto"/>
              </w:rPr>
            </w:pPr>
            <w:r>
              <w:rPr>
                <w:rFonts w:ascii="Courier New" w:cs="Courier New" w:eastAsia="Courier New" w:hAnsi="Courier New"/>
                <w:sz w:val="15"/>
                <w:szCs w:val="15"/>
                <w:color w:val="auto"/>
              </w:rPr>
              <w:t>9.18</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0.75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25,000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ind w:left="680"/>
              <w:spacing w:after="0"/>
              <w:rPr>
                <w:sz w:val="20"/>
                <w:szCs w:val="20"/>
                <w:color w:val="auto"/>
              </w:rPr>
            </w:pPr>
            <w:r>
              <w:rPr>
                <w:rFonts w:ascii="Courier New" w:cs="Courier New" w:eastAsia="Courier New" w:hAnsi="Courier New"/>
                <w:sz w:val="15"/>
                <w:szCs w:val="15"/>
                <w:color w:val="auto"/>
              </w:rPr>
              <w:t>9.85</w:t>
            </w:r>
          </w:p>
        </w:tc>
      </w:tr>
      <w:tr>
        <w:trPr>
          <w:trHeight w:val="170"/>
        </w:trPr>
        <w:tc>
          <w:tcPr>
            <w:tcW w:w="224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716,250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11,509</w:t>
            </w:r>
          </w:p>
        </w:tc>
        <w:tc>
          <w:tcPr>
            <w:tcW w:w="2520" w:type="dxa"/>
            <w:vAlign w:val="bottom"/>
          </w:tcPr>
          <w:p>
            <w:pPr>
              <w:ind w:left="680"/>
              <w:spacing w:after="0"/>
              <w:rPr>
                <w:sz w:val="20"/>
                <w:szCs w:val="20"/>
                <w:color w:val="auto"/>
              </w:rPr>
            </w:pPr>
            <w:r>
              <w:rPr>
                <w:rFonts w:ascii="Courier New" w:cs="Courier New" w:eastAsia="Courier New" w:hAnsi="Courier New"/>
                <w:sz w:val="15"/>
                <w:szCs w:val="15"/>
                <w:color w:val="auto"/>
              </w:rPr>
              <w:t>9.20</w:t>
            </w:r>
          </w:p>
        </w:tc>
      </w:tr>
      <w:tr>
        <w:trPr>
          <w:trHeight w:val="170"/>
        </w:trPr>
        <w:tc>
          <w:tcPr>
            <w:tcW w:w="224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spacing w:after="0"/>
              <w:rPr>
                <w:sz w:val="14"/>
                <w:szCs w:val="14"/>
                <w:color w:val="auto"/>
              </w:rPr>
            </w:pPr>
          </w:p>
        </w:tc>
      </w:tr>
      <w:tr>
        <w:trPr>
          <w:trHeight w:val="678"/>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Had compensation cost for</w:t>
            </w:r>
          </w:p>
        </w:tc>
        <w:tc>
          <w:tcPr>
            <w:tcW w:w="22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the Company's option plan</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w w:val="96"/>
              </w:rPr>
              <w:t>been determined based on the</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fair  value  at the grant</w:t>
            </w:r>
          </w:p>
        </w:tc>
        <w:tc>
          <w:tcPr>
            <w:tcW w:w="48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date as prescribed in SFAS 123, the Company's net loss</w:t>
            </w:r>
          </w:p>
        </w:tc>
      </w:tr>
    </w:tbl>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20" w:type="dxa"/>
            <w:vAlign w:val="bottom"/>
            <w:gridSpan w:val="4"/>
          </w:tcPr>
          <w:p>
            <w:pPr>
              <w:spacing w:after="0"/>
              <w:rPr>
                <w:sz w:val="20"/>
                <w:szCs w:val="20"/>
                <w:color w:val="auto"/>
              </w:rPr>
            </w:pPr>
            <w:r>
              <w:rPr>
                <w:rFonts w:ascii="Courier New" w:cs="Courier New" w:eastAsia="Courier New" w:hAnsi="Courier New"/>
                <w:sz w:val="15"/>
                <w:szCs w:val="15"/>
                <w:color w:val="auto"/>
                <w:w w:val="96"/>
              </w:rPr>
              <w:t>for 1998 would have included an</w:t>
            </w: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additional $15,000 of</w:t>
            </w: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compensation expense.  The</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fair</w:t>
            </w:r>
          </w:p>
        </w:tc>
        <w:tc>
          <w:tcPr>
            <w:tcW w:w="2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value  of  each  option</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grant is estimated</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on</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date of grant using the</w:t>
            </w:r>
          </w:p>
        </w:tc>
      </w:tr>
      <w:tr>
        <w:trPr>
          <w:trHeight w:val="170"/>
        </w:trPr>
        <w:tc>
          <w:tcPr>
            <w:tcW w:w="1220" w:type="dxa"/>
            <w:vAlign w:val="bottom"/>
            <w:gridSpan w:val="3"/>
          </w:tcPr>
          <w:p>
            <w:pPr>
              <w:spacing w:after="0"/>
              <w:rPr>
                <w:sz w:val="20"/>
                <w:szCs w:val="20"/>
                <w:color w:val="auto"/>
              </w:rPr>
            </w:pPr>
            <w:r>
              <w:rPr>
                <w:rFonts w:ascii="Courier New" w:cs="Courier New" w:eastAsia="Courier New" w:hAnsi="Courier New"/>
                <w:sz w:val="15"/>
                <w:szCs w:val="15"/>
                <w:color w:val="auto"/>
                <w:w w:val="95"/>
              </w:rPr>
              <w:t>minimum  value</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method with the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following</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assumptions</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used for</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9"/>
              </w:rPr>
              <w:t>grants during the</w:t>
            </w:r>
          </w:p>
        </w:tc>
      </w:tr>
      <w:tr>
        <w:trPr>
          <w:trHeight w:val="170"/>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applicable</w:t>
            </w:r>
          </w:p>
        </w:tc>
        <w:tc>
          <w:tcPr>
            <w:tcW w:w="374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period:  dividend yield of zero percent,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risk-free</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9"/>
              </w:rPr>
              <w:t>interest rates of</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5.4%</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6"/>
              </w:rPr>
              <w:t>weighted  average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expected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option</w:t>
            </w:r>
          </w:p>
        </w:tc>
        <w:tc>
          <w:tcPr>
            <w:tcW w:w="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term</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of  5</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years.</w:t>
            </w:r>
          </w:p>
        </w:tc>
      </w:tr>
    </w:tbl>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The Company offers its employees a 401(k) plan that qualifies as a deferred salary arrangement under Section 401(k) of the Internal Revenue Code. Under the 401(k) plan, participating employees may defer a portion of their pretax earnings not to exceed certain statutorily specified amounts ($10,000 for calendar year 1998). The Company, at its discretion, may make contributions for the benefit of eligible employees. In 1998, the Company made no contributions under the 401(k) plan.</w:t>
      </w:r>
    </w:p>
    <w:p>
      <w:pPr>
        <w:spacing w:after="0" w:line="171" w:lineRule="exact"/>
        <w:rPr>
          <w:sz w:val="20"/>
          <w:szCs w:val="20"/>
          <w:color w:val="auto"/>
        </w:rPr>
      </w:pPr>
    </w:p>
    <w:p>
      <w:pPr>
        <w:ind w:left="610" w:hanging="610"/>
        <w:spacing w:after="0"/>
        <w:tabs>
          <w:tab w:leader="none" w:pos="61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The Company leases its office facilities under a noncancelable operating lease agreement which expires in September 2002 and contains renewal provisions. Future minimum lease payments under the noncancelable lease at December 31, 1998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YEAR ENDING</w:t>
      </w:r>
    </w:p>
    <w:p>
      <w:pPr>
        <w:ind w:left="10"/>
        <w:spacing w:after="0"/>
        <w:rPr>
          <w:sz w:val="20"/>
          <w:szCs w:val="20"/>
          <w:color w:val="auto"/>
        </w:rPr>
      </w:pPr>
      <w:r>
        <w:rPr>
          <w:rFonts w:ascii="Courier New" w:cs="Courier New" w:eastAsia="Courier New" w:hAnsi="Courier New"/>
          <w:sz w:val="15"/>
          <w:szCs w:val="15"/>
          <w:color w:val="auto"/>
        </w:rPr>
        <w:t>DECEMBER 31,</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jc w:val="right"/>
              <w:ind w:right="2487"/>
              <w:spacing w:after="0"/>
              <w:rPr>
                <w:sz w:val="20"/>
                <w:szCs w:val="20"/>
                <w:color w:val="auto"/>
              </w:rPr>
            </w:pPr>
            <w:r>
              <w:rPr>
                <w:rFonts w:ascii="Courier New" w:cs="Courier New" w:eastAsia="Courier New" w:hAnsi="Courier New"/>
                <w:sz w:val="15"/>
                <w:szCs w:val="15"/>
                <w:color w:val="auto"/>
                <w:w w:val="88"/>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780,000</w:t>
            </w:r>
          </w:p>
        </w:tc>
      </w:tr>
      <w:tr>
        <w:trPr>
          <w:trHeight w:val="170"/>
        </w:trPr>
        <w:tc>
          <w:tcPr>
            <w:tcW w:w="2900" w:type="dxa"/>
            <w:vAlign w:val="bottom"/>
          </w:tcPr>
          <w:p>
            <w:pPr>
              <w:jc w:val="right"/>
              <w:ind w:right="2487"/>
              <w:spacing w:after="0"/>
              <w:rPr>
                <w:sz w:val="20"/>
                <w:szCs w:val="20"/>
                <w:color w:val="auto"/>
              </w:rPr>
            </w:pPr>
            <w:r>
              <w:rPr>
                <w:rFonts w:ascii="Courier New" w:cs="Courier New" w:eastAsia="Courier New" w:hAnsi="Courier New"/>
                <w:sz w:val="15"/>
                <w:szCs w:val="15"/>
                <w:color w:val="auto"/>
                <w:w w:val="88"/>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799,000</w:t>
            </w:r>
          </w:p>
        </w:tc>
      </w:tr>
      <w:tr>
        <w:trPr>
          <w:trHeight w:val="170"/>
        </w:trPr>
        <w:tc>
          <w:tcPr>
            <w:tcW w:w="2900" w:type="dxa"/>
            <w:vAlign w:val="bottom"/>
          </w:tcPr>
          <w:p>
            <w:pPr>
              <w:jc w:val="right"/>
              <w:ind w:right="2487"/>
              <w:spacing w:after="0"/>
              <w:rPr>
                <w:sz w:val="20"/>
                <w:szCs w:val="20"/>
                <w:color w:val="auto"/>
              </w:rPr>
            </w:pPr>
            <w:r>
              <w:rPr>
                <w:rFonts w:ascii="Courier New" w:cs="Courier New" w:eastAsia="Courier New" w:hAnsi="Courier New"/>
                <w:sz w:val="15"/>
                <w:szCs w:val="15"/>
                <w:color w:val="auto"/>
                <w:w w:val="88"/>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818,000</w:t>
            </w:r>
          </w:p>
        </w:tc>
      </w:tr>
      <w:tr>
        <w:trPr>
          <w:trHeight w:val="170"/>
        </w:trPr>
        <w:tc>
          <w:tcPr>
            <w:tcW w:w="2900" w:type="dxa"/>
            <w:vAlign w:val="bottom"/>
          </w:tcPr>
          <w:p>
            <w:pPr>
              <w:jc w:val="right"/>
              <w:ind w:right="2487"/>
              <w:spacing w:after="0"/>
              <w:rPr>
                <w:sz w:val="20"/>
                <w:szCs w:val="20"/>
                <w:color w:val="auto"/>
              </w:rPr>
            </w:pPr>
            <w:r>
              <w:rPr>
                <w:rFonts w:ascii="Courier New" w:cs="Courier New" w:eastAsia="Courier New" w:hAnsi="Courier New"/>
                <w:sz w:val="15"/>
                <w:szCs w:val="15"/>
                <w:color w:val="auto"/>
                <w:w w:val="88"/>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624,000</w:t>
            </w:r>
          </w:p>
        </w:tc>
      </w:tr>
      <w:tr>
        <w:trPr>
          <w:trHeight w:val="170"/>
        </w:trPr>
        <w:tc>
          <w:tcPr>
            <w:tcW w:w="29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minimum lease payments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$3,021,000</w:t>
            </w:r>
          </w:p>
        </w:tc>
      </w:tr>
      <w:tr>
        <w:trPr>
          <w:trHeight w:val="170"/>
        </w:trPr>
        <w:tc>
          <w:tcPr>
            <w:tcW w:w="29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9"/>
          </w:cols>
          <w:pgMar w:left="230" w:top="452" w:right="1440" w:bottom="1440" w:gutter="0" w:footer="0" w:header="0"/>
        </w:sectPr>
      </w:pPr>
    </w:p>
    <w:bookmarkStart w:id="77" w:name="page78"/>
    <w:bookmarkEnd w:id="77"/>
    <w:p>
      <w:pPr>
        <w:ind w:left="10"/>
        <w:spacing w:after="0"/>
        <w:tabs>
          <w:tab w:leader="none" w:pos="949" w:val="left"/>
        </w:tabs>
        <w:rPr>
          <w:sz w:val="20"/>
          <w:szCs w:val="20"/>
          <w:color w:val="auto"/>
        </w:rPr>
      </w:pPr>
      <w:r>
        <w:rPr>
          <w:rFonts w:ascii="Courier New" w:cs="Courier New" w:eastAsia="Courier New" w:hAnsi="Courier New"/>
          <w:sz w:val="15"/>
          <w:szCs w:val="15"/>
          <w:color w:val="auto"/>
        </w:rPr>
        <w:t>DIADEXUS,</w:t>
        <w:tab/>
        <w:t>LLC</w:t>
      </w:r>
    </w:p>
    <w:p>
      <w:pPr>
        <w:ind w:left="10"/>
        <w:spacing w:after="0"/>
        <w:tabs>
          <w:tab w:leader="none" w:pos="249" w:val="left"/>
          <w:tab w:leader="none" w:pos="1029" w:val="left"/>
          <w:tab w:leader="none" w:pos="2009" w:val="left"/>
        </w:tabs>
        <w:rPr>
          <w:sz w:val="20"/>
          <w:szCs w:val="20"/>
          <w:color w:val="auto"/>
        </w:rPr>
      </w:pPr>
      <w:r>
        <w:rPr>
          <w:rFonts w:ascii="Courier New" w:cs="Courier New" w:eastAsia="Courier New" w:hAnsi="Courier New"/>
          <w:sz w:val="15"/>
          <w:szCs w:val="15"/>
          <w:color w:val="auto"/>
        </w:rPr>
        <w:t>A</w:t>
        <w:tab/>
        <w:t>LIMITED</w:t>
        <w:tab/>
        <w:t>LIABILITY</w:t>
      </w:r>
      <w:r>
        <w:rPr>
          <w:sz w:val="20"/>
          <w:szCs w:val="20"/>
          <w:color w:val="auto"/>
        </w:rPr>
        <w:tab/>
      </w:r>
      <w:r>
        <w:rPr>
          <w:rFonts w:ascii="Courier New" w:cs="Courier New" w:eastAsia="Courier New" w:hAnsi="Courier New"/>
          <w:sz w:val="14"/>
          <w:szCs w:val="14"/>
          <w:color w:val="auto"/>
        </w:rPr>
        <w:t>COMPANY</w:t>
      </w:r>
    </w:p>
    <w:p>
      <w:pPr>
        <w:ind w:left="10"/>
        <w:spacing w:after="0"/>
        <w:tabs>
          <w:tab w:leader="none" w:pos="329" w:val="left"/>
          <w:tab w:leader="none" w:pos="1469" w:val="left"/>
          <w:tab w:leader="none" w:pos="2089" w:val="left"/>
        </w:tabs>
        <w:rPr>
          <w:sz w:val="20"/>
          <w:szCs w:val="20"/>
          <w:color w:val="auto"/>
        </w:rPr>
      </w:pPr>
      <w:r>
        <w:rPr>
          <w:rFonts w:ascii="Courier New" w:cs="Courier New" w:eastAsia="Courier New" w:hAnsi="Courier New"/>
          <w:sz w:val="15"/>
          <w:szCs w:val="15"/>
          <w:color w:val="auto"/>
        </w:rPr>
        <w:t>(A</w:t>
        <w:tab/>
        <w:t>DEVELOPMENT</w:t>
        <w:tab/>
        <w:t>STAGE</w:t>
        <w:tab/>
        <w:t>COMPANY)</w:t>
      </w:r>
    </w:p>
    <w:p>
      <w:pPr>
        <w:ind w:left="10"/>
        <w:spacing w:after="0"/>
        <w:tabs>
          <w:tab w:leader="none" w:pos="589" w:val="left"/>
          <w:tab w:leader="none" w:pos="949" w:val="left"/>
          <w:tab w:leader="none" w:pos="1909" w:val="left"/>
          <w:tab w:leader="none" w:pos="2969" w:val="left"/>
        </w:tabs>
        <w:rPr>
          <w:sz w:val="20"/>
          <w:szCs w:val="20"/>
          <w:color w:val="auto"/>
        </w:rPr>
      </w:pPr>
      <w:r>
        <w:rPr>
          <w:rFonts w:ascii="Courier New" w:cs="Courier New" w:eastAsia="Courier New" w:hAnsi="Courier New"/>
          <w:sz w:val="15"/>
          <w:szCs w:val="15"/>
          <w:color w:val="auto"/>
        </w:rPr>
        <w:t>NOTES</w:t>
        <w:tab/>
        <w:t>TO</w:t>
        <w:tab/>
        <w:t>FINANCIAL</w:t>
        <w:tab/>
        <w:t>STATEMENTS</w:t>
      </w:r>
      <w:r>
        <w:rPr>
          <w:sz w:val="20"/>
          <w:szCs w:val="20"/>
          <w:color w:val="auto"/>
        </w:rPr>
        <w:tab/>
      </w:r>
      <w:r>
        <w:rPr>
          <w:rFonts w:ascii="Courier New" w:cs="Courier New" w:eastAsia="Courier New" w:hAnsi="Courier New"/>
          <w:sz w:val="14"/>
          <w:szCs w:val="14"/>
          <w:color w:val="auto"/>
        </w:rPr>
        <w:t>(CONTINUED)</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Rent expense for the year ended December 31, 1998 was $825,000. Rent expense for the period from inception (September 1997) through December 31, 1997 was $310,000.</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In 1998, the Company entered into a noncancelable sublease agreement relating to</w:t>
      </w:r>
    </w:p>
    <w:p>
      <w:pPr>
        <w:spacing w:after="0" w:line="11" w:lineRule="exact"/>
        <w:rPr>
          <w:sz w:val="20"/>
          <w:szCs w:val="20"/>
          <w:color w:val="auto"/>
        </w:rPr>
      </w:pPr>
    </w:p>
    <w:p>
      <w:pPr>
        <w:jc w:val="both"/>
        <w:ind w:left="10" w:right="3179" w:hanging="10"/>
        <w:spacing w:after="0" w:line="235" w:lineRule="auto"/>
        <w:tabs>
          <w:tab w:leader="none" w:pos="27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 of its leased office facilities. The sublease agreement expires in August 1999. Rental income for the year ended December 31, 1998 was $117,000.</w:t>
      </w:r>
    </w:p>
    <w:p>
      <w:pPr>
        <w:spacing w:after="0" w:line="1" w:lineRule="exact"/>
        <w:rPr>
          <w:sz w:val="20"/>
          <w:szCs w:val="20"/>
          <w:color w:val="auto"/>
        </w:rPr>
      </w:pPr>
    </w:p>
    <w:p>
      <w:pPr>
        <w:ind w:left="10"/>
        <w:spacing w:after="0"/>
        <w:tabs>
          <w:tab w:leader="none" w:pos="689" w:val="left"/>
          <w:tab w:leader="none" w:pos="1469" w:val="left"/>
          <w:tab w:leader="none" w:pos="2369" w:val="left"/>
          <w:tab w:leader="none" w:pos="3249" w:val="left"/>
          <w:tab w:leader="none" w:pos="4289" w:val="left"/>
          <w:tab w:leader="none" w:pos="4909" w:val="left"/>
          <w:tab w:leader="none" w:pos="5789" w:val="left"/>
          <w:tab w:leader="none" w:pos="6229" w:val="left"/>
        </w:tabs>
        <w:rPr>
          <w:sz w:val="20"/>
          <w:szCs w:val="20"/>
          <w:color w:val="auto"/>
        </w:rPr>
      </w:pPr>
      <w:r>
        <w:rPr>
          <w:rFonts w:ascii="Courier New" w:cs="Courier New" w:eastAsia="Courier New" w:hAnsi="Courier New"/>
          <w:sz w:val="15"/>
          <w:szCs w:val="15"/>
          <w:color w:val="auto"/>
        </w:rPr>
        <w:t>Future</w:t>
        <w:tab/>
        <w:t>minimum</w:t>
        <w:tab/>
        <w:t>sublease</w:t>
        <w:tab/>
        <w:t>payments</w:t>
        <w:tab/>
        <w:t>receivable</w:t>
        <w:tab/>
        <w:t>total</w:t>
        <w:tab/>
        <w:t>$129,000</w:t>
        <w:tab/>
        <w:t>for</w:t>
      </w:r>
      <w:r>
        <w:rPr>
          <w:sz w:val="20"/>
          <w:szCs w:val="20"/>
          <w:color w:val="auto"/>
        </w:rPr>
        <w:tab/>
      </w:r>
      <w:r>
        <w:rPr>
          <w:rFonts w:ascii="Courier New" w:cs="Courier New" w:eastAsia="Courier New" w:hAnsi="Courier New"/>
          <w:sz w:val="14"/>
          <w:szCs w:val="14"/>
          <w:color w:val="auto"/>
        </w:rPr>
        <w:t>1999.</w:t>
      </w:r>
    </w:p>
    <w:p>
      <w:pPr>
        <w:spacing w:after="0" w:line="175"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At December 31, 1998, the Company is committed to pay access fees to Incyte of $5.0 million for use of certain of its gene sequence databases.</w:t>
      </w:r>
    </w:p>
    <w:p>
      <w:pPr>
        <w:sectPr>
          <w:pgSz w:w="11900" w:h="16838" w:orient="portrait"/>
          <w:cols w:equalWidth="0" w:num="1">
            <w:col w:w="10229"/>
          </w:cols>
          <w:pgMar w:left="230" w:top="452" w:right="1440" w:bottom="1440" w:gutter="0" w:footer="0" w:header="0"/>
        </w:sectPr>
      </w:pPr>
    </w:p>
    <w:bookmarkStart w:id="78" w:name="page79"/>
    <w:bookmarkEnd w:id="78"/>
    <w:p>
      <w:pPr>
        <w:ind w:right="3179"/>
        <w:spacing w:after="0" w:line="235"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458" w:right="1440" w:bottom="1440" w:gutter="0" w:footer="0" w:header="0"/>
        </w:sectPr>
      </w:pPr>
    </w:p>
    <w:bookmarkStart w:id="79" w:name="page80"/>
    <w:bookmarkEnd w:id="79"/>
    <w:p>
      <w:pPr>
        <w:spacing w:after="0"/>
        <w:tabs>
          <w:tab w:leader="none" w:pos="500" w:val="left"/>
        </w:tabs>
        <w:rPr>
          <w:sz w:val="20"/>
          <w:szCs w:val="20"/>
          <w:color w:val="auto"/>
        </w:rPr>
      </w:pPr>
      <w:r>
        <w:rPr>
          <w:rFonts w:ascii="Courier New" w:cs="Courier New" w:eastAsia="Courier New" w:hAnsi="Courier New"/>
          <w:sz w:val="15"/>
          <w:szCs w:val="15"/>
          <w:color w:val="auto"/>
        </w:rPr>
        <w:t>PART</w:t>
      </w:r>
      <w:r>
        <w:rPr>
          <w:sz w:val="20"/>
          <w:szCs w:val="20"/>
          <w:color w:val="auto"/>
        </w:rPr>
        <w:tab/>
      </w:r>
      <w:r>
        <w:rPr>
          <w:rFonts w:ascii="Courier New" w:cs="Courier New" w:eastAsia="Courier New" w:hAnsi="Courier New"/>
          <w:sz w:val="14"/>
          <w:szCs w:val="14"/>
          <w:color w:val="auto"/>
        </w:rPr>
        <w:t>III</w:t>
      </w:r>
    </w:p>
    <w:p>
      <w:pPr>
        <w:spacing w:after="0" w:line="169" w:lineRule="exact"/>
        <w:rPr>
          <w:sz w:val="20"/>
          <w:szCs w:val="20"/>
          <w:color w:val="auto"/>
        </w:rPr>
      </w:pPr>
    </w:p>
    <w:p>
      <w:pPr>
        <w:spacing w:after="0"/>
        <w:tabs>
          <w:tab w:leader="none" w:pos="500" w:val="left"/>
          <w:tab w:leader="none" w:pos="1120" w:val="left"/>
          <w:tab w:leader="none" w:pos="2080" w:val="left"/>
          <w:tab w:leader="none" w:pos="2520" w:val="left"/>
          <w:tab w:leader="none" w:pos="3500" w:val="left"/>
          <w:tab w:leader="none" w:pos="4380" w:val="left"/>
          <w:tab w:leader="none" w:pos="4740" w:val="left"/>
          <w:tab w:leader="none" w:pos="5180" w:val="left"/>
        </w:tabs>
        <w:rPr>
          <w:sz w:val="20"/>
          <w:szCs w:val="20"/>
          <w:color w:val="auto"/>
        </w:rPr>
      </w:pPr>
      <w:r>
        <w:rPr>
          <w:rFonts w:ascii="Courier New" w:cs="Courier New" w:eastAsia="Courier New" w:hAnsi="Courier New"/>
          <w:sz w:val="15"/>
          <w:szCs w:val="15"/>
          <w:color w:val="auto"/>
        </w:rPr>
        <w:t>ITEM</w:t>
        <w:tab/>
        <w:t>10.</w:t>
      </w:r>
      <w:r>
        <w:rPr>
          <w:sz w:val="20"/>
          <w:szCs w:val="20"/>
          <w:color w:val="auto"/>
        </w:rPr>
        <w:tab/>
      </w:r>
      <w:r>
        <w:rPr>
          <w:rFonts w:ascii="Courier New" w:cs="Courier New" w:eastAsia="Courier New" w:hAnsi="Courier New"/>
          <w:sz w:val="15"/>
          <w:szCs w:val="15"/>
          <w:color w:val="auto"/>
        </w:rPr>
        <w:t>DIRECTORS</w:t>
        <w:tab/>
        <w:t>AND</w:t>
        <w:tab/>
        <w:t>EXECUTIVE</w:t>
        <w:tab/>
        <w:t>OFFICERS</w:t>
        <w:tab/>
        <w:t>OF</w:t>
        <w:tab/>
        <w:t>THE</w:t>
      </w:r>
      <w:r>
        <w:rPr>
          <w:sz w:val="20"/>
          <w:szCs w:val="20"/>
          <w:color w:val="auto"/>
        </w:rPr>
        <w:tab/>
      </w:r>
      <w:r>
        <w:rPr>
          <w:rFonts w:ascii="Courier New" w:cs="Courier New" w:eastAsia="Courier New" w:hAnsi="Courier New"/>
          <w:sz w:val="14"/>
          <w:szCs w:val="14"/>
          <w:color w:val="auto"/>
        </w:rPr>
        <w:t>REGISTRANT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information required by this item (with respect to Directors) is incorporated by reference from the information under the caption "Election of Directors" contained in the Company's Proxy Statement to be filed with the Securities and Exchange Commission in connection with the solicitation of proxies for the Company's 1999 Annual Meeting of Stockholders to be held on June 8, 1999 (the "Proxy Statement").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The</w:t>
            </w:r>
          </w:p>
        </w:tc>
        <w:tc>
          <w:tcPr>
            <w:tcW w:w="96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3"/>
              </w:rPr>
              <w:t>executive</w:t>
            </w:r>
          </w:p>
        </w:tc>
        <w:tc>
          <w:tcPr>
            <w:tcW w:w="10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officers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of</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the</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Company</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w w:val="96"/>
              </w:rPr>
              <w:t>are</w:t>
            </w:r>
          </w:p>
        </w:tc>
        <w:tc>
          <w:tcPr>
            <w:tcW w:w="5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as</w:t>
            </w: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follows:</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9"/>
        </w:trPr>
        <w:tc>
          <w:tcPr>
            <w:tcW w:w="4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ROY</w:t>
            </w:r>
          </w:p>
        </w:tc>
        <w:tc>
          <w:tcPr>
            <w:tcW w:w="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w:t>
            </w:r>
          </w:p>
        </w:tc>
        <w:tc>
          <w:tcPr>
            <w:tcW w:w="3000" w:type="dxa"/>
            <w:vAlign w:val="bottom"/>
            <w:gridSpan w:val="9"/>
          </w:tcPr>
          <w:p>
            <w:pPr>
              <w:jc w:val="right"/>
              <w:ind w:right="7"/>
              <w:spacing w:after="0"/>
              <w:rPr>
                <w:sz w:val="20"/>
                <w:szCs w:val="20"/>
                <w:color w:val="auto"/>
              </w:rPr>
            </w:pPr>
            <w:r>
              <w:rPr>
                <w:rFonts w:ascii="Courier New" w:cs="Courier New" w:eastAsia="Courier New" w:hAnsi="Courier New"/>
                <w:sz w:val="15"/>
                <w:szCs w:val="15"/>
                <w:color w:val="auto"/>
                <w:w w:val="97"/>
              </w:rPr>
              <w:t>WHITFIELD, age 46, has been Chief</w:t>
            </w:r>
          </w:p>
        </w:tc>
        <w:tc>
          <w:tcPr>
            <w:tcW w:w="282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Executive Officer of the Company</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since</w:t>
            </w:r>
          </w:p>
        </w:tc>
        <w:tc>
          <w:tcPr>
            <w:tcW w:w="520" w:type="dxa"/>
            <w:vAlign w:val="bottom"/>
            <w:gridSpan w:val="2"/>
          </w:tcPr>
          <w:p>
            <w:pPr>
              <w:jc w:val="center"/>
              <w:ind w:left="87"/>
              <w:spacing w:after="0"/>
              <w:rPr>
                <w:sz w:val="20"/>
                <w:szCs w:val="20"/>
                <w:color w:val="auto"/>
              </w:rPr>
            </w:pPr>
            <w:r>
              <w:rPr>
                <w:rFonts w:ascii="Courier New" w:cs="Courier New" w:eastAsia="Courier New" w:hAnsi="Courier New"/>
                <w:sz w:val="15"/>
                <w:szCs w:val="15"/>
                <w:color w:val="auto"/>
                <w:w w:val="99"/>
              </w:rPr>
              <w:t>June</w:t>
            </w:r>
          </w:p>
        </w:tc>
        <w:tc>
          <w:tcPr>
            <w:tcW w:w="7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and</w:t>
            </w:r>
          </w:p>
        </w:tc>
        <w:tc>
          <w:tcPr>
            <w:tcW w:w="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director</w:t>
            </w:r>
          </w:p>
        </w:tc>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3"/>
              </w:rPr>
              <w:t>since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1991.</w:t>
            </w:r>
          </w:p>
        </w:tc>
        <w:tc>
          <w:tcPr>
            <w:tcW w:w="2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Mr. Whitfield served as</w:t>
            </w:r>
          </w:p>
        </w:tc>
      </w:tr>
      <w:tr>
        <w:trPr>
          <w:trHeight w:val="170"/>
        </w:trPr>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rPr>
              <w:t>President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000" w:type="dxa"/>
            <w:vAlign w:val="bottom"/>
            <w:gridSpan w:val="9"/>
          </w:tcPr>
          <w:p>
            <w:pPr>
              <w:jc w:val="right"/>
              <w:ind w:right="7"/>
              <w:spacing w:after="0"/>
              <w:rPr>
                <w:sz w:val="20"/>
                <w:szCs w:val="20"/>
                <w:color w:val="auto"/>
              </w:rPr>
            </w:pPr>
            <w:r>
              <w:rPr>
                <w:rFonts w:ascii="Courier New" w:cs="Courier New" w:eastAsia="Courier New" w:hAnsi="Courier New"/>
                <w:sz w:val="15"/>
                <w:szCs w:val="15"/>
                <w:color w:val="auto"/>
              </w:rPr>
              <w:t>the Company from June 1991 until</w:t>
            </w:r>
          </w:p>
        </w:tc>
        <w:tc>
          <w:tcPr>
            <w:tcW w:w="282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January 1997 and as Treasurer of</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rPr>
              <w:t>Company</w:t>
            </w: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rPr>
              <w:t>from</w:t>
            </w:r>
          </w:p>
        </w:tc>
        <w:tc>
          <w:tcPr>
            <w:tcW w:w="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April</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1991</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until</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October</w:t>
            </w:r>
          </w:p>
        </w:tc>
        <w:tc>
          <w:tcPr>
            <w:tcW w:w="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3"/>
              </w:rPr>
              <w:t>1995.</w:t>
            </w:r>
          </w:p>
        </w:tc>
        <w:tc>
          <w:tcPr>
            <w:tcW w:w="22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6"/>
              </w:rPr>
              <w:t>Previously, Mr. Whitfield</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served</w:t>
            </w:r>
          </w:p>
        </w:tc>
        <w:tc>
          <w:tcPr>
            <w:tcW w:w="2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as</w:t>
            </w:r>
          </w:p>
        </w:tc>
        <w:tc>
          <w:tcPr>
            <w:tcW w:w="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w:t>
            </w:r>
          </w:p>
        </w:tc>
        <w:tc>
          <w:tcPr>
            <w:tcW w:w="9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President</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c>
          <w:tcPr>
            <w:tcW w:w="186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Ideon  Corporation,</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which</w:t>
            </w:r>
          </w:p>
        </w:tc>
        <w:tc>
          <w:tcPr>
            <w:tcW w:w="1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was a majority owned</w:t>
            </w:r>
          </w:p>
        </w:tc>
      </w:tr>
      <w:tr>
        <w:trPr>
          <w:trHeight w:val="170"/>
        </w:trPr>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of</w:t>
            </w:r>
          </w:p>
        </w:tc>
        <w:tc>
          <w:tcPr>
            <w:tcW w:w="180" w:type="dxa"/>
            <w:vAlign w:val="bottom"/>
          </w:tcPr>
          <w:p>
            <w:pPr>
              <w:spacing w:after="0"/>
              <w:rPr>
                <w:sz w:val="14"/>
                <w:szCs w:val="14"/>
                <w:color w:val="auto"/>
              </w:rPr>
            </w:pPr>
          </w:p>
        </w:tc>
        <w:tc>
          <w:tcPr>
            <w:tcW w:w="5640" w:type="dxa"/>
            <w:vAlign w:val="bottom"/>
            <w:gridSpan w:val="15"/>
          </w:tcPr>
          <w:p>
            <w:pPr>
              <w:jc w:val="right"/>
              <w:spacing w:after="0"/>
              <w:rPr>
                <w:sz w:val="20"/>
                <w:szCs w:val="20"/>
                <w:color w:val="auto"/>
              </w:rPr>
            </w:pPr>
            <w:r>
              <w:rPr>
                <w:rFonts w:ascii="Courier New" w:cs="Courier New" w:eastAsia="Courier New" w:hAnsi="Courier New"/>
                <w:sz w:val="15"/>
                <w:szCs w:val="15"/>
                <w:color w:val="auto"/>
                <w:w w:val="97"/>
              </w:rPr>
              <w:t>Invitron Corporation ("Invitron"), a biotechnology company, from</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October</w:t>
            </w:r>
          </w:p>
        </w:tc>
        <w:tc>
          <w:tcPr>
            <w:tcW w:w="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1989</w:t>
            </w:r>
          </w:p>
        </w:tc>
        <w:tc>
          <w:tcPr>
            <w:tcW w:w="7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until</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April</w:t>
            </w: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1991.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From</w:t>
            </w:r>
          </w:p>
        </w:tc>
        <w:tc>
          <w:tcPr>
            <w:tcW w:w="2560" w:type="dxa"/>
            <w:vAlign w:val="bottom"/>
            <w:gridSpan w:val="7"/>
          </w:tcPr>
          <w:p>
            <w:pPr>
              <w:ind w:left="80"/>
              <w:spacing w:after="0"/>
              <w:rPr>
                <w:sz w:val="20"/>
                <w:szCs w:val="20"/>
                <w:color w:val="auto"/>
              </w:rPr>
            </w:pPr>
            <w:r>
              <w:rPr>
                <w:rFonts w:ascii="Courier New" w:cs="Courier New" w:eastAsia="Courier New" w:hAnsi="Courier New"/>
                <w:sz w:val="15"/>
                <w:szCs w:val="15"/>
                <w:color w:val="auto"/>
              </w:rPr>
              <w:t>1984 to 1989, Mr. Whitfield</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held senior</w:t>
            </w:r>
          </w:p>
        </w:tc>
      </w:tr>
      <w:tr>
        <w:trPr>
          <w:trHeight w:val="170"/>
        </w:trPr>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rPr>
              <w:t>operating</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and</w:t>
            </w:r>
          </w:p>
        </w:tc>
        <w:tc>
          <w:tcPr>
            <w:tcW w:w="180" w:type="dxa"/>
            <w:vAlign w:val="bottom"/>
          </w:tcPr>
          <w:p>
            <w:pPr>
              <w:spacing w:after="0"/>
              <w:rPr>
                <w:sz w:val="14"/>
                <w:szCs w:val="14"/>
                <w:color w:val="auto"/>
              </w:rPr>
            </w:pPr>
          </w:p>
        </w:tc>
        <w:tc>
          <w:tcPr>
            <w:tcW w:w="98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w w:val="94"/>
              </w:rPr>
              <w:t>business</w:t>
            </w:r>
          </w:p>
        </w:tc>
        <w:tc>
          <w:tcPr>
            <w:tcW w:w="11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4"/>
              </w:rPr>
              <w:t>development</w:t>
            </w:r>
          </w:p>
        </w:tc>
        <w:tc>
          <w:tcPr>
            <w:tcW w:w="10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positions</w:t>
            </w:r>
          </w:p>
        </w:tc>
        <w:tc>
          <w:tcPr>
            <w:tcW w:w="5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88"/>
              </w:rPr>
              <w:t>with</w:t>
            </w: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Technicon</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Instruments</w:t>
            </w:r>
          </w:p>
        </w:tc>
      </w:tr>
      <w:tr>
        <w:trPr>
          <w:trHeight w:val="170"/>
        </w:trPr>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w w:val="94"/>
              </w:rPr>
              <w:t>Corporation</w:t>
            </w:r>
          </w:p>
        </w:tc>
        <w:tc>
          <w:tcPr>
            <w:tcW w:w="1420" w:type="dxa"/>
            <w:vAlign w:val="bottom"/>
            <w:gridSpan w:val="5"/>
          </w:tcPr>
          <w:p>
            <w:pPr>
              <w:ind w:left="180"/>
              <w:spacing w:after="0"/>
              <w:rPr>
                <w:sz w:val="20"/>
                <w:szCs w:val="20"/>
                <w:color w:val="auto"/>
              </w:rPr>
            </w:pPr>
            <w:r>
              <w:rPr>
                <w:rFonts w:ascii="Courier New" w:cs="Courier New" w:eastAsia="Courier New" w:hAnsi="Courier New"/>
                <w:sz w:val="15"/>
                <w:szCs w:val="15"/>
                <w:color w:val="auto"/>
                <w:w w:val="96"/>
              </w:rPr>
              <w:t>("Technicon"),</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a</w:t>
            </w:r>
          </w:p>
        </w:tc>
        <w:tc>
          <w:tcPr>
            <w:tcW w:w="9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medical</w:t>
            </w:r>
          </w:p>
        </w:tc>
        <w:tc>
          <w:tcPr>
            <w:tcW w:w="1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instrumentation</w:t>
            </w: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company,</w:t>
            </w:r>
          </w:p>
        </w:tc>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and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its</w:t>
            </w:r>
          </w:p>
        </w:tc>
      </w:tr>
      <w:tr>
        <w:trPr>
          <w:trHeight w:val="170"/>
        </w:trPr>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w w:val="94"/>
              </w:rPr>
              <w:t>predecessor</w:t>
            </w:r>
          </w:p>
        </w:tc>
        <w:tc>
          <w:tcPr>
            <w:tcW w:w="9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company,</w:t>
            </w:r>
          </w:p>
        </w:tc>
        <w:tc>
          <w:tcPr>
            <w:tcW w:w="1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CooperBiomedical,</w:t>
            </w:r>
          </w:p>
        </w:tc>
        <w:tc>
          <w:tcPr>
            <w:tcW w:w="1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Inc.,</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a</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biotechnology</w:t>
            </w:r>
          </w:p>
        </w:tc>
        <w:tc>
          <w:tcPr>
            <w:tcW w:w="1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and   medical</w:t>
            </w:r>
          </w:p>
        </w:tc>
      </w:tr>
      <w:tr>
        <w:trPr>
          <w:trHeight w:val="170"/>
        </w:trPr>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w w:val="94"/>
              </w:rPr>
              <w:t>diagnostics</w:t>
            </w:r>
          </w:p>
        </w:tc>
        <w:tc>
          <w:tcPr>
            <w:tcW w:w="9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company.</w:t>
            </w:r>
          </w:p>
        </w:tc>
        <w:tc>
          <w:tcPr>
            <w:tcW w:w="512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9"/>
              </w:rPr>
              <w:t>Prior to his work at Technicon, Mr. Whitfield spent seven</w:t>
            </w:r>
          </w:p>
        </w:tc>
      </w:tr>
      <w:tr>
        <w:trPr>
          <w:trHeight w:val="170"/>
        </w:trPr>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rPr>
              <w:t>years with</w:t>
            </w:r>
          </w:p>
        </w:tc>
        <w:tc>
          <w:tcPr>
            <w:tcW w:w="5720" w:type="dxa"/>
            <w:vAlign w:val="bottom"/>
            <w:gridSpan w:val="16"/>
          </w:tcPr>
          <w:p>
            <w:pPr>
              <w:spacing w:after="0"/>
              <w:rPr>
                <w:sz w:val="20"/>
                <w:szCs w:val="20"/>
                <w:color w:val="auto"/>
              </w:rPr>
            </w:pPr>
            <w:r>
              <w:rPr>
                <w:rFonts w:ascii="Courier New" w:cs="Courier New" w:eastAsia="Courier New" w:hAnsi="Courier New"/>
                <w:sz w:val="15"/>
                <w:szCs w:val="15"/>
                <w:color w:val="auto"/>
                <w:w w:val="98"/>
              </w:rPr>
              <w:t>the Boston Consulting Group's international consulting practice.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Mr.</w:t>
            </w:r>
          </w:p>
        </w:tc>
      </w:tr>
      <w:tr>
        <w:trPr>
          <w:trHeight w:val="170"/>
        </w:trPr>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rPr>
              <w:t>Whitfield</w:t>
            </w:r>
          </w:p>
        </w:tc>
        <w:tc>
          <w:tcPr>
            <w:tcW w:w="700" w:type="dxa"/>
            <w:vAlign w:val="bottom"/>
            <w:gridSpan w:val="3"/>
          </w:tcPr>
          <w:p>
            <w:pPr>
              <w:spacing w:after="0"/>
              <w:rPr>
                <w:sz w:val="20"/>
                <w:szCs w:val="20"/>
                <w:color w:val="auto"/>
              </w:rPr>
            </w:pPr>
            <w:r>
              <w:rPr>
                <w:rFonts w:ascii="Courier New" w:cs="Courier New" w:eastAsia="Courier New" w:hAnsi="Courier New"/>
                <w:sz w:val="15"/>
                <w:szCs w:val="15"/>
                <w:color w:val="auto"/>
                <w:w w:val="94"/>
              </w:rPr>
              <w:t>received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c>
          <w:tcPr>
            <w:tcW w:w="5120" w:type="dxa"/>
            <w:vAlign w:val="bottom"/>
            <w:gridSpan w:val="13"/>
          </w:tcPr>
          <w:p>
            <w:pPr>
              <w:jc w:val="right"/>
              <w:spacing w:after="0"/>
              <w:rPr>
                <w:sz w:val="20"/>
                <w:szCs w:val="20"/>
                <w:color w:val="auto"/>
              </w:rPr>
            </w:pPr>
            <w:r>
              <w:rPr>
                <w:rFonts w:ascii="Courier New" w:cs="Courier New" w:eastAsia="Courier New" w:hAnsi="Courier New"/>
                <w:sz w:val="15"/>
                <w:szCs w:val="15"/>
                <w:color w:val="auto"/>
              </w:rPr>
              <w:t>B.S.  with First Class Honors in mathematics from Oxford</w:t>
            </w:r>
          </w:p>
        </w:tc>
      </w:tr>
      <w:tr>
        <w:trPr>
          <w:trHeight w:val="170"/>
        </w:trPr>
        <w:tc>
          <w:tcPr>
            <w:tcW w:w="4220" w:type="dxa"/>
            <w:vAlign w:val="bottom"/>
            <w:gridSpan w:val="13"/>
          </w:tcPr>
          <w:p>
            <w:pPr>
              <w:spacing w:after="0"/>
              <w:rPr>
                <w:sz w:val="20"/>
                <w:szCs w:val="20"/>
                <w:color w:val="auto"/>
              </w:rPr>
            </w:pPr>
            <w:r>
              <w:rPr>
                <w:rFonts w:ascii="Courier New" w:cs="Courier New" w:eastAsia="Courier New" w:hAnsi="Courier New"/>
                <w:sz w:val="15"/>
                <w:szCs w:val="15"/>
                <w:color w:val="auto"/>
                <w:w w:val="99"/>
              </w:rPr>
              <w:t>University,  and  an  M.B.A.  with  Distinction</w:t>
            </w:r>
          </w:p>
        </w:tc>
        <w:tc>
          <w:tcPr>
            <w:tcW w:w="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from</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Stanford</w:t>
            </w:r>
          </w:p>
        </w:tc>
        <w:tc>
          <w:tcPr>
            <w:tcW w:w="13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University. Mr.</w:t>
            </w:r>
          </w:p>
        </w:tc>
      </w:tr>
      <w:tr>
        <w:trPr>
          <w:trHeight w:val="170"/>
        </w:trPr>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rPr>
              <w:t>Whitfield</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is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a</w:t>
            </w:r>
          </w:p>
        </w:tc>
        <w:tc>
          <w:tcPr>
            <w:tcW w:w="9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director</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Aurora</w:t>
            </w:r>
          </w:p>
        </w:tc>
        <w:tc>
          <w:tcPr>
            <w:tcW w:w="10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4"/>
              </w:rPr>
              <w:t>Biosciences</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Corporation.</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RANDAL W. SCOTT, PH.D., age 41, has been President of the Company since January 1997. He has served as Chief Scientific Officer of the Company since March 1995, Secretary of the Company since April 1991, and a director since June 1991. Dr. Scott served as Executive Vice President of the Company from March 1995 until January 1997 and Vice President, Research and Development of the Company from April 1991 until February 1995. Dr. Scott was one of Invitron's founding scientists and was employed by Invitron from March 1985 to June 1991. In 1987, Dr. Scott started the Protein Biochemistry Department at Invitron's California Research Division and became Senior Director of Research in November 1988. Dr. Scott was responsible for developing Invitron's proprietary products and discovery programs and is an inventor of several of the Company's patents. Prior to joining Invitron, he was a Senior Scientist at Unigene Laboratories, a biotechnology company. Dr. Scott received his Ph.D. in Biochemistry from the University of Kansas.</w:t>
      </w:r>
    </w:p>
    <w:p>
      <w:pPr>
        <w:spacing w:after="0" w:line="18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DENISE M. GILBERT, PH.D., age 41, has been Executive Vice President, Chief Financial Officer and Treasurer of the Company since October 1995. From July 1993 to October 1995 Dr. Gilbert was Vice President and Chief Financial Officer of Affymax N.V., a biopharmaceutical company. Prior to joining Affymax, Dr. Gilbert spent seven years as a Wall Street biotechnology analyst, serving as a Managing Director of Smith Barney from July 1991 to July 1993, Vice President at NatWest Securities from July 1990 to July 1991, and senior analyst at Montgomery Securities from July 1986 to July 1990. Dr. Gilbert received her B.A. in Biological Sciences from Cornell University and Ph.D. in Cell and Developmental Biology from Harvard University.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ITEM</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3"/>
              </w:rPr>
              <w:t>EXECUTIVE</w:t>
            </w:r>
          </w:p>
        </w:tc>
        <w:tc>
          <w:tcPr>
            <w:tcW w:w="14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COMPENSATION</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339"/>
        </w:trPr>
        <w:tc>
          <w:tcPr>
            <w:tcW w:w="340" w:type="dxa"/>
            <w:vAlign w:val="bottom"/>
          </w:tcPr>
          <w:p>
            <w:pPr>
              <w:spacing w:after="0"/>
              <w:rPr>
                <w:sz w:val="24"/>
                <w:szCs w:val="24"/>
                <w:color w:val="auto"/>
              </w:rPr>
            </w:pPr>
          </w:p>
        </w:tc>
        <w:tc>
          <w:tcPr>
            <w:tcW w:w="33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The information required by this item</w:t>
            </w: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is incorporated by reference from the</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information</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under</w:t>
            </w:r>
          </w:p>
        </w:tc>
        <w:tc>
          <w:tcPr>
            <w:tcW w:w="300" w:type="dxa"/>
            <w:vAlign w:val="bottom"/>
            <w:gridSpan w:val="2"/>
          </w:tcPr>
          <w:p>
            <w:pPr>
              <w:spacing w:after="0"/>
              <w:rPr>
                <w:sz w:val="20"/>
                <w:szCs w:val="20"/>
                <w:color w:val="auto"/>
              </w:rPr>
            </w:pPr>
            <w:r>
              <w:rPr>
                <w:rFonts w:ascii="Courier New" w:cs="Courier New" w:eastAsia="Courier New" w:hAnsi="Courier New"/>
                <w:sz w:val="15"/>
                <w:szCs w:val="15"/>
                <w:color w:val="auto"/>
              </w:rPr>
              <w:t>the</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captions</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"Election</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w w:val="88"/>
              </w:rPr>
              <w:t>of</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Directors-Compensation   of</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Directors,"</w:t>
            </w:r>
          </w:p>
        </w:tc>
        <w:tc>
          <w:tcPr>
            <w:tcW w:w="2700" w:type="dxa"/>
            <w:vAlign w:val="bottom"/>
            <w:gridSpan w:val="5"/>
          </w:tcPr>
          <w:p>
            <w:pPr>
              <w:ind w:left="140"/>
              <w:spacing w:after="0"/>
              <w:rPr>
                <w:sz w:val="20"/>
                <w:szCs w:val="20"/>
                <w:color w:val="auto"/>
              </w:rPr>
            </w:pPr>
            <w:r>
              <w:rPr>
                <w:rFonts w:ascii="Courier New" w:cs="Courier New" w:eastAsia="Courier New" w:hAnsi="Courier New"/>
                <w:sz w:val="15"/>
                <w:szCs w:val="15"/>
                <w:color w:val="auto"/>
                <w:w w:val="97"/>
              </w:rPr>
              <w:t>"Executive Compensation," and</w:t>
            </w: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"Report of the Compensation Committee</w:t>
            </w:r>
          </w:p>
        </w:tc>
      </w:tr>
      <w:tr>
        <w:trPr>
          <w:trHeight w:val="170"/>
        </w:trPr>
        <w:tc>
          <w:tcPr>
            <w:tcW w:w="3080" w:type="dxa"/>
            <w:vAlign w:val="bottom"/>
            <w:gridSpan w:val="6"/>
          </w:tcPr>
          <w:p>
            <w:pPr>
              <w:spacing w:after="0"/>
              <w:rPr>
                <w:sz w:val="20"/>
                <w:szCs w:val="20"/>
                <w:color w:val="auto"/>
              </w:rPr>
            </w:pPr>
            <w:r>
              <w:rPr>
                <w:rFonts w:ascii="Courier New" w:cs="Courier New" w:eastAsia="Courier New" w:hAnsi="Courier New"/>
                <w:sz w:val="15"/>
                <w:szCs w:val="15"/>
                <w:color w:val="auto"/>
              </w:rPr>
              <w:t>of  the  Board  of  Directors  on</w:t>
            </w:r>
          </w:p>
        </w:tc>
        <w:tc>
          <w:tcPr>
            <w:tcW w:w="39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Executive Compensation-Compensation Committee</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Interlocks</w:t>
            </w:r>
          </w:p>
        </w:tc>
        <w:tc>
          <w:tcPr>
            <w:tcW w:w="6040" w:type="dxa"/>
            <w:vAlign w:val="bottom"/>
            <w:gridSpan w:val="8"/>
          </w:tcPr>
          <w:p>
            <w:pPr>
              <w:jc w:val="center"/>
              <w:spacing w:after="0"/>
              <w:rPr>
                <w:sz w:val="20"/>
                <w:szCs w:val="20"/>
                <w:color w:val="auto"/>
              </w:rPr>
            </w:pPr>
            <w:r>
              <w:rPr>
                <w:rFonts w:ascii="Courier New" w:cs="Courier New" w:eastAsia="Courier New" w:hAnsi="Courier New"/>
                <w:sz w:val="15"/>
                <w:szCs w:val="15"/>
                <w:color w:val="auto"/>
                <w:w w:val="98"/>
              </w:rPr>
              <w:t>and  Insider  Participation"  contained  in  the  Proxy  Statement.</w:t>
            </w:r>
          </w:p>
        </w:tc>
      </w:tr>
      <w:tr>
        <w:trPr>
          <w:trHeight w:val="509"/>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ITEM</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4"/>
              </w:rPr>
              <w:t>SECURITY</w:t>
            </w:r>
          </w:p>
        </w:tc>
        <w:tc>
          <w:tcPr>
            <w:tcW w:w="14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OWNERSHIP</w:t>
            </w: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OF  CERTAIN</w:t>
            </w:r>
          </w:p>
        </w:tc>
        <w:tc>
          <w:tcPr>
            <w:tcW w:w="2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BENEFICIAL OWNERS AND MANAGEMENT</w:t>
            </w:r>
          </w:p>
        </w:tc>
      </w:tr>
      <w:tr>
        <w:trPr>
          <w:trHeight w:val="339"/>
        </w:trPr>
        <w:tc>
          <w:tcPr>
            <w:tcW w:w="340" w:type="dxa"/>
            <w:vAlign w:val="bottom"/>
          </w:tcPr>
          <w:p>
            <w:pPr>
              <w:spacing w:after="0"/>
              <w:rPr>
                <w:sz w:val="24"/>
                <w:szCs w:val="24"/>
                <w:color w:val="auto"/>
              </w:rPr>
            </w:pPr>
          </w:p>
        </w:tc>
        <w:tc>
          <w:tcPr>
            <w:tcW w:w="33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The information required by this item</w:t>
            </w: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is incorporated by reference from the</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information</w:t>
            </w:r>
          </w:p>
        </w:tc>
        <w:tc>
          <w:tcPr>
            <w:tcW w:w="6040" w:type="dxa"/>
            <w:vAlign w:val="bottom"/>
            <w:gridSpan w:val="8"/>
          </w:tcPr>
          <w:p>
            <w:pPr>
              <w:ind w:left="140"/>
              <w:spacing w:after="0"/>
              <w:rPr>
                <w:sz w:val="20"/>
                <w:szCs w:val="20"/>
                <w:color w:val="auto"/>
              </w:rPr>
            </w:pPr>
            <w:r>
              <w:rPr>
                <w:rFonts w:ascii="Courier New" w:cs="Courier New" w:eastAsia="Courier New" w:hAnsi="Courier New"/>
                <w:sz w:val="15"/>
                <w:szCs w:val="15"/>
                <w:color w:val="auto"/>
                <w:w w:val="97"/>
              </w:rPr>
              <w:t>under  the  captions  "Election  of  Directors  -  Compensation  of</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Directors,"</w:t>
            </w:r>
          </w:p>
        </w:tc>
        <w:tc>
          <w:tcPr>
            <w:tcW w:w="2700" w:type="dxa"/>
            <w:vAlign w:val="bottom"/>
            <w:gridSpan w:val="5"/>
          </w:tcPr>
          <w:p>
            <w:pPr>
              <w:ind w:left="140"/>
              <w:spacing w:after="0"/>
              <w:rPr>
                <w:sz w:val="20"/>
                <w:szCs w:val="20"/>
                <w:color w:val="auto"/>
              </w:rPr>
            </w:pPr>
            <w:r>
              <w:rPr>
                <w:rFonts w:ascii="Courier New" w:cs="Courier New" w:eastAsia="Courier New" w:hAnsi="Courier New"/>
                <w:sz w:val="15"/>
                <w:szCs w:val="15"/>
                <w:color w:val="auto"/>
                <w:w w:val="97"/>
              </w:rPr>
              <w:t>"Executive Compensation," and</w:t>
            </w: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"Report of the Compensation Committee</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the  Board  of</w:t>
            </w:r>
          </w:p>
        </w:tc>
        <w:tc>
          <w:tcPr>
            <w:tcW w:w="1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Directors on Executive</w:t>
            </w: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Compensation - Compensation Committee</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Interlocks</w:t>
            </w:r>
          </w:p>
        </w:tc>
        <w:tc>
          <w:tcPr>
            <w:tcW w:w="6040" w:type="dxa"/>
            <w:vAlign w:val="bottom"/>
            <w:gridSpan w:val="8"/>
          </w:tcPr>
          <w:p>
            <w:pPr>
              <w:jc w:val="center"/>
              <w:spacing w:after="0"/>
              <w:rPr>
                <w:sz w:val="20"/>
                <w:szCs w:val="20"/>
                <w:color w:val="auto"/>
              </w:rPr>
            </w:pPr>
            <w:r>
              <w:rPr>
                <w:rFonts w:ascii="Courier New" w:cs="Courier New" w:eastAsia="Courier New" w:hAnsi="Courier New"/>
                <w:sz w:val="15"/>
                <w:szCs w:val="15"/>
                <w:color w:val="auto"/>
                <w:w w:val="98"/>
              </w:rPr>
              <w:t>and  Insider  Participation"  contained  in  the  Proxy  Statement.</w:t>
            </w:r>
          </w:p>
        </w:tc>
      </w:tr>
      <w:tr>
        <w:trPr>
          <w:trHeight w:val="509"/>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ITEM</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CERTAIN</w:t>
            </w:r>
          </w:p>
        </w:tc>
        <w:tc>
          <w:tcPr>
            <w:tcW w:w="16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w w:val="97"/>
              </w:rPr>
              <w:t>RELATIONSHIPS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AND</w:t>
            </w:r>
          </w:p>
        </w:tc>
        <w:tc>
          <w:tcPr>
            <w:tcW w:w="78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5"/>
              </w:rPr>
              <w:t>RELATED</w:t>
            </w:r>
          </w:p>
        </w:tc>
        <w:tc>
          <w:tcPr>
            <w:tcW w:w="256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6"/>
              </w:rPr>
              <w:t>TRANSACTIONS</w:t>
            </w:r>
          </w:p>
        </w:tc>
      </w:tr>
    </w:tbl>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information required by this item is incorporated by reference from the information contained under the caption "Certain Transactions" contained in the Proxy Statement.</w:t>
      </w:r>
    </w:p>
    <w:p>
      <w:pPr>
        <w:sectPr>
          <w:pgSz w:w="11900" w:h="16838" w:orient="portrait"/>
          <w:cols w:equalWidth="0" w:num="1">
            <w:col w:w="10219"/>
          </w:cols>
          <w:pgMar w:left="240" w:top="452" w:right="1440" w:bottom="1440" w:gutter="0" w:footer="0" w:header="0"/>
        </w:sectPr>
      </w:pPr>
    </w:p>
    <w:bookmarkStart w:id="80" w:name="page81"/>
    <w:bookmarkEnd w:id="80"/>
    <w:p>
      <w:pPr>
        <w:ind w:left="450"/>
        <w:spacing w:after="0"/>
        <w:tabs>
          <w:tab w:leader="none" w:pos="949" w:val="left"/>
        </w:tabs>
        <w:rPr>
          <w:sz w:val="20"/>
          <w:szCs w:val="20"/>
          <w:color w:val="auto"/>
        </w:rPr>
      </w:pPr>
      <w:r>
        <w:rPr>
          <w:rFonts w:ascii="Courier New" w:cs="Courier New" w:eastAsia="Courier New" w:hAnsi="Courier New"/>
          <w:sz w:val="15"/>
          <w:szCs w:val="15"/>
          <w:color w:val="auto"/>
        </w:rPr>
        <w:t>PART</w:t>
        <w:tab/>
        <w:t>IV</w:t>
      </w:r>
    </w:p>
    <w:p>
      <w:pPr>
        <w:spacing w:after="0" w:line="339" w:lineRule="exact"/>
        <w:rPr>
          <w:sz w:val="20"/>
          <w:szCs w:val="20"/>
          <w:color w:val="auto"/>
        </w:rPr>
      </w:pPr>
    </w:p>
    <w:p>
      <w:pPr>
        <w:ind w:left="10"/>
        <w:spacing w:after="0"/>
        <w:tabs>
          <w:tab w:leader="none" w:pos="509" w:val="left"/>
          <w:tab w:leader="none" w:pos="1209" w:val="left"/>
          <w:tab w:leader="none" w:pos="2189" w:val="left"/>
        </w:tabs>
        <w:rPr>
          <w:sz w:val="20"/>
          <w:szCs w:val="20"/>
          <w:color w:val="auto"/>
        </w:rPr>
      </w:pPr>
      <w:r>
        <w:rPr>
          <w:rFonts w:ascii="Courier New" w:cs="Courier New" w:eastAsia="Courier New" w:hAnsi="Courier New"/>
          <w:sz w:val="15"/>
          <w:szCs w:val="15"/>
          <w:color w:val="auto"/>
        </w:rPr>
        <w:t>ITEM</w:t>
        <w:tab/>
        <w:t>14.</w:t>
      </w:r>
      <w:r>
        <w:rPr>
          <w:sz w:val="20"/>
          <w:szCs w:val="20"/>
          <w:color w:val="auto"/>
        </w:rPr>
        <w:tab/>
      </w:r>
      <w:r>
        <w:rPr>
          <w:rFonts w:ascii="Courier New" w:cs="Courier New" w:eastAsia="Courier New" w:hAnsi="Courier New"/>
          <w:sz w:val="15"/>
          <w:szCs w:val="15"/>
          <w:color w:val="auto"/>
        </w:rPr>
        <w:t>EXHIBITS,</w:t>
      </w:r>
      <w:r>
        <w:rPr>
          <w:sz w:val="20"/>
          <w:szCs w:val="20"/>
          <w:color w:val="auto"/>
        </w:rPr>
        <w:tab/>
      </w:r>
      <w:r>
        <w:rPr>
          <w:rFonts w:ascii="Courier New" w:cs="Courier New" w:eastAsia="Courier New" w:hAnsi="Courier New"/>
          <w:sz w:val="14"/>
          <w:szCs w:val="14"/>
          <w:color w:val="auto"/>
        </w:rPr>
        <w:t>FINANCIAL STATEMENT SCHEDULES, AND REPORTS ON FORM 8-K.</w:t>
      </w:r>
    </w:p>
    <w:p>
      <w:pPr>
        <w:spacing w:after="0" w:line="169" w:lineRule="exact"/>
        <w:rPr>
          <w:sz w:val="20"/>
          <w:szCs w:val="20"/>
          <w:color w:val="auto"/>
        </w:rPr>
      </w:pPr>
    </w:p>
    <w:p>
      <w:pPr>
        <w:ind w:left="1150" w:hanging="709"/>
        <w:spacing w:after="0"/>
        <w:tabs>
          <w:tab w:leader="none" w:pos="11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FILED  AS  PART  OF  THIS  REPORT:</w:t>
      </w:r>
    </w:p>
    <w:p>
      <w:pPr>
        <w:spacing w:after="0" w:line="169" w:lineRule="exact"/>
        <w:rPr>
          <w:rFonts w:ascii="Courier New" w:cs="Courier New" w:eastAsia="Courier New" w:hAnsi="Courier New"/>
          <w:sz w:val="15"/>
          <w:szCs w:val="15"/>
          <w:color w:val="auto"/>
        </w:rPr>
      </w:pPr>
    </w:p>
    <w:p>
      <w:pPr>
        <w:ind w:left="1590" w:hanging="708"/>
        <w:spacing w:after="0"/>
        <w:tabs>
          <w:tab w:leader="none" w:pos="159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Reference</w:t>
            </w: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is  made  to the Index to</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w w:val="99"/>
              </w:rPr>
              <w:t>Consolidated</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Financial</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Statements of</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w w:val="92"/>
              </w:rPr>
              <w:t>Incyte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Pharmaceuticals,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Inc. and the Index</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w w:val="99"/>
              </w:rPr>
              <w:t>to Financial</w:t>
            </w:r>
          </w:p>
        </w:tc>
        <w:tc>
          <w:tcPr>
            <w:tcW w:w="2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Statements of diaDexus,</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w w:val="92"/>
              </w:rPr>
              <w:t>LLC, a</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Limited</w:t>
            </w: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Liability</w:t>
            </w:r>
          </w:p>
        </w:tc>
        <w:tc>
          <w:tcPr>
            <w:tcW w:w="1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Company,  under</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Item  8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Part  II</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hereof.</w:t>
            </w:r>
          </w:p>
        </w:tc>
        <w:tc>
          <w:tcPr>
            <w:tcW w:w="580" w:type="dxa"/>
            <w:vAlign w:val="bottom"/>
          </w:tcPr>
          <w:p>
            <w:pPr>
              <w:spacing w:after="0"/>
              <w:rPr>
                <w:sz w:val="14"/>
                <w:szCs w:val="14"/>
                <w:color w:val="auto"/>
              </w:rPr>
            </w:pPr>
          </w:p>
        </w:tc>
      </w:tr>
    </w:tbl>
    <w:p>
      <w:pPr>
        <w:spacing w:after="0" w:line="169" w:lineRule="exact"/>
        <w:rPr>
          <w:sz w:val="20"/>
          <w:szCs w:val="20"/>
          <w:color w:val="auto"/>
        </w:rPr>
      </w:pPr>
    </w:p>
    <w:p>
      <w:pPr>
        <w:ind w:left="1590" w:hanging="708"/>
        <w:spacing w:after="0"/>
        <w:tabs>
          <w:tab w:leader="none" w:pos="159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75"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The following financial statement schedule of Incyte Pharmaceuticals, Inc. is filed as part of this Form 10-K in included in Item 8 of Part II:</w:t>
      </w:r>
    </w:p>
    <w:p>
      <w:pPr>
        <w:spacing w:after="0" w:line="176"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Schedule II- Valuation and Qualifying Accounts for each of the three years in the period ended December 31, 1998.</w:t>
      </w:r>
    </w:p>
    <w:p>
      <w:pPr>
        <w:spacing w:after="0" w:line="176"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All other financial statement schedules have been omitted because they are not applicable or not required or because the information is included elsewhere in the Consolidated Financial Statements or the Notes thereto.</w:t>
      </w:r>
    </w:p>
    <w:p>
      <w:pPr>
        <w:spacing w:after="0" w:line="169" w:lineRule="exact"/>
        <w:rPr>
          <w:sz w:val="20"/>
          <w:szCs w:val="20"/>
          <w:color w:val="auto"/>
        </w:rPr>
      </w:pPr>
    </w:p>
    <w:p>
      <w:pPr>
        <w:ind w:left="1590" w:hanging="708"/>
        <w:spacing w:after="0"/>
        <w:tabs>
          <w:tab w:leader="none" w:pos="159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5"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See Item 14(c) below. Each management contract or compensatory plan or arrangement required to be filed has been identified.</w:t>
      </w:r>
    </w:p>
    <w:p>
      <w:pPr>
        <w:spacing w:after="0" w:line="170" w:lineRule="exact"/>
        <w:rPr>
          <w:sz w:val="20"/>
          <w:szCs w:val="20"/>
          <w:color w:val="auto"/>
        </w:rPr>
      </w:pPr>
    </w:p>
    <w:p>
      <w:pPr>
        <w:ind w:left="1150" w:hanging="709"/>
        <w:spacing w:after="0"/>
        <w:tabs>
          <w:tab w:leader="none" w:pos="115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9" w:lineRule="exact"/>
        <w:rPr>
          <w:sz w:val="20"/>
          <w:szCs w:val="20"/>
          <w:color w:val="auto"/>
        </w:rPr>
      </w:pPr>
    </w:p>
    <w:p>
      <w:pPr>
        <w:ind w:left="10"/>
        <w:spacing w:after="0"/>
        <w:tabs>
          <w:tab w:leader="none" w:pos="429" w:val="left"/>
          <w:tab w:leader="none" w:pos="1209" w:val="left"/>
          <w:tab w:leader="none" w:pos="1829" w:val="left"/>
          <w:tab w:leader="none" w:pos="2269" w:val="left"/>
          <w:tab w:leader="none" w:pos="2969" w:val="left"/>
          <w:tab w:leader="none" w:pos="3329" w:val="left"/>
          <w:tab w:leader="none" w:pos="3849" w:val="left"/>
          <w:tab w:leader="none" w:pos="4289" w:val="left"/>
        </w:tabs>
        <w:rPr>
          <w:sz w:val="20"/>
          <w:szCs w:val="20"/>
          <w:color w:val="auto"/>
        </w:rPr>
      </w:pPr>
      <w:r>
        <w:rPr>
          <w:rFonts w:ascii="Courier New" w:cs="Courier New" w:eastAsia="Courier New" w:hAnsi="Courier New"/>
          <w:sz w:val="15"/>
          <w:szCs w:val="15"/>
          <w:color w:val="auto"/>
        </w:rPr>
        <w:t>The</w:t>
        <w:tab/>
        <w:t>Company</w:t>
        <w:tab/>
        <w:t>filed</w:t>
        <w:tab/>
        <w:t>one</w:t>
        <w:tab/>
        <w:t>report</w:t>
        <w:tab/>
        <w:t>on</w:t>
        <w:tab/>
        <w:t>Form</w:t>
        <w:tab/>
        <w:t>8-K</w:t>
      </w:r>
      <w:r>
        <w:rPr>
          <w:sz w:val="20"/>
          <w:szCs w:val="20"/>
          <w:color w:val="auto"/>
        </w:rPr>
        <w:tab/>
      </w:r>
      <w:r>
        <w:rPr>
          <w:rFonts w:ascii="Courier New" w:cs="Courier New" w:eastAsia="Courier New" w:hAnsi="Courier New"/>
          <w:sz w:val="14"/>
          <w:szCs w:val="14"/>
          <w:color w:val="auto"/>
        </w:rPr>
        <w:t>during the fiscal quarter ended</w:t>
      </w:r>
    </w:p>
    <w:p>
      <w:pPr>
        <w:ind w:left="10"/>
        <w:spacing w:after="0"/>
        <w:tabs>
          <w:tab w:leader="none" w:pos="869" w:val="left"/>
          <w:tab w:leader="none" w:pos="1309" w:val="left"/>
          <w:tab w:leader="none" w:pos="1909" w:val="left"/>
          <w:tab w:leader="none" w:pos="2269" w:val="left"/>
        </w:tabs>
        <w:rPr>
          <w:sz w:val="20"/>
          <w:szCs w:val="20"/>
          <w:color w:val="auto"/>
        </w:rPr>
      </w:pPr>
      <w:r>
        <w:rPr>
          <w:rFonts w:ascii="Courier New" w:cs="Courier New" w:eastAsia="Courier New" w:hAnsi="Courier New"/>
          <w:sz w:val="15"/>
          <w:szCs w:val="15"/>
          <w:color w:val="auto"/>
        </w:rPr>
        <w:t>December</w:t>
        <w:tab/>
        <w:t>31,</w:t>
        <w:tab/>
        <w:t>1998,</w:t>
        <w:tab/>
        <w:t>as</w:t>
      </w:r>
      <w:r>
        <w:rPr>
          <w:sz w:val="20"/>
          <w:szCs w:val="20"/>
          <w:color w:val="auto"/>
        </w:rPr>
        <w:tab/>
      </w:r>
      <w:r>
        <w:rPr>
          <w:rFonts w:ascii="Courier New" w:cs="Courier New" w:eastAsia="Courier New" w:hAnsi="Courier New"/>
          <w:sz w:val="14"/>
          <w:szCs w:val="14"/>
          <w:color w:val="auto"/>
        </w:rPr>
        <w:t>follows:</w:t>
      </w:r>
    </w:p>
    <w:p>
      <w:pPr>
        <w:spacing w:after="0" w:line="174" w:lineRule="exact"/>
        <w:rPr>
          <w:sz w:val="20"/>
          <w:szCs w:val="20"/>
          <w:color w:val="auto"/>
        </w:rPr>
      </w:pPr>
    </w:p>
    <w:p>
      <w:pPr>
        <w:jc w:val="both"/>
        <w:ind w:left="10" w:right="3179" w:hanging="10"/>
        <w:spacing w:after="0" w:line="237" w:lineRule="auto"/>
        <w:tabs>
          <w:tab w:leader="none" w:pos="36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October 6, 1998, reporting under Item 2 the completion of the acquisition of Hexagen Limited effective September 21, 1998, as amended by Form 8-K/A filed on December 4, 1998 to file under Item 7 of Form 8-K certain financial statements and information required thereunder.</w:t>
      </w:r>
    </w:p>
    <w:p>
      <w:pPr>
        <w:sectPr>
          <w:pgSz w:w="11900" w:h="16838" w:orient="portrait"/>
          <w:cols w:equalWidth="0" w:num="1">
            <w:col w:w="10229"/>
          </w:cols>
          <w:pgMar w:left="230" w:top="452" w:right="1440" w:bottom="1440" w:gutter="0" w:footer="0" w:header="0"/>
        </w:sectPr>
      </w:pPr>
    </w:p>
    <w:bookmarkStart w:id="81" w:name="page82"/>
    <w:bookmarkEnd w:id="81"/>
    <w:p>
      <w:pPr>
        <w:ind w:left="710" w:hanging="710"/>
        <w:spacing w:after="0"/>
        <w:tabs>
          <w:tab w:leader="none" w:pos="71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ectPr>
          <w:pgSz w:w="11900" w:h="16838" w:orient="portrait"/>
          <w:cols w:equalWidth="0" w:num="1">
            <w:col w:w="10229"/>
          </w:cols>
          <w:pgMar w:left="230" w:top="6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EXHIBIT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6" w:lineRule="exact"/>
        <w:rPr>
          <w:sz w:val="20"/>
          <w:szCs w:val="20"/>
          <w:color w:val="auto"/>
        </w:rPr>
      </w:pPr>
    </w:p>
    <w:p>
      <w:pPr>
        <w:sectPr>
          <w:pgSz w:w="11900" w:h="16838" w:orient="portrait"/>
          <w:cols w:equalWidth="0" w:num="2">
            <w:col w:w="610" w:space="280"/>
            <w:col w:w="9339"/>
          </w:cols>
          <w:pgMar w:left="230" w:top="627" w:right="1440" w:bottom="1440" w:gutter="0" w:footer="0" w:header="0"/>
          <w:type w:val="continuous"/>
        </w:sectPr>
      </w:pPr>
    </w:p>
    <w:p>
      <w:pPr>
        <w:ind w:left="170" w:hanging="170"/>
        <w:spacing w:after="0"/>
        <w:tabs>
          <w:tab w:leader="none" w:pos="17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890" w:right="3879" w:hanging="881"/>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2.1Agreement and Plan of Merger dated as of December 23, 1997 among Incyte Pharmaceuticals, Inc., Bond Acquisition Corp. and Synteni, Inc. (incorporated by reference to Exhibit 2.1 to the Company's Current Report on Form 8-K dated January 22, 1998 (File No. 0-27488)).</w:t>
      </w:r>
    </w:p>
    <w:p>
      <w:pPr>
        <w:spacing w:after="0" w:line="8" w:lineRule="exact"/>
        <w:rPr>
          <w:rFonts w:ascii="Courier New" w:cs="Courier New" w:eastAsia="Courier New" w:hAnsi="Courier New"/>
          <w:sz w:val="15"/>
          <w:szCs w:val="15"/>
          <w:color w:val="auto"/>
        </w:rPr>
      </w:pPr>
    </w:p>
    <w:p>
      <w:pPr>
        <w:ind w:left="890" w:right="3879" w:hanging="881"/>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2.2Share Purchase Agreement, dated as of September 21, 1998, by and among Incyte Pharmaceuticals, Inc., Hexagen Limited and the shareholders of Hexagen Limited (incorporated by reference to Exhibit 2.1 to the Company's Current Report on Form 8-K dated September 21, 1998 (File No. 0-27488)).</w:t>
      </w:r>
    </w:p>
    <w:p>
      <w:pPr>
        <w:spacing w:after="0" w:line="8" w:lineRule="exact"/>
        <w:rPr>
          <w:rFonts w:ascii="Courier New" w:cs="Courier New" w:eastAsia="Courier New" w:hAnsi="Courier New"/>
          <w:sz w:val="15"/>
          <w:szCs w:val="15"/>
          <w:color w:val="auto"/>
        </w:rPr>
      </w:pPr>
    </w:p>
    <w:p>
      <w:pPr>
        <w:ind w:left="890" w:right="3799" w:hanging="881"/>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3(i)Restated Certificate of Incorporation, as amended (incorporated by reference to Exhibit 4.1 to the Company's Registration Statement on Form S-3 (File No. 333-31307)).</w:t>
      </w:r>
    </w:p>
    <w:p>
      <w:pPr>
        <w:spacing w:after="0" w:line="5" w:lineRule="exact"/>
        <w:rPr>
          <w:rFonts w:ascii="Courier New" w:cs="Courier New" w:eastAsia="Courier New" w:hAnsi="Courier New"/>
          <w:sz w:val="15"/>
          <w:szCs w:val="15"/>
          <w:color w:val="auto"/>
        </w:rPr>
      </w:pPr>
    </w:p>
    <w:p>
      <w:pPr>
        <w:ind w:left="890" w:right="3879" w:hanging="881"/>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3(i)(a) Certificate of Designation of Series A Participating Preferred Stock.</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3(ii)</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Bylaws of the Company, as amended (incorporated by</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reference to Exhibit 4.2 to the Company's Registration</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Statement on Form S-3 (File No. 333-31307)).</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Form of Common Stock Certificate (incorporated by reference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to the exhibit of the same number to the Company's Registration</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Statement on Form S-1 (File No. 33-68138)).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Rights Agreement dated as of September 25, 1998 between the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Company and Chase Mellon Shareholder Services, L.L.C.,</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which includes as Exhibit B, the rights certificate (incorporated</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by reference to Exhibit 4.1 to the Company's Registration</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Statement on Form 8-A relating to the Series A Participating</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Preferred Stock Purchase Rights (filed on September 30, 1998).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1991 Stock Plan of Incyte Pharmaceuticals, Inc., as amended</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and restated (the "Plan") (incorporated by reference to Exhibit</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10.1 to the Company's Registration Statement on Form S-8</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(File No. 33-93666)).</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Form of Incentive Stock Option Agreement under the Plan</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(incorporated by reference to the exhibit of the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the Company's Registration reference to the exhibit of the same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number to the Company's Registration Statement on Form S-1 (File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No. 33-68138)).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Form of Nonstatutory Stock Option Agreement under the Plan</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(incorporated by  reference to the exhibit of to the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w w:val="98"/>
              </w:rPr>
              <w:t>Company's Registration reference to the exhibit of the same number to</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w w:val="97"/>
              </w:rPr>
              <w:t>the Company's Registration Statement on Form S-1 (File No. 33-68138)).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Amended and Restated 1993 Directors' Stock Option Plan of</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Incyte Pharmaceuticals, Inc. (incorporated by reference to the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exhibit of the same number to the Company's Annual Report</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on Form 10-K for the year ended December 31, 1997).</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Form of Indemnity Agreement between the Company and its directors</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w w:val="98"/>
              </w:rPr>
              <w:t>and Form of Indemnity Agreement between the Company and its directors</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and officers (incorporated by reference to 10.5 to the Company's</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Registration Statement on Form S-1 (File No. 33-68138)).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Lease Agreement dated December 8, 1994 between the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Company and Matadero Lease Agreement dated December 8, 1994</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between the Company and Matadero Creek (incorporated by reference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Exhibit 10.16 to the Company's Annual Report on Form 10-K for the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year ended December 31, 1994).</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Lease dated July 18, 1991 between the Company and Harry J.</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Fair, Jr., as  Lease dated July 18, 1991 between the Company</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and Harry J. Fair, Jr., as amended (incorporated by reference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to the Company's Registration Statement on Form S-1 (File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No. 33-68138)).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Lease Amendment and Extension to Lease dated July 18, 1991</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between the Company and Harry J. Fair, Jr., as amended</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(incorporated by reference to Exhibit 10.11 to the Company's</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Annual Report on Form 10-K for the year ended December 31,</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1993).</w:t>
            </w:r>
          </w:p>
        </w:tc>
      </w:tr>
    </w:tbl>
    <w:p>
      <w:pPr>
        <w:sectPr>
          <w:pgSz w:w="11900" w:h="16838" w:orient="portrait"/>
          <w:cols w:equalWidth="0" w:num="1">
            <w:col w:w="10229"/>
          </w:cols>
          <w:pgMar w:left="230" w:top="627" w:right="1440" w:bottom="1440" w:gutter="0" w:footer="0" w:header="0"/>
          <w:type w:val="continuous"/>
        </w:sectPr>
      </w:pPr>
    </w:p>
    <w:bookmarkStart w:id="82" w:name="page83"/>
    <w:bookmarkEnd w:id="82"/>
    <w:p>
      <w:pPr>
        <w:ind w:left="10"/>
        <w:spacing w:after="0"/>
        <w:tabs>
          <w:tab w:leader="none" w:pos="1389" w:val="left"/>
        </w:tabs>
        <w:rPr>
          <w:sz w:val="20"/>
          <w:szCs w:val="20"/>
          <w:color w:val="auto"/>
        </w:rPr>
      </w:pPr>
      <w:r>
        <w:rPr>
          <w:rFonts w:ascii="Courier New" w:cs="Courier New" w:eastAsia="Courier New" w:hAnsi="Courier New"/>
          <w:sz w:val="15"/>
          <w:szCs w:val="15"/>
          <w:color w:val="auto"/>
        </w:rPr>
        <w:t>EXHIBIT NUMBER</w:t>
      </w:r>
      <w:r>
        <w:rPr>
          <w:sz w:val="20"/>
          <w:szCs w:val="20"/>
          <w:color w:val="auto"/>
        </w:rPr>
        <w:tab/>
      </w:r>
      <w:r>
        <w:rPr>
          <w:rFonts w:ascii="Courier New" w:cs="Courier New" w:eastAsia="Courier New" w:hAnsi="Courier New"/>
          <w:sz w:val="14"/>
          <w:szCs w:val="14"/>
          <w:color w:val="auto"/>
        </w:rPr>
        <w:t>DESCRIPTION OF DOCUMENT</w:t>
      </w:r>
    </w:p>
    <w:p>
      <w:pPr>
        <w:spacing w:after="0" w:line="5" w:lineRule="exact"/>
        <w:rPr>
          <w:sz w:val="20"/>
          <w:szCs w:val="20"/>
          <w:color w:val="auto"/>
        </w:rPr>
      </w:pPr>
    </w:p>
    <w:p>
      <w:pPr>
        <w:ind w:left="170" w:hanging="170"/>
        <w:spacing w:after="0"/>
        <w:tabs>
          <w:tab w:leader="none" w:pos="17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10.9</w:t>
      </w:r>
    </w:p>
    <w:tbl>
      <w:tblPr>
        <w:tblLayout w:type="fixed"/>
        <w:tblInd w:w="10" w:type="dxa"/>
        <w:tblCellMar>
          <w:top w:w="0" w:type="dxa"/>
          <w:left w:w="0" w:type="dxa"/>
          <w:bottom w:w="0" w:type="dxa"/>
          <w:right w:w="0" w:type="dxa"/>
        </w:tblCellMar>
      </w:tblPr>
      <w:tr>
        <w:trPr>
          <w:trHeight w:val="169"/>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w w:val="99"/>
              </w:rPr>
              <w:t>Stock Purchase Agreement dated as of June 22, 1994 between the</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Company and Pfizer Inc (incorporated by reference to</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Exhibit B to the Company's Current Report on Form 8-K dated</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June 23, 1994).</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w w:val="97"/>
              </w:rPr>
              <w:t>Registration Rights Agreement dated as of June 22, 1994 between</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the Company and Pfizer Inc (incorporated by</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reference to Exhibit C to the Company's Current Report on</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Form 8-K dated June 23, 1994).</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Stock Purchase Agreement dated as of November 30, 1994</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between the Company and The Upjohn Company</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(incorporated by reference to Exhibit B to the Company's</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Current Report on Form 8-K dated November 30, 1994, as</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amended by Form 8-K/A filed with the Commission on March</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27, 1995).</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Registration Rights Agreement dated as of November 30, 1994</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between the Company  and The Upjohn Company</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(incorporated by reference to Exhibit C to the Company's</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Current Report on Form 8-K dated November 30, 1994).</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1996 Amendment to the Plan (incorporated by reference to</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Exhibit 10.1 to the Company's Registration Statement on Form</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S-8 (File No. 333-13449)).</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1997 Amendment to the Plan (incorporated by reference to</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Exhibit 10.1 to the 1997 Amendment to the Plan (incorporated</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by reference to Exhibit 10.1 to the Company's Registration</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Form S-8 (File No. 333-31413)).</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1997 Employee Stock Purchase Plan of Incyte</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Pharmaceuticals, Inc. (incorporated by reference to Exhibit</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10.1 to the Company's Registration Statement on Form S-8</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(File No. 333-31409)).</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1998 amendment to the 1997 Employee Stock Purchase Plan</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of Incyte Pharmaceuticals, Inc. (incorporated by reference to</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Exhibit 99 to the Company's Quarterly Report on Form 10-Q</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for the quarter ended September 30, 1998).</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Master Strategic Relationship Agreement dated as of</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September 2, 1997 between SmithKline Beecham Corporation,</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Incyte Pharmaceuticals, Inc. and diaDexus, LLC (incorporated</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by reference to Exhibit 10.18 to the Company's Quarterly</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Report on Form 10-Q/A for the quarter ended September 30,</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1996 Synteni, Inc. Equity Incentive Stock Plan (incorporated</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by reference to Exhibit 10.19 to the Company's Registration</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Statement on Form S-8 (File No. 333-46639)).</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The Hexagen Limited Unapproved Company Share Option Plan</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w w:val="99"/>
              </w:rPr>
              <w:t>1996, as amended (incorporated by reference to Exhibit 10.1 to</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the Company's Registration Statement on Form S-8 (File 333-</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67691)).</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Subsidiaries of the Company</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w w:val="99"/>
              </w:rPr>
              <w:t>Consent of PricewaterhouseCoopers LLP, Independent Accountants</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Power of Attorney (see page 86 of this Form 10-K)</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Financial Data Schedule</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30" w:hanging="530"/>
        <w:spacing w:after="0"/>
        <w:tabs>
          <w:tab w:leader="none" w:pos="53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has been granted with respect to certain portions</w:t>
      </w:r>
    </w:p>
    <w:p>
      <w:pPr>
        <w:sectPr>
          <w:pgSz w:w="11900" w:h="16838" w:orient="portrait"/>
          <w:cols w:equalWidth="0" w:num="1">
            <w:col w:w="10229"/>
          </w:cols>
          <w:pgMar w:left="230" w:top="1300" w:right="1440" w:bottom="1440" w:gutter="0" w:footer="0" w:header="0"/>
        </w:sectPr>
      </w:pP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3"/>
          <w:szCs w:val="13"/>
          <w:color w:val="auto"/>
        </w:rPr>
        <w:t>of</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5"/>
          <w:szCs w:val="15"/>
          <w:color w:val="auto"/>
        </w:rPr>
        <w:t>these</w:t>
        <w:tab/>
        <w:t>agreements.</w:t>
      </w: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Indicates</w:t>
        <w:tab/>
        <w:t>management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860" w:val="left"/>
          <w:tab w:leader="none" w:pos="1220" w:val="left"/>
          <w:tab w:leader="none" w:pos="2460" w:val="left"/>
          <w:tab w:leader="none" w:pos="2980" w:val="left"/>
          <w:tab w:leader="none" w:pos="3340" w:val="left"/>
        </w:tabs>
        <w:rPr>
          <w:sz w:val="20"/>
          <w:szCs w:val="20"/>
          <w:color w:val="auto"/>
        </w:rPr>
      </w:pPr>
      <w:r>
        <w:rPr>
          <w:rFonts w:ascii="Courier New" w:cs="Courier New" w:eastAsia="Courier New" w:hAnsi="Courier New"/>
          <w:sz w:val="15"/>
          <w:szCs w:val="15"/>
          <w:color w:val="auto"/>
        </w:rPr>
        <w:t>contract</w:t>
        <w:tab/>
        <w:t>or</w:t>
        <w:tab/>
        <w:t>compensatory</w:t>
        <w:tab/>
        <w:t>plan</w:t>
        <w:tab/>
        <w:t>or</w:t>
      </w:r>
      <w:r>
        <w:rPr>
          <w:sz w:val="20"/>
          <w:szCs w:val="20"/>
          <w:color w:val="auto"/>
        </w:rPr>
        <w:tab/>
      </w:r>
      <w:r>
        <w:rPr>
          <w:rFonts w:ascii="Courier New" w:cs="Courier New" w:eastAsia="Courier New" w:hAnsi="Courier New"/>
          <w:sz w:val="14"/>
          <w:szCs w:val="14"/>
          <w:color w:val="auto"/>
        </w:rPr>
        <w:t>arrangement.</w:t>
      </w:r>
    </w:p>
    <w:p>
      <w:pPr>
        <w:sectPr>
          <w:pgSz w:w="11900" w:h="16838" w:orient="portrait"/>
          <w:cols w:equalWidth="0" w:num="3">
            <w:col w:w="170" w:space="180"/>
            <w:col w:w="2040" w:space="160"/>
            <w:col w:w="7679"/>
          </w:cols>
          <w:pgMar w:left="230" w:top="1300" w:right="1440" w:bottom="1440" w:gutter="0" w:footer="0" w:header="0"/>
          <w:type w:val="continuous"/>
        </w:sectPr>
      </w:pPr>
    </w:p>
    <w:bookmarkStart w:id="83" w:name="page84"/>
    <w:bookmarkEnd w:id="83"/>
    <w:p>
      <w:pPr>
        <w:ind w:left="1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29"/>
          </w:cols>
          <w:pgMar w:left="230" w:top="458" w:right="1440" w:bottom="1440" w:gutter="0" w:footer="0" w:header="0"/>
        </w:sectPr>
      </w:pPr>
    </w:p>
    <w:p>
      <w:pPr>
        <w:spacing w:after="0" w:line="180" w:lineRule="exact"/>
        <w:rPr>
          <w:sz w:val="20"/>
          <w:szCs w:val="20"/>
          <w:color w:val="auto"/>
        </w:rPr>
      </w:pPr>
    </w:p>
    <w:p>
      <w:pPr>
        <w:jc w:val="both"/>
        <w:ind w:left="10" w:firstLine="441"/>
        <w:spacing w:after="0" w:line="260" w:lineRule="auto"/>
        <w:rPr>
          <w:sz w:val="20"/>
          <w:szCs w:val="20"/>
          <w:color w:val="auto"/>
        </w:rPr>
      </w:pPr>
      <w:r>
        <w:rPr>
          <w:rFonts w:ascii="Courier New" w:cs="Courier New" w:eastAsia="Courier New" w:hAnsi="Courier New"/>
          <w:sz w:val="14"/>
          <w:szCs w:val="14"/>
          <w:color w:val="auto"/>
        </w:rPr>
        <w:t>PURSUANT EXCHANGE ACT ITS BEHALF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3179" w:firstLine="176"/>
        <w:spacing w:after="0" w:line="237" w:lineRule="auto"/>
        <w:rPr>
          <w:sz w:val="20"/>
          <w:szCs w:val="20"/>
          <w:color w:val="auto"/>
        </w:rPr>
      </w:pPr>
      <w:r>
        <w:rPr>
          <w:rFonts w:ascii="Courier New" w:cs="Courier New" w:eastAsia="Courier New" w:hAnsi="Courier New"/>
          <w:sz w:val="15"/>
          <w:szCs w:val="15"/>
          <w:color w:val="auto"/>
        </w:rPr>
        <w:t>THE REQUIREMENTS OF SECTION 13 OR 15(D) OF THE SECURITIES 1934, THE COMPANY HAS DULY CAUSED THIS REPORT TO BE SIGNED ON THE UNDERSIGNED, THEREUNTO DULY AUTHORIZED. INCYTE PHARMACEUTICALS, INC.</w:t>
      </w:r>
    </w:p>
    <w:p>
      <w:pPr>
        <w:spacing w:after="0" w:line="171" w:lineRule="exact"/>
        <w:rPr>
          <w:sz w:val="20"/>
          <w:szCs w:val="20"/>
          <w:color w:val="auto"/>
        </w:rPr>
      </w:pPr>
    </w:p>
    <w:p>
      <w:pPr>
        <w:sectPr>
          <w:pgSz w:w="11900" w:h="16838" w:orient="portrait"/>
          <w:cols w:equalWidth="0" w:num="4">
            <w:col w:w="1150" w:space="0"/>
            <w:col w:w="180" w:space="0"/>
            <w:col w:w="160" w:space="0"/>
            <w:col w:w="8739"/>
          </w:cols>
          <w:pgMar w:left="230" w:top="458" w:right="1440" w:bottom="1440" w:gutter="0" w:footer="0" w:header="0"/>
          <w:type w:val="continuous"/>
        </w:sectPr>
      </w:pP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March 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Roy</w:t>
      </w:r>
    </w:p>
    <w:p>
      <w:pPr>
        <w:spacing w:after="0"/>
        <w:rPr>
          <w:sz w:val="20"/>
          <w:szCs w:val="20"/>
          <w:color w:val="auto"/>
        </w:rPr>
      </w:pPr>
      <w:r>
        <w:rPr>
          <w:rFonts w:ascii="Courier New" w:cs="Courier New" w:eastAsia="Courier New" w:hAnsi="Courier New"/>
          <w:sz w:val="15"/>
          <w:szCs w:val="15"/>
          <w:color w:val="auto"/>
        </w:rPr>
        <w:t>Chief</w:t>
      </w:r>
    </w:p>
    <w:p>
      <w:pPr>
        <w:spacing w:after="0" w:line="20" w:lineRule="exact"/>
        <w:rPr>
          <w:sz w:val="20"/>
          <w:szCs w:val="20"/>
          <w:color w:val="auto"/>
        </w:rPr>
      </w:pPr>
      <w:r>
        <w:rPr>
          <w:sz w:val="20"/>
          <w:szCs w:val="20"/>
          <w:color w:val="auto"/>
        </w:rPr>
        <w:br w:type="column"/>
      </w:r>
    </w:p>
    <w:p>
      <w:pPr>
        <w:spacing w:after="0"/>
        <w:tabs>
          <w:tab w:leader="none" w:pos="580" w:val="left"/>
          <w:tab w:leader="none" w:pos="1300" w:val="left"/>
          <w:tab w:leader="none" w:pos="16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/s/ROY</w:t>
        <w:tab/>
        <w:t>A.</w:t>
      </w:r>
      <w:r>
        <w:rPr>
          <w:sz w:val="20"/>
          <w:szCs w:val="20"/>
          <w:color w:val="auto"/>
        </w:rPr>
        <w:tab/>
      </w:r>
      <w:r>
        <w:rPr>
          <w:rFonts w:ascii="Courier New" w:cs="Courier New" w:eastAsia="Courier New" w:hAnsi="Courier New"/>
          <w:sz w:val="14"/>
          <w:szCs w:val="14"/>
          <w:color w:val="auto"/>
        </w:rPr>
        <w:t>WHITFIELD</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60"/>
        <w:spacing w:after="0"/>
        <w:tabs>
          <w:tab w:leader="none" w:pos="50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4"/>
          <w:szCs w:val="14"/>
          <w:color w:val="auto"/>
        </w:rPr>
        <w:t>Whitfield</w:t>
      </w:r>
    </w:p>
    <w:p>
      <w:pPr>
        <w:spacing w:after="0"/>
        <w:tabs>
          <w:tab w:leader="none" w:pos="940" w:val="left"/>
        </w:tabs>
        <w:rPr>
          <w:sz w:val="20"/>
          <w:szCs w:val="20"/>
          <w:color w:val="auto"/>
        </w:rPr>
      </w:pPr>
      <w:r>
        <w:rPr>
          <w:rFonts w:ascii="Courier New" w:cs="Courier New" w:eastAsia="Courier New" w:hAnsi="Courier New"/>
          <w:sz w:val="15"/>
          <w:szCs w:val="15"/>
          <w:color w:val="auto"/>
        </w:rPr>
        <w:t>Executive</w:t>
        <w:tab/>
        <w:t>Officer</w:t>
      </w:r>
    </w:p>
    <w:p>
      <w:pPr>
        <w:spacing w:after="0" w:line="169" w:lineRule="exact"/>
        <w:rPr>
          <w:sz w:val="20"/>
          <w:szCs w:val="20"/>
          <w:color w:val="auto"/>
        </w:rPr>
      </w:pPr>
    </w:p>
    <w:p>
      <w:pPr>
        <w:sectPr>
          <w:pgSz w:w="11900" w:h="16838" w:orient="portrait"/>
          <w:cols w:equalWidth="0" w:num="5">
            <w:col w:w="450" w:space="160"/>
            <w:col w:w="800" w:space="180"/>
            <w:col w:w="780" w:space="720"/>
            <w:col w:w="620" w:space="0"/>
            <w:col w:w="6519"/>
          </w:cols>
          <w:pgMar w:left="230" w:top="458" w:right="1440" w:bottom="1440" w:gutter="0" w:footer="0" w:header="0"/>
          <w:type w:val="continuous"/>
        </w:sectPr>
      </w:pPr>
    </w:p>
    <w:p>
      <w:pPr>
        <w:spacing w:after="0" w:line="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POWER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ATTORNEY</w:t>
      </w:r>
    </w:p>
    <w:p>
      <w:pPr>
        <w:spacing w:after="0" w:line="180" w:lineRule="exact"/>
        <w:rPr>
          <w:sz w:val="20"/>
          <w:szCs w:val="20"/>
          <w:color w:val="auto"/>
        </w:rPr>
      </w:pPr>
    </w:p>
    <w:p>
      <w:pPr>
        <w:sectPr>
          <w:pgSz w:w="11900" w:h="16838" w:orient="portrait"/>
          <w:cols w:equalWidth="0" w:num="3">
            <w:col w:w="890" w:space="160"/>
            <w:col w:w="180" w:space="180"/>
            <w:col w:w="8819"/>
          </w:cols>
          <w:pgMar w:left="230" w:top="458" w:right="1440" w:bottom="1440" w:gutter="0" w:footer="0" w:header="0"/>
          <w:type w:val="continuous"/>
        </w:sect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Roy A. Whitfield, Randal W. Scott, and Denise M. Gilbert, and each of them, his or her true and lawful attorneys-in-fact, each with full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3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Pursuant</w:t>
            </w: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to</w:t>
            </w: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requirements of the Securities Exchange</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Act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1934, this</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report  has</w:t>
            </w:r>
          </w:p>
        </w:tc>
        <w:tc>
          <w:tcPr>
            <w:tcW w:w="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been</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signed</w:t>
            </w:r>
          </w:p>
        </w:tc>
        <w:tc>
          <w:tcPr>
            <w:tcW w:w="3300" w:type="dxa"/>
            <w:vAlign w:val="bottom"/>
          </w:tcPr>
          <w:p>
            <w:pPr>
              <w:ind w:left="140"/>
              <w:spacing w:after="0"/>
              <w:rPr>
                <w:sz w:val="20"/>
                <w:szCs w:val="20"/>
                <w:color w:val="auto"/>
              </w:rPr>
            </w:pPr>
            <w:r>
              <w:rPr>
                <w:rFonts w:ascii="Courier New" w:cs="Courier New" w:eastAsia="Courier New" w:hAnsi="Courier New"/>
                <w:sz w:val="15"/>
                <w:szCs w:val="15"/>
                <w:color w:val="auto"/>
              </w:rPr>
              <w:t>below  by  the  following  persons</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on</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behalf of the</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registrant</w:t>
            </w:r>
          </w:p>
        </w:tc>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and</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the</w:t>
            </w:r>
          </w:p>
        </w:tc>
        <w:tc>
          <w:tcPr>
            <w:tcW w:w="3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capacities  and  on  the  dates  indicated.</w:t>
            </w:r>
          </w:p>
        </w:tc>
        <w:tc>
          <w:tcPr>
            <w:tcW w:w="920" w:type="dxa"/>
            <w:vAlign w:val="bottom"/>
          </w:tcPr>
          <w:p>
            <w:pPr>
              <w:spacing w:after="0"/>
              <w:rPr>
                <w:sz w:val="14"/>
                <w:szCs w:val="14"/>
                <w:color w:val="auto"/>
              </w:rPr>
            </w:pPr>
          </w:p>
        </w:tc>
      </w:tr>
      <w:tr>
        <w:trPr>
          <w:trHeight w:val="848"/>
        </w:trPr>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NAME</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00" w:type="dxa"/>
            <w:vAlign w:val="bottom"/>
          </w:tcPr>
          <w:p>
            <w:pPr>
              <w:ind w:left="740"/>
              <w:spacing w:after="0"/>
              <w:rPr>
                <w:sz w:val="20"/>
                <w:szCs w:val="20"/>
                <w:color w:val="auto"/>
              </w:rPr>
            </w:pPr>
            <w:r>
              <w:rPr>
                <w:rFonts w:ascii="Courier New" w:cs="Courier New" w:eastAsia="Courier New" w:hAnsi="Courier New"/>
                <w:sz w:val="15"/>
                <w:szCs w:val="15"/>
                <w:color w:val="auto"/>
              </w:rPr>
              <w:t>TITLE</w:t>
            </w:r>
          </w:p>
        </w:tc>
        <w:tc>
          <w:tcPr>
            <w:tcW w:w="5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DATE</w:t>
            </w:r>
          </w:p>
        </w:tc>
        <w:tc>
          <w:tcPr>
            <w:tcW w:w="920" w:type="dxa"/>
            <w:vAlign w:val="bottom"/>
          </w:tcPr>
          <w:p>
            <w:pPr>
              <w:spacing w:after="0"/>
              <w:rPr>
                <w:sz w:val="24"/>
                <w:szCs w:val="24"/>
                <w:color w:val="auto"/>
              </w:rPr>
            </w:pPr>
          </w:p>
        </w:tc>
      </w:tr>
      <w:tr>
        <w:trPr>
          <w:trHeight w:val="339"/>
        </w:trPr>
        <w:tc>
          <w:tcPr>
            <w:tcW w:w="2240" w:type="dxa"/>
            <w:vAlign w:val="bottom"/>
            <w:gridSpan w:val="4"/>
          </w:tcPr>
          <w:p>
            <w:pPr>
              <w:spacing w:after="0"/>
              <w:rPr>
                <w:sz w:val="20"/>
                <w:szCs w:val="20"/>
                <w:color w:val="auto"/>
              </w:rPr>
            </w:pPr>
            <w:r>
              <w:rPr>
                <w:rFonts w:ascii="Courier New" w:cs="Courier New" w:eastAsia="Courier New" w:hAnsi="Courier New"/>
                <w:sz w:val="15"/>
                <w:szCs w:val="15"/>
                <w:color w:val="auto"/>
              </w:rPr>
              <w:t>/s/ ROY A. WHITFIELD</w:t>
            </w:r>
          </w:p>
        </w:tc>
        <w:tc>
          <w:tcPr>
            <w:tcW w:w="3300" w:type="dxa"/>
            <w:vAlign w:val="bottom"/>
          </w:tcPr>
          <w:p>
            <w:pPr>
              <w:ind w:left="740"/>
              <w:spacing w:after="0"/>
              <w:rPr>
                <w:sz w:val="20"/>
                <w:szCs w:val="20"/>
                <w:color w:val="auto"/>
              </w:rPr>
            </w:pPr>
            <w:r>
              <w:rPr>
                <w:rFonts w:ascii="Courier New" w:cs="Courier New" w:eastAsia="Courier New" w:hAnsi="Courier New"/>
                <w:sz w:val="15"/>
                <w:szCs w:val="15"/>
                <w:color w:val="auto"/>
              </w:rPr>
              <w:t>Chief Executive Officer</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23, 1999</w:t>
            </w: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9"/>
                <w:szCs w:val="9"/>
                <w:color w:val="auto"/>
                <w:w w:val="70"/>
              </w:rPr>
              <w:t>- --------------------------------</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2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(Principal Executive Officer</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660" w:type="dxa"/>
            <w:vAlign w:val="bottom"/>
            <w:gridSpan w:val="3"/>
          </w:tcPr>
          <w:p>
            <w:pPr>
              <w:spacing w:after="0"/>
              <w:rPr>
                <w:sz w:val="20"/>
                <w:szCs w:val="20"/>
                <w:color w:val="auto"/>
              </w:rPr>
            </w:pPr>
            <w:r>
              <w:rPr>
                <w:rFonts w:ascii="Courier New" w:cs="Courier New" w:eastAsia="Courier New" w:hAnsi="Courier New"/>
                <w:sz w:val="15"/>
                <w:szCs w:val="15"/>
                <w:color w:val="auto"/>
              </w:rPr>
              <w:t>Roy A. Whitfield</w:t>
            </w:r>
          </w:p>
        </w:tc>
        <w:tc>
          <w:tcPr>
            <w:tcW w:w="580" w:type="dxa"/>
            <w:vAlign w:val="bottom"/>
          </w:tcPr>
          <w:p>
            <w:pPr>
              <w:spacing w:after="0"/>
              <w:rPr>
                <w:sz w:val="14"/>
                <w:szCs w:val="14"/>
                <w:color w:val="auto"/>
              </w:rPr>
            </w:pPr>
          </w:p>
        </w:tc>
        <w:tc>
          <w:tcPr>
            <w:tcW w:w="3300" w:type="dxa"/>
            <w:vAlign w:val="bottom"/>
          </w:tcPr>
          <w:p>
            <w:pPr>
              <w:ind w:left="740"/>
              <w:spacing w:after="0"/>
              <w:rPr>
                <w:sz w:val="20"/>
                <w:szCs w:val="20"/>
                <w:color w:val="auto"/>
              </w:rPr>
            </w:pPr>
            <w:r>
              <w:rPr>
                <w:rFonts w:ascii="Courier New" w:cs="Courier New" w:eastAsia="Courier New" w:hAnsi="Courier New"/>
                <w:sz w:val="15"/>
                <w:szCs w:val="15"/>
                <w:color w:val="auto"/>
              </w:rPr>
              <w:t>and Director</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2240" w:type="dxa"/>
            <w:vAlign w:val="bottom"/>
            <w:gridSpan w:val="4"/>
          </w:tcPr>
          <w:p>
            <w:pPr>
              <w:spacing w:after="0"/>
              <w:rPr>
                <w:sz w:val="20"/>
                <w:szCs w:val="20"/>
                <w:color w:val="auto"/>
              </w:rPr>
            </w:pPr>
            <w:r>
              <w:rPr>
                <w:rFonts w:ascii="Courier New" w:cs="Courier New" w:eastAsia="Courier New" w:hAnsi="Courier New"/>
                <w:sz w:val="15"/>
                <w:szCs w:val="15"/>
                <w:color w:val="auto"/>
              </w:rPr>
              <w:t>/s/ DENISE M. GILBERT</w:t>
            </w:r>
          </w:p>
        </w:tc>
        <w:tc>
          <w:tcPr>
            <w:tcW w:w="3300" w:type="dxa"/>
            <w:vAlign w:val="bottom"/>
          </w:tcPr>
          <w:p>
            <w:pPr>
              <w:ind w:left="740"/>
              <w:spacing w:after="0"/>
              <w:rPr>
                <w:sz w:val="20"/>
                <w:szCs w:val="20"/>
                <w:color w:val="auto"/>
              </w:rPr>
            </w:pPr>
            <w:r>
              <w:rPr>
                <w:rFonts w:ascii="Courier New" w:cs="Courier New" w:eastAsia="Courier New" w:hAnsi="Courier New"/>
                <w:sz w:val="15"/>
                <w:szCs w:val="15"/>
                <w:color w:val="auto"/>
              </w:rPr>
              <w:t>Executive Vice President,</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23, 1999</w:t>
            </w: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9"/>
                <w:szCs w:val="9"/>
                <w:color w:val="auto"/>
                <w:w w:val="70"/>
              </w:rPr>
              <w:t>- --------------------------------</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00" w:type="dxa"/>
            <w:vAlign w:val="bottom"/>
          </w:tcPr>
          <w:p>
            <w:pPr>
              <w:ind w:left="920"/>
              <w:spacing w:after="0"/>
              <w:rPr>
                <w:sz w:val="20"/>
                <w:szCs w:val="20"/>
                <w:color w:val="auto"/>
              </w:rPr>
            </w:pPr>
            <w:r>
              <w:rPr>
                <w:rFonts w:ascii="Courier New" w:cs="Courier New" w:eastAsia="Courier New" w:hAnsi="Courier New"/>
                <w:sz w:val="15"/>
                <w:szCs w:val="15"/>
                <w:color w:val="auto"/>
                <w:w w:val="97"/>
              </w:rPr>
              <w:t>Finance and Chief Financial</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660" w:type="dxa"/>
            <w:vAlign w:val="bottom"/>
            <w:gridSpan w:val="3"/>
          </w:tcPr>
          <w:p>
            <w:pPr>
              <w:spacing w:after="0"/>
              <w:rPr>
                <w:sz w:val="20"/>
                <w:szCs w:val="20"/>
                <w:color w:val="auto"/>
              </w:rPr>
            </w:pPr>
            <w:r>
              <w:rPr>
                <w:rFonts w:ascii="Courier New" w:cs="Courier New" w:eastAsia="Courier New" w:hAnsi="Courier New"/>
                <w:sz w:val="15"/>
                <w:szCs w:val="15"/>
                <w:color w:val="auto"/>
              </w:rPr>
              <w:t>Denise M. Gilbert</w:t>
            </w:r>
          </w:p>
        </w:tc>
        <w:tc>
          <w:tcPr>
            <w:tcW w:w="580" w:type="dxa"/>
            <w:vAlign w:val="bottom"/>
          </w:tcPr>
          <w:p>
            <w:pPr>
              <w:spacing w:after="0"/>
              <w:rPr>
                <w:sz w:val="14"/>
                <w:szCs w:val="14"/>
                <w:color w:val="auto"/>
              </w:rPr>
            </w:pPr>
          </w:p>
        </w:tc>
        <w:tc>
          <w:tcPr>
            <w:tcW w:w="3300" w:type="dxa"/>
            <w:vAlign w:val="bottom"/>
          </w:tcPr>
          <w:p>
            <w:pPr>
              <w:ind w:left="740"/>
              <w:spacing w:after="0"/>
              <w:rPr>
                <w:sz w:val="20"/>
                <w:szCs w:val="20"/>
                <w:color w:val="auto"/>
              </w:rPr>
            </w:pPr>
            <w:r>
              <w:rPr>
                <w:rFonts w:ascii="Courier New" w:cs="Courier New" w:eastAsia="Courier New" w:hAnsi="Courier New"/>
                <w:sz w:val="15"/>
                <w:szCs w:val="15"/>
                <w:color w:val="auto"/>
              </w:rPr>
              <w:t>Officer (Principal Financial</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00" w:type="dxa"/>
            <w:vAlign w:val="bottom"/>
          </w:tcPr>
          <w:p>
            <w:pPr>
              <w:ind w:left="740"/>
              <w:spacing w:after="0"/>
              <w:rPr>
                <w:sz w:val="20"/>
                <w:szCs w:val="20"/>
                <w:color w:val="auto"/>
              </w:rPr>
            </w:pPr>
            <w:r>
              <w:rPr>
                <w:rFonts w:ascii="Courier New" w:cs="Courier New" w:eastAsia="Courier New" w:hAnsi="Courier New"/>
                <w:sz w:val="15"/>
                <w:szCs w:val="15"/>
                <w:color w:val="auto"/>
              </w:rPr>
              <w:t>Officer)</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1660" w:type="dxa"/>
            <w:vAlign w:val="bottom"/>
            <w:gridSpan w:val="3"/>
          </w:tcPr>
          <w:p>
            <w:pPr>
              <w:spacing w:after="0"/>
              <w:rPr>
                <w:sz w:val="20"/>
                <w:szCs w:val="20"/>
                <w:color w:val="auto"/>
              </w:rPr>
            </w:pPr>
            <w:r>
              <w:rPr>
                <w:rFonts w:ascii="Courier New" w:cs="Courier New" w:eastAsia="Courier New" w:hAnsi="Courier New"/>
                <w:sz w:val="15"/>
                <w:szCs w:val="15"/>
                <w:color w:val="auto"/>
                <w:w w:val="95"/>
              </w:rPr>
              <w:t>/s/ WILLIAM DELANEY</w:t>
            </w:r>
          </w:p>
        </w:tc>
        <w:tc>
          <w:tcPr>
            <w:tcW w:w="580" w:type="dxa"/>
            <w:vAlign w:val="bottom"/>
          </w:tcPr>
          <w:p>
            <w:pPr>
              <w:spacing w:after="0"/>
              <w:rPr>
                <w:sz w:val="24"/>
                <w:szCs w:val="24"/>
                <w:color w:val="auto"/>
              </w:rPr>
            </w:pPr>
          </w:p>
        </w:tc>
        <w:tc>
          <w:tcPr>
            <w:tcW w:w="3300" w:type="dxa"/>
            <w:vAlign w:val="bottom"/>
          </w:tcPr>
          <w:p>
            <w:pPr>
              <w:ind w:left="740"/>
              <w:spacing w:after="0"/>
              <w:rPr>
                <w:sz w:val="20"/>
                <w:szCs w:val="20"/>
                <w:color w:val="auto"/>
              </w:rPr>
            </w:pPr>
            <w:r>
              <w:rPr>
                <w:rFonts w:ascii="Courier New" w:cs="Courier New" w:eastAsia="Courier New" w:hAnsi="Courier New"/>
                <w:sz w:val="15"/>
                <w:szCs w:val="15"/>
                <w:color w:val="auto"/>
              </w:rPr>
              <w:t>Vice President of Finance,</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23, 1999</w:t>
            </w: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9"/>
                <w:szCs w:val="9"/>
                <w:color w:val="auto"/>
                <w:w w:val="70"/>
              </w:rPr>
              <w:t>- --------------------------------</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00" w:type="dxa"/>
            <w:vAlign w:val="bottom"/>
          </w:tcPr>
          <w:p>
            <w:pPr>
              <w:ind w:left="920"/>
              <w:spacing w:after="0"/>
              <w:rPr>
                <w:sz w:val="20"/>
                <w:szCs w:val="20"/>
                <w:color w:val="auto"/>
              </w:rPr>
            </w:pPr>
            <w:r>
              <w:rPr>
                <w:rFonts w:ascii="Courier New" w:cs="Courier New" w:eastAsia="Courier New" w:hAnsi="Courier New"/>
                <w:sz w:val="15"/>
                <w:szCs w:val="15"/>
                <w:color w:val="auto"/>
              </w:rPr>
              <w:t>Corporate Controller</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William Delaney</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2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(Principal Accounting Officer)</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2240" w:type="dxa"/>
            <w:vAlign w:val="bottom"/>
            <w:gridSpan w:val="4"/>
          </w:tcPr>
          <w:p>
            <w:pPr>
              <w:spacing w:after="0"/>
              <w:rPr>
                <w:sz w:val="20"/>
                <w:szCs w:val="20"/>
                <w:color w:val="auto"/>
              </w:rPr>
            </w:pPr>
            <w:r>
              <w:rPr>
                <w:rFonts w:ascii="Courier New" w:cs="Courier New" w:eastAsia="Courier New" w:hAnsi="Courier New"/>
                <w:sz w:val="15"/>
                <w:szCs w:val="15"/>
                <w:color w:val="auto"/>
              </w:rPr>
              <w:t>/s/ JEFFREY J. COLLINSON</w:t>
            </w:r>
          </w:p>
        </w:tc>
        <w:tc>
          <w:tcPr>
            <w:tcW w:w="3300" w:type="dxa"/>
            <w:vAlign w:val="bottom"/>
          </w:tcPr>
          <w:p>
            <w:pPr>
              <w:ind w:left="740"/>
              <w:spacing w:after="0"/>
              <w:rPr>
                <w:sz w:val="20"/>
                <w:szCs w:val="20"/>
                <w:color w:val="auto"/>
              </w:rPr>
            </w:pPr>
            <w:r>
              <w:rPr>
                <w:rFonts w:ascii="Courier New" w:cs="Courier New" w:eastAsia="Courier New" w:hAnsi="Courier New"/>
                <w:sz w:val="15"/>
                <w:szCs w:val="15"/>
                <w:color w:val="auto"/>
              </w:rPr>
              <w:t>Chairman of the Board</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23, 1999</w:t>
            </w:r>
          </w:p>
        </w:tc>
      </w:tr>
    </w:tbl>
    <w:p>
      <w:pPr>
        <w:ind w:left="170" w:hanging="170"/>
        <w:spacing w:after="0"/>
        <w:tabs>
          <w:tab w:leader="none" w:pos="17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Jeffrey J. Collinson</w:t>
      </w:r>
    </w:p>
    <w:p>
      <w:pPr>
        <w:spacing w:after="0" w:line="169" w:lineRule="exact"/>
        <w:rPr>
          <w:sz w:val="20"/>
          <w:szCs w:val="20"/>
          <w:color w:val="auto"/>
        </w:rPr>
      </w:pPr>
    </w:p>
    <w:p>
      <w:pPr>
        <w:ind w:left="10"/>
        <w:spacing w:after="0"/>
        <w:tabs>
          <w:tab w:leader="none" w:pos="2969" w:val="left"/>
          <w:tab w:leader="none" w:pos="5629" w:val="left"/>
        </w:tabs>
        <w:rPr>
          <w:sz w:val="20"/>
          <w:szCs w:val="20"/>
          <w:color w:val="auto"/>
        </w:rPr>
      </w:pPr>
      <w:r>
        <w:rPr>
          <w:rFonts w:ascii="Courier New" w:cs="Courier New" w:eastAsia="Courier New" w:hAnsi="Courier New"/>
          <w:sz w:val="15"/>
          <w:szCs w:val="15"/>
          <w:color w:val="auto"/>
        </w:rPr>
        <w:t>/s/ BARRY M. BLOOM</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23, 1999</w:t>
      </w:r>
    </w:p>
    <w:p>
      <w:pPr>
        <w:ind w:left="170" w:hanging="170"/>
        <w:spacing w:after="0"/>
        <w:tabs>
          <w:tab w:leader="none" w:pos="17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Barry M. Bloom</w:t>
      </w:r>
    </w:p>
    <w:p>
      <w:pPr>
        <w:spacing w:after="0" w:line="169" w:lineRule="exact"/>
        <w:rPr>
          <w:sz w:val="20"/>
          <w:szCs w:val="20"/>
          <w:color w:val="auto"/>
        </w:rPr>
      </w:pPr>
    </w:p>
    <w:p>
      <w:pPr>
        <w:ind w:left="10"/>
        <w:spacing w:after="0"/>
        <w:tabs>
          <w:tab w:leader="none" w:pos="2969" w:val="left"/>
          <w:tab w:leader="none" w:pos="5629" w:val="left"/>
        </w:tabs>
        <w:rPr>
          <w:sz w:val="20"/>
          <w:szCs w:val="20"/>
          <w:color w:val="auto"/>
        </w:rPr>
      </w:pPr>
      <w:r>
        <w:rPr>
          <w:rFonts w:ascii="Courier New" w:cs="Courier New" w:eastAsia="Courier New" w:hAnsi="Courier New"/>
          <w:sz w:val="15"/>
          <w:szCs w:val="15"/>
          <w:color w:val="auto"/>
        </w:rPr>
        <w:t>/s/ FREDERICK B. CRAVES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23, 1999</w:t>
      </w:r>
    </w:p>
    <w:p>
      <w:pPr>
        <w:ind w:left="170" w:hanging="170"/>
        <w:spacing w:after="0"/>
        <w:tabs>
          <w:tab w:leader="none" w:pos="17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Frederick B. Craves</w:t>
      </w:r>
    </w:p>
    <w:p>
      <w:pPr>
        <w:spacing w:after="0" w:line="169" w:lineRule="exact"/>
        <w:rPr>
          <w:sz w:val="20"/>
          <w:szCs w:val="20"/>
          <w:color w:val="auto"/>
        </w:rPr>
      </w:pPr>
    </w:p>
    <w:p>
      <w:pPr>
        <w:ind w:left="10"/>
        <w:spacing w:after="0"/>
        <w:tabs>
          <w:tab w:leader="none" w:pos="2969" w:val="left"/>
          <w:tab w:leader="none" w:pos="5629" w:val="left"/>
        </w:tabs>
        <w:rPr>
          <w:sz w:val="20"/>
          <w:szCs w:val="20"/>
          <w:color w:val="auto"/>
        </w:rPr>
      </w:pPr>
      <w:r>
        <w:rPr>
          <w:rFonts w:ascii="Courier New" w:cs="Courier New" w:eastAsia="Courier New" w:hAnsi="Courier New"/>
          <w:sz w:val="15"/>
          <w:szCs w:val="15"/>
          <w:color w:val="auto"/>
        </w:rPr>
        <w:t>/s/ JON S. SAXE</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23, 1999</w:t>
      </w:r>
    </w:p>
    <w:p>
      <w:pPr>
        <w:ind w:left="170" w:hanging="170"/>
        <w:spacing w:after="0"/>
        <w:tabs>
          <w:tab w:leader="none" w:pos="17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Jon S. Saxe</w:t>
      </w:r>
    </w:p>
    <w:p>
      <w:pPr>
        <w:spacing w:after="0" w:line="169" w:lineRule="exact"/>
        <w:rPr>
          <w:sz w:val="20"/>
          <w:szCs w:val="20"/>
          <w:color w:val="auto"/>
        </w:rPr>
      </w:pPr>
    </w:p>
    <w:p>
      <w:pPr>
        <w:ind w:left="10"/>
        <w:spacing w:after="0"/>
        <w:tabs>
          <w:tab w:leader="none" w:pos="2969" w:val="left"/>
          <w:tab w:leader="none" w:pos="5629" w:val="left"/>
        </w:tabs>
        <w:rPr>
          <w:sz w:val="20"/>
          <w:szCs w:val="20"/>
          <w:color w:val="auto"/>
        </w:rPr>
      </w:pPr>
      <w:r>
        <w:rPr>
          <w:rFonts w:ascii="Courier New" w:cs="Courier New" w:eastAsia="Courier New" w:hAnsi="Courier New"/>
          <w:sz w:val="15"/>
          <w:szCs w:val="15"/>
          <w:color w:val="auto"/>
        </w:rPr>
        <w:t>/s/ RANDAL W. SCOTT</w:t>
      </w:r>
      <w:r>
        <w:rPr>
          <w:sz w:val="20"/>
          <w:szCs w:val="20"/>
          <w:color w:val="auto"/>
        </w:rPr>
        <w:tab/>
      </w:r>
      <w:r>
        <w:rPr>
          <w:rFonts w:ascii="Courier New" w:cs="Courier New" w:eastAsia="Courier New" w:hAnsi="Courier New"/>
          <w:sz w:val="15"/>
          <w:szCs w:val="15"/>
          <w:color w:val="auto"/>
        </w:rPr>
        <w:t>President</w:t>
      </w:r>
      <w:r>
        <w:rPr>
          <w:sz w:val="20"/>
          <w:szCs w:val="20"/>
          <w:color w:val="auto"/>
        </w:rPr>
        <w:tab/>
      </w:r>
      <w:r>
        <w:rPr>
          <w:rFonts w:ascii="Courier New" w:cs="Courier New" w:eastAsia="Courier New" w:hAnsi="Courier New"/>
          <w:sz w:val="14"/>
          <w:szCs w:val="14"/>
          <w:color w:val="auto"/>
        </w:rPr>
        <w:t>March 23, 1999</w:t>
      </w:r>
    </w:p>
    <w:p>
      <w:pPr>
        <w:ind w:left="170" w:hanging="170"/>
        <w:spacing w:after="0"/>
        <w:tabs>
          <w:tab w:leader="none" w:pos="17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Randal W. Scott</w:t>
      </w:r>
    </w:p>
    <w:p>
      <w:pPr>
        <w:sectPr>
          <w:pgSz w:w="11900" w:h="16838" w:orient="portrait"/>
          <w:cols w:equalWidth="0" w:num="1">
            <w:col w:w="10229"/>
          </w:cols>
          <w:pgMar w:left="230" w:top="458" w:right="1440" w:bottom="1440" w:gutter="0" w:footer="0" w:header="0"/>
          <w:type w:val="continuous"/>
        </w:sectPr>
      </w:pPr>
    </w:p>
    <w:bookmarkStart w:id="84" w:name="page85"/>
    <w:bookmarkEnd w:id="84"/>
    <w:p>
      <w:pPr>
        <w:ind w:left="10"/>
        <w:spacing w:after="0"/>
        <w:tabs>
          <w:tab w:leader="none" w:pos="769" w:val="left"/>
        </w:tabs>
        <w:rPr>
          <w:sz w:val="20"/>
          <w:szCs w:val="20"/>
          <w:color w:val="auto"/>
        </w:rPr>
      </w:pPr>
      <w:r>
        <w:rPr>
          <w:rFonts w:ascii="Courier New" w:cs="Courier New" w:eastAsia="Courier New" w:hAnsi="Courier New"/>
          <w:sz w:val="15"/>
          <w:szCs w:val="15"/>
          <w:color w:val="auto"/>
        </w:rPr>
        <w:t>EXHIBIT</w:t>
      </w:r>
      <w:r>
        <w:rPr>
          <w:sz w:val="20"/>
          <w:szCs w:val="20"/>
          <w:color w:val="auto"/>
        </w:rPr>
        <w:tab/>
      </w:r>
      <w:r>
        <w:rPr>
          <w:rFonts w:ascii="Courier New" w:cs="Courier New" w:eastAsia="Courier New" w:hAnsi="Courier New"/>
          <w:sz w:val="14"/>
          <w:szCs w:val="14"/>
          <w:color w:val="auto"/>
        </w:rPr>
        <w:t>INDEX</w:t>
      </w:r>
    </w:p>
    <w:p>
      <w:pPr>
        <w:sectPr>
          <w:pgSz w:w="11900" w:h="16838" w:orient="portrait"/>
          <w:cols w:equalWidth="0" w:num="1">
            <w:col w:w="10229"/>
          </w:cols>
          <w:pgMar w:left="230" w:top="4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EXHIBIT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6" w:lineRule="exact"/>
        <w:rPr>
          <w:sz w:val="20"/>
          <w:szCs w:val="20"/>
          <w:color w:val="auto"/>
        </w:rPr>
      </w:pPr>
    </w:p>
    <w:p>
      <w:pPr>
        <w:sectPr>
          <w:pgSz w:w="11900" w:h="16838" w:orient="portrait"/>
          <w:cols w:equalWidth="0" w:num="2">
            <w:col w:w="610" w:space="280"/>
            <w:col w:w="9339"/>
          </w:cols>
          <w:pgMar w:left="230" w:top="452" w:right="1440" w:bottom="1440" w:gutter="0" w:footer="0" w:header="0"/>
          <w:type w:val="continuous"/>
        </w:sectPr>
      </w:pPr>
    </w:p>
    <w:p>
      <w:pPr>
        <w:ind w:left="170" w:hanging="170"/>
        <w:spacing w:after="0"/>
        <w:tabs>
          <w:tab w:leader="none" w:pos="17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890" w:right="3879" w:hanging="881"/>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2.1Agreement and Plan of Merger dated as of December 23, 1997 among Incyte Pharmaceuticals, Inc., Bond Acquisition Corp. and Synteni, Inc. (incorporated by reference to Exhibit 2.1 to the Company's Current Report on Form 8-K dated January 22, 1998 (File No. 0-27488)).</w:t>
      </w:r>
    </w:p>
    <w:p>
      <w:pPr>
        <w:spacing w:after="0" w:line="8" w:lineRule="exact"/>
        <w:rPr>
          <w:rFonts w:ascii="Courier New" w:cs="Courier New" w:eastAsia="Courier New" w:hAnsi="Courier New"/>
          <w:sz w:val="15"/>
          <w:szCs w:val="15"/>
          <w:color w:val="auto"/>
        </w:rPr>
      </w:pPr>
    </w:p>
    <w:p>
      <w:pPr>
        <w:ind w:left="890" w:right="3879" w:hanging="881"/>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2.2Share Purchase Agreement, dated as of September 21, 1998, by and among Incyte Pharmaceuticals, Inc., Hexagen Limited and the shareholders of Hexagen Limited (incorporated by reference to Exhibit 2.1 to the Company's Current Report on Form 8-K dated September 21, 1998 (File No. 0-27488)).</w:t>
      </w:r>
    </w:p>
    <w:p>
      <w:pPr>
        <w:spacing w:after="0" w:line="8" w:lineRule="exact"/>
        <w:rPr>
          <w:rFonts w:ascii="Courier New" w:cs="Courier New" w:eastAsia="Courier New" w:hAnsi="Courier New"/>
          <w:sz w:val="15"/>
          <w:szCs w:val="15"/>
          <w:color w:val="auto"/>
        </w:rPr>
      </w:pPr>
    </w:p>
    <w:p>
      <w:pPr>
        <w:ind w:left="890" w:right="3799" w:hanging="881"/>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3(i)Restated Certificate of Incorporation, as amended (incorporated by reference to Exhibit 4.1 to the Company's Registration Statement on Form S-3 (File No. 333-31307)).</w:t>
      </w:r>
    </w:p>
    <w:p>
      <w:pPr>
        <w:spacing w:after="0" w:line="5" w:lineRule="exact"/>
        <w:rPr>
          <w:rFonts w:ascii="Courier New" w:cs="Courier New" w:eastAsia="Courier New" w:hAnsi="Courier New"/>
          <w:sz w:val="15"/>
          <w:szCs w:val="15"/>
          <w:color w:val="auto"/>
        </w:rPr>
      </w:pPr>
    </w:p>
    <w:p>
      <w:pPr>
        <w:ind w:left="890" w:right="3879" w:hanging="881"/>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3(i)(a) Certificate of Designation of Series A Participating Preferred Stock.</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3(ii)</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Bylaws of the Company, as amended (incorporated by</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reference to Exhibit 4.2 to the Company's Registration</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Statement on Form S-3 (File No. 333-31307)).</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Form of Common Stock Certificate (incorporated by reference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to the exhibit of the same number to the Company's Registration</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Statement on Form S-1 (File No. 33-68138)).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Rights Agreement dated as of September 25, 1998 between the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Company and Chase Mellon Shareholder Services, L.L.C.,</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which includes as Exhibit B, the rights certificate (incorporated</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by reference to Exhibit 4.1 to the Company's Registration</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Statement on Form 8-A relating to the Series A Participating</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Preferred Stock Purchase Rights (filed on September 30, 1998).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1991 Stock Plan of Incyte Pharmaceuticals, Inc., as amended</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and restated (the "Plan") (incorporated by reference to Exhibit</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10.1 to the Company's Registration Statement on Form S-8</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(File No. 33-93666)).</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Form of Incentive Stock Option Agreement under the Plan</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(incorporated by reference to the exhibit of the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the Company's Registration reference to the exhibit of the same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number to the Company's Registration Statement on Form S-1 (File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No. 33-68138)).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Form of Nonstatutory Stock Option Agreement under the Plan</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(incorporated by  reference to the exhibit of to the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w w:val="98"/>
              </w:rPr>
              <w:t>Company's Registration reference to the exhibit of the same number to</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w w:val="97"/>
              </w:rPr>
              <w:t>the Company's Registration Statement on Form S-1 (File No. 33-68138)).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Amended and Restated 1993 Directors' Stock Option Plan of</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Incyte Pharmaceuticals, Inc. (incorporated by reference to the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exhibit of the same number to the Company's Annual Report</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on Form 10-K for the year ended December 31, 1997).</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Form of Indemnity Agreement between the Company and its directors</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w w:val="98"/>
              </w:rPr>
              <w:t>and Form of Indemnity Agreement between the Company and its directors</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and officers (incorporated by reference to 10.5 to the Company's</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Registration Statement on Form S-1 (File No. 33-68138)).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Lease Agreement dated December 8, 1994 between the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Company and Matadero Lease Agreement dated December 8, 1994</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between the Company and Matadero Creek (incorporated by reference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Exhibit 10.16 to the Company's Annual Report on Form 10-K for the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year ended December 31, 1994).</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Lease dated July 18, 1991 between the Company and Harry J.</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Fair, Jr., as  Lease dated July 18, 1991 between the Company</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and Harry J. Fair, Jr., as amended (incorporated by reference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to the Company's Registration Statement on Form S-1 (File</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No. 33-68138)).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Lease Amendment and Extension to Lease dated July 18, 1991</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between the Company and Harry J. Fair, Jr., as amended</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(incorporated by reference to Exhibit 10.11 to the Company's</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Annual Report on Form 10-K for the year ended December 31,</w:t>
            </w:r>
          </w:p>
        </w:tc>
      </w:tr>
      <w:tr>
        <w:trPr>
          <w:trHeight w:val="170"/>
        </w:trPr>
        <w:tc>
          <w:tcPr>
            <w:tcW w:w="660" w:type="dxa"/>
            <w:vAlign w:val="bottom"/>
          </w:tcPr>
          <w:p>
            <w:pPr>
              <w:spacing w:after="0"/>
              <w:rPr>
                <w:sz w:val="14"/>
                <w:szCs w:val="14"/>
                <w:color w:val="auto"/>
              </w:rPr>
            </w:pPr>
          </w:p>
        </w:tc>
        <w:tc>
          <w:tcPr>
            <w:tcW w:w="6380" w:type="dxa"/>
            <w:vAlign w:val="bottom"/>
          </w:tcPr>
          <w:p>
            <w:pPr>
              <w:ind w:left="220"/>
              <w:spacing w:after="0"/>
              <w:rPr>
                <w:sz w:val="20"/>
                <w:szCs w:val="20"/>
                <w:color w:val="auto"/>
              </w:rPr>
            </w:pPr>
            <w:r>
              <w:rPr>
                <w:rFonts w:ascii="Courier New" w:cs="Courier New" w:eastAsia="Courier New" w:hAnsi="Courier New"/>
                <w:sz w:val="15"/>
                <w:szCs w:val="15"/>
                <w:color w:val="auto"/>
              </w:rPr>
              <w:t>1993).</w:t>
            </w:r>
          </w:p>
        </w:tc>
      </w:tr>
    </w:tbl>
    <w:p>
      <w:pPr>
        <w:sectPr>
          <w:pgSz w:w="11900" w:h="16838" w:orient="portrait"/>
          <w:cols w:equalWidth="0" w:num="1">
            <w:col w:w="10229"/>
          </w:cols>
          <w:pgMar w:left="230" w:top="452" w:right="1440" w:bottom="1440" w:gutter="0" w:footer="0" w:header="0"/>
          <w:type w:val="continuous"/>
        </w:sectPr>
      </w:pPr>
    </w:p>
    <w:bookmarkStart w:id="85" w:name="page86"/>
    <w:bookmarkEnd w:id="85"/>
    <w:p>
      <w:pPr>
        <w:ind w:left="10"/>
        <w:spacing w:after="0"/>
        <w:tabs>
          <w:tab w:leader="none" w:pos="1389" w:val="left"/>
        </w:tabs>
        <w:rPr>
          <w:sz w:val="20"/>
          <w:szCs w:val="20"/>
          <w:color w:val="auto"/>
        </w:rPr>
      </w:pPr>
      <w:r>
        <w:rPr>
          <w:rFonts w:ascii="Courier New" w:cs="Courier New" w:eastAsia="Courier New" w:hAnsi="Courier New"/>
          <w:sz w:val="15"/>
          <w:szCs w:val="15"/>
          <w:color w:val="auto"/>
        </w:rPr>
        <w:t>EXHIBIT NUMBER</w:t>
      </w:r>
      <w:r>
        <w:rPr>
          <w:sz w:val="20"/>
          <w:szCs w:val="20"/>
          <w:color w:val="auto"/>
        </w:rPr>
        <w:tab/>
      </w:r>
      <w:r>
        <w:rPr>
          <w:rFonts w:ascii="Courier New" w:cs="Courier New" w:eastAsia="Courier New" w:hAnsi="Courier New"/>
          <w:sz w:val="14"/>
          <w:szCs w:val="14"/>
          <w:color w:val="auto"/>
        </w:rPr>
        <w:t>DESCRIPTION OF DOCUMENT</w:t>
      </w:r>
    </w:p>
    <w:p>
      <w:pPr>
        <w:spacing w:after="0" w:line="5" w:lineRule="exact"/>
        <w:rPr>
          <w:sz w:val="20"/>
          <w:szCs w:val="20"/>
          <w:color w:val="auto"/>
        </w:rPr>
      </w:pPr>
    </w:p>
    <w:p>
      <w:pPr>
        <w:ind w:left="170" w:hanging="170"/>
        <w:spacing w:after="0"/>
        <w:tabs>
          <w:tab w:leader="none" w:pos="17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10.9</w:t>
      </w:r>
    </w:p>
    <w:tbl>
      <w:tblPr>
        <w:tblLayout w:type="fixed"/>
        <w:tblInd w:w="10" w:type="dxa"/>
        <w:tblCellMar>
          <w:top w:w="0" w:type="dxa"/>
          <w:left w:w="0" w:type="dxa"/>
          <w:bottom w:w="0" w:type="dxa"/>
          <w:right w:w="0" w:type="dxa"/>
        </w:tblCellMar>
      </w:tblPr>
      <w:tr>
        <w:trPr>
          <w:trHeight w:val="169"/>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w w:val="99"/>
              </w:rPr>
              <w:t>Stock Purchase Agreement dated as of June 22, 1994 between the</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Company and Pfizer Inc (incorporated by reference to</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Exhibit B to the Company's Current Report on Form 8-K dated</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June 23, 1994).</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600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w w:val="97"/>
              </w:rPr>
              <w:t>Registration Rights Agreement dated as of June 22, 1994 between</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the Company and Pfizer Inc (incorporated by</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reference to Exhibit C to the Company's Current Report on</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Form 8-K dated June 23, 1994).</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Stock Purchase Agreement dated as of November 30, 1994</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between the Company and The Upjohn Company</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(incorporated by reference to Exhibit B to the Company's</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Current Report on Form 8-K dated November 30, 1994, as</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amended by Form 8-K/A filed with the Commission on March</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27, 1995).</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Registration Rights Agreement dated as of November 30, 1994</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between the Company  and The Upjohn Company</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(incorporated by reference to Exhibit C to the Company's</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Current Report on Form 8-K dated November 30, 1994).</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1996 Amendment to the Plan (incorporated by reference to</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Exhibit 10.1 to the Company's Registration Statement on Form</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S-8 (File No. 333-13449)).</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1997 Amendment to the Plan (incorporated by reference to</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Exhibit 10.1 to the 1997 Amendment to the Plan (incorporated</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by reference to Exhibit 10.1 to the Company's Registration</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Form S-8 (File No. 333-31413)).</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1997 Employee Stock Purchase Plan of Incyte</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Pharmaceuticals, Inc. (incorporated by reference to Exhibit</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10.1 to the Company's Registration Statement on Form S-8</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(File No. 333-31409)).</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1998 amendment to the 1997 Employee Stock Purchase Plan</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of Incyte Pharmaceuticals, Inc. (incorporated by reference to</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Exhibit 99 to the Company's Quarterly Report on Form 10-Q</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for the quarter ended September 30, 1998).</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Master Strategic Relationship Agreement dated as of</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September 2, 1997 between SmithKline Beecham Corporation,</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Incyte Pharmaceuticals, Inc. and diaDexus, LLC (incorporated</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by reference to Exhibit 10.18 to the Company's Quarterly</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Report on Form 10-Q/A for the quarter ended September 30,</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1996 Synteni, Inc. Equity Incentive Stock Plan (incorporated</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by reference to Exhibit 10.19 to the Company's Registration</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Statement on Form S-8 (File No. 333-46639)).</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The Hexagen Limited Unapproved Company Share Option Plan</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w w:val="99"/>
              </w:rPr>
              <w:t>1996, as amended (incorporated by reference to Exhibit 10.1 to</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the Company's Registration Statement on Form S-8 (File 333-</w:t>
            </w:r>
          </w:p>
        </w:tc>
      </w:tr>
      <w:tr>
        <w:trPr>
          <w:trHeight w:val="170"/>
        </w:trPr>
        <w:tc>
          <w:tcPr>
            <w:tcW w:w="960" w:type="dxa"/>
            <w:vAlign w:val="bottom"/>
          </w:tcPr>
          <w:p>
            <w:pPr>
              <w:spacing w:after="0"/>
              <w:rPr>
                <w:sz w:val="14"/>
                <w:szCs w:val="14"/>
                <w:color w:val="auto"/>
              </w:rPr>
            </w:pP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67691)).</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Subsidiaries of the Company</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w w:val="99"/>
              </w:rPr>
              <w:t>Consent of PricewaterhouseCoopers LLP, Independent Accountants</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Power of Attorney (see page 86 of this Form 10-K)</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Financial Data Schedule</w:t>
            </w:r>
          </w:p>
        </w:tc>
      </w:tr>
    </w:tbl>
    <w:p>
      <w:pPr>
        <w:spacing w:after="0" w:line="344" w:lineRule="exact"/>
        <w:rPr>
          <w:sz w:val="20"/>
          <w:szCs w:val="20"/>
          <w:color w:val="auto"/>
        </w:rPr>
      </w:pPr>
    </w:p>
    <w:p>
      <w:pPr>
        <w:ind w:left="530" w:hanging="530"/>
        <w:spacing w:after="0"/>
        <w:tabs>
          <w:tab w:leader="none" w:pos="53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has been granted with respect to certain portions</w:t>
      </w:r>
    </w:p>
    <w:p>
      <w:pPr>
        <w:spacing w:after="0" w:line="5" w:lineRule="exact"/>
        <w:rPr>
          <w:sz w:val="20"/>
          <w:szCs w:val="20"/>
          <w:color w:val="auto"/>
        </w:rPr>
      </w:pPr>
    </w:p>
    <w:p>
      <w:pPr>
        <w:ind w:left="10"/>
        <w:spacing w:after="0"/>
        <w:tabs>
          <w:tab w:leader="none" w:pos="329" w:val="left"/>
          <w:tab w:leader="none" w:pos="949" w:val="left"/>
        </w:tabs>
        <w:rPr>
          <w:sz w:val="20"/>
          <w:szCs w:val="20"/>
          <w:color w:val="auto"/>
        </w:rPr>
      </w:pPr>
      <w:r>
        <w:rPr>
          <w:rFonts w:ascii="Courier New" w:cs="Courier New" w:eastAsia="Courier New" w:hAnsi="Courier New"/>
          <w:sz w:val="15"/>
          <w:szCs w:val="15"/>
          <w:color w:val="auto"/>
        </w:rPr>
        <w:t>of</w:t>
        <w:tab/>
        <w:t>these</w:t>
      </w:r>
      <w:r>
        <w:rPr>
          <w:sz w:val="20"/>
          <w:szCs w:val="20"/>
          <w:color w:val="auto"/>
        </w:rPr>
        <w:tab/>
      </w:r>
      <w:r>
        <w:rPr>
          <w:rFonts w:ascii="Courier New" w:cs="Courier New" w:eastAsia="Courier New" w:hAnsi="Courier New"/>
          <w:sz w:val="14"/>
          <w:szCs w:val="14"/>
          <w:color w:val="auto"/>
        </w:rPr>
        <w:t>agreements.</w:t>
      </w:r>
    </w:p>
    <w:p>
      <w:pPr>
        <w:spacing w:after="0" w:line="5" w:lineRule="exact"/>
        <w:rPr>
          <w:sz w:val="20"/>
          <w:szCs w:val="20"/>
          <w:color w:val="auto"/>
        </w:rPr>
      </w:pPr>
    </w:p>
    <w:p>
      <w:pPr>
        <w:ind w:left="530" w:hanging="530"/>
        <w:spacing w:after="0"/>
        <w:tabs>
          <w:tab w:leader="none" w:pos="53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management  contract  or  compensatory  plan  or  arrangement.</w:t>
      </w:r>
    </w:p>
    <w:p>
      <w:pPr>
        <w:spacing w:after="0" w:line="180"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Copies of above exhibits not contained herein are available to any stockholder upon written request Investor Relations, Incyte Pharmaceuticals, Inc., 3174 Porter Drive, Palo Alto, CA 94034</w:t>
      </w:r>
    </w:p>
    <w:p>
      <w:pPr>
        <w:sectPr>
          <w:pgSz w:w="11900" w:h="16838" w:orient="portrait"/>
          <w:cols w:equalWidth="0" w:num="1">
            <w:col w:w="10229"/>
          </w:cols>
          <w:pgMar w:left="230" w:top="1300"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Exhibit 3(i)(a)</w:t>
      </w:r>
    </w:p>
    <w:p>
      <w:pPr>
        <w:ind w:left="2460"/>
        <w:spacing w:after="0"/>
        <w:tabs>
          <w:tab w:leader="none" w:pos="3580" w:val="left"/>
          <w:tab w:leader="none" w:pos="3940" w:val="left"/>
        </w:tabs>
        <w:rPr>
          <w:sz w:val="20"/>
          <w:szCs w:val="20"/>
          <w:color w:val="auto"/>
        </w:rPr>
      </w:pPr>
      <w:r>
        <w:rPr>
          <w:rFonts w:ascii="Courier New" w:cs="Courier New" w:eastAsia="Courier New" w:hAnsi="Courier New"/>
          <w:sz w:val="15"/>
          <w:szCs w:val="15"/>
          <w:color w:val="auto"/>
        </w:rPr>
        <w:t>CERTIFICATE</w:t>
        <w:tab/>
        <w:t>OF</w:t>
      </w:r>
      <w:r>
        <w:rPr>
          <w:sz w:val="20"/>
          <w:szCs w:val="20"/>
          <w:color w:val="auto"/>
        </w:rPr>
        <w:tab/>
      </w:r>
      <w:r>
        <w:rPr>
          <w:rFonts w:ascii="Courier New" w:cs="Courier New" w:eastAsia="Courier New" w:hAnsi="Courier New"/>
          <w:sz w:val="14"/>
          <w:szCs w:val="14"/>
          <w:color w:val="auto"/>
        </w:rPr>
        <w:t>DESIGNATION</w:t>
      </w:r>
    </w:p>
    <w:p>
      <w:pPr>
        <w:ind w:left="246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1760"/>
        <w:spacing w:after="0"/>
        <w:tabs>
          <w:tab w:leader="none" w:pos="2080" w:val="left"/>
          <w:tab w:leader="none" w:pos="2800" w:val="left"/>
          <w:tab w:leader="none" w:pos="3060" w:val="left"/>
          <w:tab w:leader="none" w:pos="4380" w:val="left"/>
          <w:tab w:leader="none" w:pos="5340" w:val="left"/>
        </w:tabs>
        <w:rPr>
          <w:sz w:val="20"/>
          <w:szCs w:val="20"/>
          <w:color w:val="auto"/>
        </w:rPr>
      </w:pPr>
      <w:r>
        <w:rPr>
          <w:rFonts w:ascii="Courier New" w:cs="Courier New" w:eastAsia="Courier New" w:hAnsi="Courier New"/>
          <w:sz w:val="15"/>
          <w:szCs w:val="15"/>
          <w:color w:val="auto"/>
        </w:rPr>
        <w:t>OF</w:t>
        <w:tab/>
        <w:t>SERIES</w:t>
        <w:tab/>
        <w:t>A</w:t>
        <w:tab/>
        <w:t>PARTICIPATING</w:t>
        <w:tab/>
        <w:t>PREFERRED</w:t>
      </w:r>
      <w:r>
        <w:rPr>
          <w:sz w:val="20"/>
          <w:szCs w:val="20"/>
          <w:color w:val="auto"/>
        </w:rPr>
        <w:tab/>
      </w:r>
      <w:r>
        <w:rPr>
          <w:rFonts w:ascii="Courier New" w:cs="Courier New" w:eastAsia="Courier New" w:hAnsi="Courier New"/>
          <w:sz w:val="14"/>
          <w:szCs w:val="14"/>
          <w:color w:val="auto"/>
        </w:rPr>
        <w:t>STOCK</w:t>
      </w:r>
    </w:p>
    <w:p>
      <w:pPr>
        <w:ind w:left="17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OF</w:t>
      </w:r>
    </w:p>
    <w:p>
      <w:pPr>
        <w:ind w:left="35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380"/>
        <w:spacing w:after="0"/>
        <w:tabs>
          <w:tab w:leader="none" w:pos="3060" w:val="left"/>
          <w:tab w:leader="none" w:pos="4640" w:val="left"/>
        </w:tabs>
        <w:rPr>
          <w:sz w:val="20"/>
          <w:szCs w:val="20"/>
          <w:color w:val="auto"/>
        </w:rPr>
      </w:pPr>
      <w:r>
        <w:rPr>
          <w:rFonts w:ascii="Courier New" w:cs="Courier New" w:eastAsia="Courier New" w:hAnsi="Courier New"/>
          <w:sz w:val="15"/>
          <w:szCs w:val="15"/>
          <w:color w:val="auto"/>
        </w:rPr>
        <w:t>INCYTE</w:t>
        <w:tab/>
        <w:t>PHARMACEUTICALS,</w:t>
        <w:tab/>
        <w:t>INC.</w:t>
      </w:r>
    </w:p>
    <w:p>
      <w:pPr>
        <w:ind w:left="23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Roy A. Whitfield, the Chief Executive Officer, and Elias Lee Bendekgey, the Secretary, of Incyte Pharmaceuticals, Inc., a corporation organized and existing under the General Corporation Law of the State of Delaware, DO HEREBY CERTIFY:</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That pursuant to the authority conferred upon the Board of Directors by the Certificate of Incorporation of the Corpo-ration, the said Board of Directors on September 25, 1998, adopted the following resolution creating a series of 250,000 shares of Preferred Stock designated as Series A Participating Preferred Stock:</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RESOLVED, that pursuant to the authority vested in the Board of Directors of the Corporation in accordance with the provisions of its Certificate of Incorporation, a series of Preferred Stock of the Corporation be and it hereby is created, and that the designation and amount thereof and the powers, preferences and relative, participating, optional and other special rights of the shares of such series, and the qualifications, limitations or restrictions thereof are as follows:</w:t>
      </w:r>
    </w:p>
    <w:p>
      <w:pPr>
        <w:spacing w:after="0" w:line="177" w:lineRule="exact"/>
        <w:rPr>
          <w:sz w:val="20"/>
          <w:szCs w:val="20"/>
          <w:color w:val="auto"/>
        </w:rPr>
      </w:pPr>
    </w:p>
    <w:p>
      <w:pPr>
        <w:ind w:left="1040" w:hanging="609"/>
        <w:spacing w:after="0"/>
        <w:tabs>
          <w:tab w:leader="none" w:pos="10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Amount.  The  shares  of  such  series  shall  be</w:t>
      </w:r>
    </w:p>
    <w:p>
      <w:pPr>
        <w:spacing w:after="0" w:line="5"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designated as "Series A Participating Preferred Stock," par value $.001 per share, and the number of shares constituting such series shall be 250,000. Such number of shares may be increased or decreased by resolution of the Board of Directors; provided, that no decrease shall reduce the number of shares of Series A Participating Preferred Stock to a number less than that of the shares then outstand-ing plus the number of shares issuable upon exercise of outstanding rights, options or warrants or upon conversion of outstanding securities issued by the Corporation.</w:t>
      </w:r>
    </w:p>
    <w:p>
      <w:pPr>
        <w:spacing w:after="0" w:line="172" w:lineRule="exact"/>
        <w:rPr>
          <w:sz w:val="20"/>
          <w:szCs w:val="20"/>
          <w:color w:val="auto"/>
        </w:rPr>
      </w:pPr>
    </w:p>
    <w:p>
      <w:pPr>
        <w:ind w:left="1040" w:hanging="609"/>
        <w:spacing w:after="0"/>
        <w:tabs>
          <w:tab w:leader="none" w:pos="10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w:t>
      </w:r>
    </w:p>
    <w:p>
      <w:pPr>
        <w:ind w:left="1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431"/>
        <w:spacing w:after="0" w:line="239" w:lineRule="auto"/>
        <w:tabs>
          <w:tab w:leader="none" w:pos="114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prior and superior rights of the holders of any shares of any series of Preferred Stock ranking prior and superior to the shares of Series A Participating Preferred Stock with respect to dividends, the holders of shares of Series A Participating Preferred Stock in preference to the holders of shares of Common Stock, par value $.001 per share (the "Common Stock"), of the Corporation and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A Participating Preferred Stock in an amount per share (rounded to the nearest cent) equal to the greater of (a) $25.00,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Participating Preferred Stock. In the event the Corporation shall at any time after the close of business on October 13, 1998 (the "Rights Declaration Date") (i) declare any dividend on Common Stock payable in shares of Common Stock, (ii) subdivide the outstanding Common Stock, or (iii) combine the outstanding Common Stock into a smaller number of shares, by reclassifica-tion or otherwise, then in each such case the amount to which holders of shares of Series A Participating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9" w:lineRule="exact"/>
        <w:rPr>
          <w:rFonts w:ascii="Courier New" w:cs="Courier New" w:eastAsia="Courier New" w:hAnsi="Courier New"/>
          <w:sz w:val="15"/>
          <w:szCs w:val="15"/>
          <w:color w:val="auto"/>
        </w:rPr>
      </w:pPr>
    </w:p>
    <w:p>
      <w:pPr>
        <w:jc w:val="both"/>
        <w:ind w:right="3179" w:firstLine="431"/>
        <w:spacing w:after="0" w:line="256" w:lineRule="auto"/>
        <w:tabs>
          <w:tab w:leader="none" w:pos="1146"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declare a dividend or distribu-tion on the Series A Participating Preferred Stock as provided in paragraph (A) above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Quarterly  Dividend  Payment Date, a dividend of $25.00 per share on</w:t>
      </w:r>
    </w:p>
    <w:p>
      <w:pPr>
        <w:spacing w:after="0" w:line="172"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Series A Participating Preferred Stock shall nevertheless be payable on such subsequent Quarterly Dividend Payment Date.</w:t>
      </w:r>
    </w:p>
    <w:p>
      <w:pPr>
        <w:spacing w:after="0" w:line="176" w:lineRule="exact"/>
        <w:rPr>
          <w:sz w:val="20"/>
          <w:szCs w:val="20"/>
          <w:color w:val="auto"/>
        </w:rPr>
      </w:pPr>
    </w:p>
    <w:p>
      <w:pPr>
        <w:jc w:val="both"/>
        <w:ind w:right="3179" w:firstLine="431"/>
        <w:spacing w:after="0" w:line="258" w:lineRule="auto"/>
        <w:tabs>
          <w:tab w:leader="none" w:pos="1146"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shall begin to accrue and be cumu-lative on outstanding shares of Series A Participating Preferred Stock from the Quarterly Dividend Payment Date next preceding the date of issue of such shares of Series A Participating Preferred Stock unless the date of issue of such shares is prior to the record date for the first Quarterly Dividend Payment Date, in which case</w:t>
      </w:r>
    </w:p>
    <w:p>
      <w:pPr>
        <w:sectPr>
          <w:pgSz w:w="11900" w:h="16838" w:orient="portrait"/>
          <w:cols w:equalWidth="0" w:num="1">
            <w:col w:w="10219"/>
          </w:cols>
          <w:pgMar w:left="240" w:top="136" w:right="1440" w:bottom="0" w:gutter="0" w:footer="0" w:header="0"/>
        </w:sectPr>
      </w:pPr>
    </w:p>
    <w:bookmarkStart w:id="87" w:name="page88"/>
    <w:bookmarkEnd w:id="87"/>
    <w:p>
      <w:pPr>
        <w:jc w:val="both"/>
        <w:ind w:left="10" w:right="3179"/>
        <w:spacing w:after="0" w:line="256" w:lineRule="auto"/>
        <w:rPr>
          <w:sz w:val="20"/>
          <w:szCs w:val="20"/>
          <w:color w:val="auto"/>
        </w:rPr>
      </w:pPr>
      <w:r>
        <w:rPr>
          <w:rFonts w:ascii="Courier New" w:cs="Courier New" w:eastAsia="Courier New" w:hAnsi="Courier New"/>
          <w:sz w:val="14"/>
          <w:szCs w:val="14"/>
          <w:color w:val="auto"/>
        </w:rPr>
        <w:t>dividends on such shares shall begin to accrue from the date of issue of such shares, or unless the date of issue is a Quarterly Dividend Payment Date or is a date after the record date for the determination of holders of shares of Series</w:t>
      </w:r>
    </w:p>
    <w:p>
      <w:pPr>
        <w:spacing w:after="0" w:line="1" w:lineRule="exact"/>
        <w:rPr>
          <w:sz w:val="20"/>
          <w:szCs w:val="20"/>
          <w:color w:val="auto"/>
        </w:rPr>
      </w:pPr>
    </w:p>
    <w:p>
      <w:pPr>
        <w:jc w:val="both"/>
        <w:ind w:left="10" w:right="3179" w:hanging="10"/>
        <w:spacing w:after="0" w:line="238" w:lineRule="auto"/>
        <w:tabs>
          <w:tab w:leader="none" w:pos="27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Participating Preferred Stock entitled to receive payment of a dividend or distribution declared thereon, which record date shall be no more than 30 days prior to the date fixed for the payment thereof.</w:t>
      </w:r>
    </w:p>
    <w:p>
      <w:pPr>
        <w:spacing w:after="0" w:line="182" w:lineRule="exact"/>
        <w:rPr>
          <w:sz w:val="20"/>
          <w:szCs w:val="20"/>
          <w:color w:val="auto"/>
        </w:rPr>
      </w:pPr>
    </w:p>
    <w:p>
      <w:pPr>
        <w:ind w:left="1050" w:hanging="609"/>
        <w:spacing w:after="0"/>
        <w:tabs>
          <w:tab w:leader="none" w:pos="105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The  holders  of  shares  of Series A Participating</w:t>
      </w:r>
    </w:p>
    <w:p>
      <w:pPr>
        <w:spacing w:after="0" w:line="5" w:lineRule="exact"/>
        <w:rPr>
          <w:rFonts w:ascii="Courier New" w:cs="Courier New" w:eastAsia="Courier New" w:hAnsi="Courier New"/>
          <w:sz w:val="14"/>
          <w:szCs w:val="14"/>
          <w:color w:val="auto"/>
        </w:rPr>
      </w:pPr>
    </w:p>
    <w:p>
      <w:pPr>
        <w:ind w:left="10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0"/>
        <w:spacing w:after="0"/>
        <w:tabs>
          <w:tab w:leader="none" w:pos="949" w:val="left"/>
          <w:tab w:leader="none" w:pos="1569" w:val="left"/>
          <w:tab w:leader="none" w:pos="2189" w:val="left"/>
          <w:tab w:leader="none" w:pos="2709" w:val="left"/>
          <w:tab w:leader="none" w:pos="3149" w:val="left"/>
          <w:tab w:leader="none" w:pos="4129" w:val="left"/>
          <w:tab w:leader="none" w:pos="4829" w:val="left"/>
        </w:tabs>
        <w:rPr>
          <w:sz w:val="20"/>
          <w:szCs w:val="20"/>
          <w:color w:val="auto"/>
        </w:rPr>
      </w:pPr>
      <w:r>
        <w:rPr>
          <w:rFonts w:ascii="Courier New" w:cs="Courier New" w:eastAsia="Courier New" w:hAnsi="Courier New"/>
          <w:sz w:val="15"/>
          <w:szCs w:val="15"/>
          <w:color w:val="auto"/>
        </w:rPr>
        <w:t>Preferred</w:t>
        <w:tab/>
        <w:t>Stock</w:t>
        <w:tab/>
        <w:t>shall</w:t>
        <w:tab/>
        <w:t>have</w:t>
        <w:tab/>
        <w:t>the</w:t>
        <w:tab/>
        <w:t>following</w:t>
        <w:tab/>
        <w:t>voting</w:t>
      </w:r>
      <w:r>
        <w:rPr>
          <w:sz w:val="20"/>
          <w:szCs w:val="20"/>
          <w:color w:val="auto"/>
        </w:rPr>
        <w:tab/>
      </w:r>
      <w:r>
        <w:rPr>
          <w:rFonts w:ascii="Courier New" w:cs="Courier New" w:eastAsia="Courier New" w:hAnsi="Courier New"/>
          <w:sz w:val="14"/>
          <w:szCs w:val="14"/>
          <w:color w:val="auto"/>
        </w:rPr>
        <w:t>rights:</w:t>
      </w:r>
    </w:p>
    <w:p>
      <w:pPr>
        <w:spacing w:after="0" w:line="174" w:lineRule="exact"/>
        <w:rPr>
          <w:sz w:val="20"/>
          <w:szCs w:val="20"/>
          <w:color w:val="auto"/>
        </w:rPr>
      </w:pPr>
    </w:p>
    <w:p>
      <w:pPr>
        <w:jc w:val="both"/>
        <w:ind w:left="10" w:right="3179" w:firstLine="872"/>
        <w:spacing w:after="0" w:line="238" w:lineRule="auto"/>
        <w:tabs>
          <w:tab w:leader="none" w:pos="159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 for adjustment here-inafter set forth, each share of Series A Partici-pating Preferred Stock shall entitle the holder thereof to 1,000 votes on all matters submitted to a vote of the stockholders of the Corporation. In the event the Corporation shall at any time after the Rights Declaration Date (i) declare any dividend on Common Stock payable in shares of Common Stock, (ii) subdivide the outstanding Common Stock into a greater number of shares, or (iii) combine the outstanding Common Stock into a smaller number of shares, by reclassification or otherwise, then in each such case the number of votes per share to which holders of shares of Series A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outstanding immediately prior to such event.</w:t>
      </w:r>
    </w:p>
    <w:p>
      <w:pPr>
        <w:spacing w:after="0" w:line="183" w:lineRule="exact"/>
        <w:rPr>
          <w:rFonts w:ascii="Courier New" w:cs="Courier New" w:eastAsia="Courier New" w:hAnsi="Courier New"/>
          <w:sz w:val="15"/>
          <w:szCs w:val="15"/>
          <w:color w:val="auto"/>
        </w:rPr>
      </w:pPr>
    </w:p>
    <w:p>
      <w:pPr>
        <w:jc w:val="both"/>
        <w:ind w:left="10" w:right="3179" w:firstLine="872"/>
        <w:spacing w:after="0" w:line="258" w:lineRule="auto"/>
        <w:tabs>
          <w:tab w:leader="none" w:pos="159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herein, in the Certificate of Incorporation or by law, the holders of shares of Series A Participating Preferred Stock and the holders of shares of Common Stock and any other capital stock of the Corporation having general voting rights shall vote together as one class on all matters submitted to a vote of stockholders of the Corporation.</w:t>
      </w:r>
    </w:p>
    <w:p>
      <w:pPr>
        <w:spacing w:after="0" w:line="164" w:lineRule="exact"/>
        <w:rPr>
          <w:rFonts w:ascii="Courier New" w:cs="Courier New" w:eastAsia="Courier New" w:hAnsi="Courier New"/>
          <w:sz w:val="14"/>
          <w:szCs w:val="14"/>
          <w:color w:val="auto"/>
        </w:rPr>
      </w:pPr>
    </w:p>
    <w:p>
      <w:pPr>
        <w:jc w:val="both"/>
        <w:ind w:left="10" w:right="3179" w:firstLine="872"/>
        <w:spacing w:after="0" w:line="256" w:lineRule="auto"/>
        <w:tabs>
          <w:tab w:leader="none" w:pos="159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If at any time dividends on any Series A Participating Preferred Stock shall be in arrears in an amount equal to six quarterly dividends thereon, the holders of the Series A Participating Preferred Stock, voting as a separate series from all other series of Preferred Stock and classes of capital stock, shall be entitled to elect two members of the Board of Directors in addition to any Directors elected by any other series, class or classes of securities and the authorized number of Directors will automatically be increased by two. Promptly thereafter, the Board of Directors of this Corporation shall, as soon as may be practicable, call a special meeting of holders of Series A Participating Preferred Stock for the purpose of electing such members of the Board of Directors. Said special meeting shall in any event</w:t>
      </w:r>
    </w:p>
    <w:p>
      <w:pPr>
        <w:ind w:left="10"/>
        <w:spacing w:after="0"/>
        <w:tabs>
          <w:tab w:leader="none" w:pos="329" w:val="left"/>
          <w:tab w:leader="none" w:pos="869" w:val="left"/>
          <w:tab w:leader="none" w:pos="1569" w:val="left"/>
          <w:tab w:leader="none" w:pos="1909" w:val="left"/>
          <w:tab w:leader="none" w:pos="2449" w:val="left"/>
          <w:tab w:leader="none" w:pos="2809" w:val="left"/>
          <w:tab w:leader="none" w:pos="3249" w:val="left"/>
          <w:tab w:leader="none" w:pos="4289" w:val="left"/>
          <w:tab w:leader="none" w:pos="4649" w:val="left"/>
          <w:tab w:leader="none" w:pos="5189" w:val="left"/>
        </w:tabs>
        <w:rPr>
          <w:sz w:val="20"/>
          <w:szCs w:val="20"/>
          <w:color w:val="auto"/>
        </w:rPr>
      </w:pPr>
      <w:r>
        <w:rPr>
          <w:rFonts w:ascii="Courier New" w:cs="Courier New" w:eastAsia="Courier New" w:hAnsi="Courier New"/>
          <w:sz w:val="15"/>
          <w:szCs w:val="15"/>
          <w:color w:val="auto"/>
        </w:rPr>
        <w:t>be</w:t>
        <w:tab/>
        <w:t>held</w:t>
        <w:tab/>
        <w:t>within</w:t>
        <w:tab/>
        <w:t>45</w:t>
        <w:tab/>
        <w:t>days</w:t>
        <w:tab/>
        <w:t>of</w:t>
        <w:tab/>
        <w:t>the</w:t>
        <w:tab/>
        <w:t>occurrence</w:t>
        <w:tab/>
        <w:t>of</w:t>
        <w:tab/>
        <w:t>such</w:t>
      </w:r>
      <w:r>
        <w:rPr>
          <w:sz w:val="20"/>
          <w:szCs w:val="20"/>
          <w:color w:val="auto"/>
        </w:rPr>
        <w:tab/>
      </w:r>
      <w:r>
        <w:rPr>
          <w:rFonts w:ascii="Courier New" w:cs="Courier New" w:eastAsia="Courier New" w:hAnsi="Courier New"/>
          <w:sz w:val="14"/>
          <w:szCs w:val="14"/>
          <w:color w:val="auto"/>
        </w:rPr>
        <w:t>arrearage.</w:t>
      </w:r>
    </w:p>
    <w:p>
      <w:pPr>
        <w:spacing w:after="0" w:line="175" w:lineRule="exact"/>
        <w:rPr>
          <w:sz w:val="20"/>
          <w:szCs w:val="20"/>
          <w:color w:val="auto"/>
        </w:rPr>
      </w:pPr>
    </w:p>
    <w:p>
      <w:pPr>
        <w:jc w:val="both"/>
        <w:ind w:left="10" w:right="3179" w:firstLine="872"/>
        <w:spacing w:after="0" w:line="257" w:lineRule="auto"/>
        <w:tabs>
          <w:tab w:leader="none" w:pos="142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when the holders of Series A Participating Preferred Stock, voting as a separate series, shall be entitled and shall have exercised their right to elect two Directors, then and during such time as such right continues (a) the then authorized number of Directors shall be increased by two, and the holders of Series A Participating Preferred Stock, voting as a separate series, shall be entitled to elect the additional Directors so provided for, and (b) each such additional Director shall not be a member of any existing class of the Board of Directors, but shall serve until the next annual meeting of stockholders for the election of Directors, or until his or her successor shall be elected and shall qualify, or until his or her right to hold such office terminates pursuant to the provisions of this Section 3(C).</w:t>
      </w:r>
    </w:p>
    <w:p>
      <w:pPr>
        <w:spacing w:after="0" w:line="165" w:lineRule="exact"/>
        <w:rPr>
          <w:rFonts w:ascii="Courier New" w:cs="Courier New" w:eastAsia="Courier New" w:hAnsi="Courier New"/>
          <w:sz w:val="14"/>
          <w:szCs w:val="14"/>
          <w:color w:val="auto"/>
        </w:rPr>
      </w:pPr>
    </w:p>
    <w:p>
      <w:pPr>
        <w:jc w:val="both"/>
        <w:ind w:left="10" w:right="3179" w:firstLine="872"/>
        <w:spacing w:after="0" w:line="237" w:lineRule="auto"/>
        <w:tabs>
          <w:tab w:leader="none" w:pos="150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elected pursuant to the terms hereof may be removed with or without cause by the holders of Series A Participating Preferred Stock entitled to vote in an election of such Director.</w:t>
      </w:r>
    </w:p>
    <w:p>
      <w:pPr>
        <w:spacing w:after="0" w:line="174" w:lineRule="exact"/>
        <w:rPr>
          <w:rFonts w:ascii="Courier New" w:cs="Courier New" w:eastAsia="Courier New" w:hAnsi="Courier New"/>
          <w:sz w:val="15"/>
          <w:szCs w:val="15"/>
          <w:color w:val="auto"/>
        </w:rPr>
      </w:pPr>
    </w:p>
    <w:p>
      <w:pPr>
        <w:jc w:val="both"/>
        <w:ind w:left="10" w:right="3179" w:firstLine="872"/>
        <w:spacing w:after="0" w:line="238" w:lineRule="auto"/>
        <w:tabs>
          <w:tab w:leader="none" w:pos="14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any interval between annual meetings of stockholders for the election of Directors and while the holders of Series A Participating Preferred Stock shall be entitled to elect two Directors, there are fewer than two such Directors in office by reason of resignation, death or removal, then, promptly thereafter, the Board of Directors shall call a special meeting of the holders of Series A Participating Preferred Stock for the purpose of filling such vacancy(ies) and such vacancy(ies) shall be filled at such special meeting. Such special meeting shall in any event be held within 45 days of the occurrence of any such vacancy(ies).</w:t>
      </w:r>
    </w:p>
    <w:p>
      <w:pPr>
        <w:spacing w:after="0" w:line="178" w:lineRule="exact"/>
        <w:rPr>
          <w:rFonts w:ascii="Courier New" w:cs="Courier New" w:eastAsia="Courier New" w:hAnsi="Courier New"/>
          <w:sz w:val="15"/>
          <w:szCs w:val="15"/>
          <w:color w:val="auto"/>
        </w:rPr>
      </w:pPr>
    </w:p>
    <w:p>
      <w:pPr>
        <w:ind w:left="10" w:right="3179" w:firstLine="872"/>
        <w:spacing w:after="0" w:line="238" w:lineRule="auto"/>
        <w:tabs>
          <w:tab w:leader="none" w:pos="133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time as the arrearage is fully cured, and all dividends accumulated and unpaid on any shares of Series A Participating Preferred Stock outstanding are paid, and, in addition thereto, at least one regular dividend has been paid subsequent to curing such arrearage, the term of office of any Director elected pursuant to this Section 3(C), or his or her successor, shall automatically terminate, and the authorized number of Directors shall automatically decrease by two, and the rights of the holders of the shares of the Series A Participating Preferred Stock to vote as provided in this Section 3(C) shall cease, subject to renewal from time to time upon the same terms and conditions.</w:t>
      </w:r>
    </w:p>
    <w:p>
      <w:pPr>
        <w:spacing w:after="0" w:line="180" w:lineRule="exact"/>
        <w:rPr>
          <w:sz w:val="20"/>
          <w:szCs w:val="20"/>
          <w:color w:val="auto"/>
        </w:rPr>
      </w:pPr>
    </w:p>
    <w:p>
      <w:pPr>
        <w:jc w:val="both"/>
        <w:ind w:left="10" w:right="3179" w:firstLine="872"/>
        <w:spacing w:after="0" w:line="238" w:lineRule="auto"/>
        <w:tabs>
          <w:tab w:leader="none" w:pos="159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herein or as otherwise provided by law, holders of Series A Participating Preferred Stock shall have no special voting rights and their consent shall not be required (except to the extent they are entitled to vote with holders of Common Stock and any other capital stock of the Corporation having general voting rights as set forth herein) for taking any corporate action.</w:t>
      </w:r>
    </w:p>
    <w:p>
      <w:pPr>
        <w:sectPr>
          <w:pgSz w:w="11900" w:h="16838" w:orient="portrait"/>
          <w:cols w:equalWidth="0" w:num="1">
            <w:col w:w="10229"/>
          </w:cols>
          <w:pgMar w:left="230" w:top="141" w:right="1440" w:bottom="0" w:gutter="0" w:footer="0" w:header="0"/>
        </w:sectPr>
      </w:pPr>
    </w:p>
    <w:bookmarkStart w:id="88" w:name="page89"/>
    <w:bookmarkEnd w:id="88"/>
    <w:p>
      <w:pPr>
        <w:ind w:left="1040" w:hanging="609"/>
        <w:spacing w:after="0"/>
        <w:tabs>
          <w:tab w:leader="none" w:pos="10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Restrictions.</w:t>
      </w:r>
    </w:p>
    <w:p>
      <w:pPr>
        <w:ind w:left="1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431"/>
        <w:spacing w:after="0" w:line="238" w:lineRule="auto"/>
        <w:tabs>
          <w:tab w:leader="none" w:pos="114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quarterly dividends or other divi-dends or distributions payable on the Series A Participating Preferred Stock as provided in Section 2 are in arrears, thereafter and until all accrued and unpaid dividends and distributions, whether or not declared, on shares of Series A Participating Preferred Stock outstanding shall have been paid in full, the Corporation shall not</w:t>
      </w:r>
    </w:p>
    <w:p>
      <w:pPr>
        <w:spacing w:after="0" w:line="175" w:lineRule="exact"/>
        <w:rPr>
          <w:rFonts w:ascii="Courier New" w:cs="Courier New" w:eastAsia="Courier New" w:hAnsi="Courier New"/>
          <w:sz w:val="15"/>
          <w:szCs w:val="15"/>
          <w:color w:val="auto"/>
        </w:rPr>
      </w:pPr>
    </w:p>
    <w:p>
      <w:pPr>
        <w:jc w:val="both"/>
        <w:ind w:right="3179" w:firstLine="872"/>
        <w:spacing w:after="0" w:line="237" w:lineRule="auto"/>
        <w:tabs>
          <w:tab w:leader="none" w:pos="1322"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dividends on, make any other distributions on, or redeem or purchase or otherwise acquire for consideration any shares of stock ranking junior (either as to dividends or upon liquidation, dissolution or winding up) to the Series A Participating Preferred Stock;</w:t>
      </w:r>
    </w:p>
    <w:p>
      <w:pPr>
        <w:spacing w:after="0" w:line="176" w:lineRule="exact"/>
        <w:rPr>
          <w:rFonts w:ascii="Courier New" w:cs="Courier New" w:eastAsia="Courier New" w:hAnsi="Courier New"/>
          <w:sz w:val="15"/>
          <w:szCs w:val="15"/>
          <w:color w:val="auto"/>
        </w:rPr>
      </w:pPr>
    </w:p>
    <w:p>
      <w:pPr>
        <w:jc w:val="both"/>
        <w:ind w:right="3179" w:firstLine="872"/>
        <w:spacing w:after="0" w:line="237" w:lineRule="auto"/>
        <w:tabs>
          <w:tab w:leader="none" w:pos="141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dividends on or make any other distributions on any shares of stock ranking on a parity (either as to dividends or upon liqui-dation, dissolution or winding up) with the Series A Participating Preferred Stock except dividends paid ratably on the Series A Participating</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Preferred  Stock  and all such parity stock on which dividends are payable or in</w:t>
      </w:r>
    </w:p>
    <w:p>
      <w:pPr>
        <w:spacing w:after="0" w:line="17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arrears in proportion to the total amounts to which the holders of all such shares are then entitled;</w:t>
      </w:r>
    </w:p>
    <w:p>
      <w:pPr>
        <w:spacing w:after="0" w:line="176" w:lineRule="exact"/>
        <w:rPr>
          <w:sz w:val="20"/>
          <w:szCs w:val="20"/>
          <w:color w:val="auto"/>
        </w:rPr>
      </w:pPr>
    </w:p>
    <w:p>
      <w:pPr>
        <w:jc w:val="both"/>
        <w:ind w:right="3179" w:firstLine="872"/>
        <w:spacing w:after="0" w:line="237" w:lineRule="auto"/>
        <w:tabs>
          <w:tab w:leader="none" w:pos="149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or purchase or otherwise acquire for consideration shares of any stock ranking on a parity (either as to dividends or upon liquida-tion, dissolution or winding up) with the Series A Participating Preferred Stock provided that the Corporation may at any time redeem, purchase</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or  otherwise  acquire shares of any such parity stock in exchange for shares of</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any stock of the Corporation ranking junior (either as to dividends or upon dissolution, liquidation or winding up) to the Series A Participating Preferred Stock; or</w:t>
      </w:r>
    </w:p>
    <w:p>
      <w:pPr>
        <w:spacing w:after="0" w:line="175" w:lineRule="exact"/>
        <w:rPr>
          <w:sz w:val="20"/>
          <w:szCs w:val="20"/>
          <w:color w:val="auto"/>
        </w:rPr>
      </w:pPr>
    </w:p>
    <w:p>
      <w:pPr>
        <w:jc w:val="both"/>
        <w:ind w:right="3179" w:firstLine="872"/>
        <w:spacing w:after="0" w:line="238" w:lineRule="auto"/>
        <w:tabs>
          <w:tab w:leader="none" w:pos="141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or otherwise acquire for consideration any shares of Series A Participating Preferred Stock or any shares of stock ranking on a parity with the Series A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78" w:lineRule="exact"/>
        <w:rPr>
          <w:rFonts w:ascii="Courier New" w:cs="Courier New" w:eastAsia="Courier New" w:hAnsi="Courier New"/>
          <w:sz w:val="15"/>
          <w:szCs w:val="15"/>
          <w:color w:val="auto"/>
        </w:rPr>
      </w:pPr>
    </w:p>
    <w:p>
      <w:pPr>
        <w:jc w:val="both"/>
        <w:ind w:right="3179" w:firstLine="431"/>
        <w:spacing w:after="0" w:line="259" w:lineRule="auto"/>
        <w:tabs>
          <w:tab w:leader="none" w:pos="1146"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63" w:lineRule="exact"/>
        <w:rPr>
          <w:sz w:val="20"/>
          <w:szCs w:val="20"/>
          <w:color w:val="auto"/>
        </w:rPr>
      </w:pPr>
    </w:p>
    <w:p>
      <w:pPr>
        <w:ind w:left="1040" w:hanging="609"/>
        <w:spacing w:after="0"/>
        <w:tabs>
          <w:tab w:leader="none" w:pos="10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Reacquired  Shares.  Any shares of Series A Participating  Preferred</w:t>
      </w:r>
    </w:p>
    <w:p>
      <w:pPr>
        <w:spacing w:after="0" w:line="5"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Stock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171" w:lineRule="exact"/>
        <w:rPr>
          <w:sz w:val="20"/>
          <w:szCs w:val="20"/>
          <w:color w:val="auto"/>
        </w:rPr>
      </w:pPr>
    </w:p>
    <w:p>
      <w:pPr>
        <w:ind w:left="1040" w:hanging="609"/>
        <w:spacing w:after="0"/>
        <w:tabs>
          <w:tab w:leader="none" w:pos="10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Dissolution  or  Winding  Up.</w:t>
      </w:r>
    </w:p>
    <w:p>
      <w:pPr>
        <w:ind w:left="1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431"/>
        <w:spacing w:after="0" w:line="256" w:lineRule="auto"/>
        <w:tabs>
          <w:tab w:leader="none" w:pos="1146"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(voluntary or otherwise), dissolution or winding up of the Corporation, no distribution shall be made to the holders of shares of stock ranking junior (either as to dividends or upon liquidation, dissolution or winding up) to the Series A Participating Preferred Stock unless, prior thereto, the holders of shares of Series A Participating Preferred Stock shall have received per share, the greater of $1,000.00 or 1,000 times the payment made per share of Common Stock, plus an amount equal to accrued and</w:t>
      </w:r>
    </w:p>
    <w:tbl>
      <w:tblPr>
        <w:tblLayout w:type="fixed"/>
        <w:tblInd w:w="0" w:type="dxa"/>
        <w:tblCellMar>
          <w:top w:w="0" w:type="dxa"/>
          <w:left w:w="0" w:type="dxa"/>
          <w:bottom w:w="0" w:type="dxa"/>
          <w:right w:w="0" w:type="dxa"/>
        </w:tblCellMar>
      </w:tblPr>
      <w:tr>
        <w:trPr>
          <w:trHeight w:val="167"/>
        </w:trPr>
        <w:tc>
          <w:tcPr>
            <w:tcW w:w="600" w:type="dxa"/>
            <w:vAlign w:val="bottom"/>
            <w:gridSpan w:val="2"/>
          </w:tcPr>
          <w:p>
            <w:pPr>
              <w:spacing w:after="0" w:line="167" w:lineRule="exact"/>
              <w:rPr>
                <w:sz w:val="20"/>
                <w:szCs w:val="20"/>
                <w:color w:val="auto"/>
              </w:rPr>
            </w:pPr>
            <w:r>
              <w:rPr>
                <w:rFonts w:ascii="Courier New" w:cs="Courier New" w:eastAsia="Courier New" w:hAnsi="Courier New"/>
                <w:sz w:val="15"/>
                <w:szCs w:val="15"/>
                <w:color w:val="auto"/>
              </w:rPr>
              <w:t>unpaid</w:t>
            </w:r>
          </w:p>
        </w:tc>
        <w:tc>
          <w:tcPr>
            <w:tcW w:w="980" w:type="dxa"/>
            <w:vAlign w:val="bottom"/>
            <w:gridSpan w:val="3"/>
          </w:tcPr>
          <w:p>
            <w:pPr>
              <w:ind w:left="100"/>
              <w:spacing w:after="0" w:line="167" w:lineRule="exact"/>
              <w:rPr>
                <w:sz w:val="20"/>
                <w:szCs w:val="20"/>
                <w:color w:val="auto"/>
              </w:rPr>
            </w:pPr>
            <w:r>
              <w:rPr>
                <w:rFonts w:ascii="Courier New" w:cs="Courier New" w:eastAsia="Courier New" w:hAnsi="Courier New"/>
                <w:sz w:val="15"/>
                <w:szCs w:val="15"/>
                <w:color w:val="auto"/>
              </w:rPr>
              <w:t>dividends</w:t>
            </w:r>
          </w:p>
        </w:tc>
        <w:tc>
          <w:tcPr>
            <w:tcW w:w="340" w:type="dxa"/>
            <w:vAlign w:val="bottom"/>
          </w:tcPr>
          <w:p>
            <w:pPr>
              <w:jc w:val="right"/>
              <w:spacing w:after="0" w:line="167" w:lineRule="exact"/>
              <w:rPr>
                <w:sz w:val="20"/>
                <w:szCs w:val="20"/>
                <w:color w:val="auto"/>
              </w:rPr>
            </w:pPr>
            <w:r>
              <w:rPr>
                <w:rFonts w:ascii="Courier New" w:cs="Courier New" w:eastAsia="Courier New" w:hAnsi="Courier New"/>
                <w:sz w:val="15"/>
                <w:szCs w:val="15"/>
                <w:color w:val="auto"/>
              </w:rPr>
              <w:t>and</w:t>
            </w:r>
          </w:p>
        </w:tc>
        <w:tc>
          <w:tcPr>
            <w:tcW w:w="1380" w:type="dxa"/>
            <w:vAlign w:val="bottom"/>
            <w:gridSpan w:val="2"/>
          </w:tcPr>
          <w:p>
            <w:pPr>
              <w:jc w:val="right"/>
              <w:spacing w:after="0" w:line="167" w:lineRule="exact"/>
              <w:rPr>
                <w:sz w:val="20"/>
                <w:szCs w:val="20"/>
                <w:color w:val="auto"/>
              </w:rPr>
            </w:pPr>
            <w:r>
              <w:rPr>
                <w:rFonts w:ascii="Courier New" w:cs="Courier New" w:eastAsia="Courier New" w:hAnsi="Courier New"/>
                <w:sz w:val="15"/>
                <w:szCs w:val="15"/>
                <w:color w:val="auto"/>
              </w:rPr>
              <w:t>distributions</w:t>
            </w:r>
          </w:p>
        </w:tc>
        <w:tc>
          <w:tcPr>
            <w:tcW w:w="220" w:type="dxa"/>
            <w:vAlign w:val="bottom"/>
          </w:tcPr>
          <w:p>
            <w:pPr>
              <w:spacing w:after="0"/>
              <w:rPr>
                <w:sz w:val="14"/>
                <w:szCs w:val="14"/>
                <w:color w:val="auto"/>
              </w:rPr>
            </w:pPr>
          </w:p>
        </w:tc>
        <w:tc>
          <w:tcPr>
            <w:tcW w:w="3520" w:type="dxa"/>
            <w:vAlign w:val="bottom"/>
            <w:gridSpan w:val="6"/>
          </w:tcPr>
          <w:p>
            <w:pPr>
              <w:jc w:val="right"/>
              <w:spacing w:after="0" w:line="167" w:lineRule="exact"/>
              <w:rPr>
                <w:sz w:val="20"/>
                <w:szCs w:val="20"/>
                <w:color w:val="auto"/>
              </w:rPr>
            </w:pPr>
            <w:r>
              <w:rPr>
                <w:rFonts w:ascii="Courier New" w:cs="Courier New" w:eastAsia="Courier New" w:hAnsi="Courier New"/>
                <w:sz w:val="15"/>
                <w:szCs w:val="15"/>
                <w:color w:val="auto"/>
                <w:w w:val="97"/>
              </w:rPr>
              <w:t>thereon, whether or not declared, to the</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date</w:t>
            </w:r>
          </w:p>
        </w:tc>
        <w:tc>
          <w:tcPr>
            <w:tcW w:w="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such</w:t>
            </w: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payment</w:t>
            </w:r>
          </w:p>
        </w:tc>
        <w:tc>
          <w:tcPr>
            <w:tcW w:w="3660" w:type="dxa"/>
            <w:vAlign w:val="bottom"/>
            <w:gridSpan w:val="7"/>
          </w:tcPr>
          <w:p>
            <w:pPr>
              <w:spacing w:after="0"/>
              <w:rPr>
                <w:sz w:val="20"/>
                <w:szCs w:val="20"/>
                <w:color w:val="auto"/>
              </w:rPr>
            </w:pPr>
            <w:r>
              <w:rPr>
                <w:rFonts w:ascii="Courier New" w:cs="Courier New" w:eastAsia="Courier New" w:hAnsi="Courier New"/>
                <w:sz w:val="15"/>
                <w:szCs w:val="15"/>
                <w:color w:val="auto"/>
              </w:rPr>
              <w:t>(the "Series A Liquidation Preference").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Following the</w:t>
            </w:r>
          </w:p>
        </w:tc>
      </w:tr>
      <w:tr>
        <w:trPr>
          <w:trHeight w:val="170"/>
        </w:trPr>
        <w:tc>
          <w:tcPr>
            <w:tcW w:w="1320" w:type="dxa"/>
            <w:vAlign w:val="bottom"/>
            <w:gridSpan w:val="4"/>
          </w:tcPr>
          <w:p>
            <w:pPr>
              <w:spacing w:after="0"/>
              <w:rPr>
                <w:sz w:val="20"/>
                <w:szCs w:val="20"/>
                <w:color w:val="auto"/>
              </w:rPr>
            </w:pPr>
            <w:r>
              <w:rPr>
                <w:rFonts w:ascii="Courier New" w:cs="Courier New" w:eastAsia="Courier New" w:hAnsi="Courier New"/>
                <w:sz w:val="15"/>
                <w:szCs w:val="15"/>
                <w:color w:val="auto"/>
              </w:rPr>
              <w:t>payment of the</w:t>
            </w:r>
          </w:p>
        </w:tc>
        <w:tc>
          <w:tcPr>
            <w:tcW w:w="22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6"/>
              </w:rPr>
              <w:t>full amount of the Series</w:t>
            </w:r>
          </w:p>
        </w:tc>
        <w:tc>
          <w:tcPr>
            <w:tcW w:w="1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 Liquidation</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Preference, no additional</w:t>
            </w:r>
          </w:p>
        </w:tc>
      </w:tr>
      <w:tr>
        <w:trPr>
          <w:trHeight w:val="170"/>
        </w:trPr>
        <w:tc>
          <w:tcPr>
            <w:tcW w:w="1320" w:type="dxa"/>
            <w:vAlign w:val="bottom"/>
            <w:gridSpan w:val="4"/>
          </w:tcPr>
          <w:p>
            <w:pPr>
              <w:spacing w:after="0"/>
              <w:rPr>
                <w:sz w:val="20"/>
                <w:szCs w:val="20"/>
                <w:color w:val="auto"/>
              </w:rPr>
            </w:pPr>
            <w:r>
              <w:rPr>
                <w:rFonts w:ascii="Courier New" w:cs="Courier New" w:eastAsia="Courier New" w:hAnsi="Courier New"/>
                <w:sz w:val="15"/>
                <w:szCs w:val="15"/>
                <w:color w:val="auto"/>
              </w:rPr>
              <w:t>distributions</w:t>
            </w:r>
          </w:p>
        </w:tc>
        <w:tc>
          <w:tcPr>
            <w:tcW w:w="6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3"/>
              </w:rPr>
              <w:t>shall</w:t>
            </w:r>
          </w:p>
        </w:tc>
        <w:tc>
          <w:tcPr>
            <w:tcW w:w="28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be made to the holders of shares</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of Series A Participating</w:t>
            </w:r>
          </w:p>
        </w:tc>
      </w:tr>
      <w:tr>
        <w:trPr>
          <w:trHeight w:val="170"/>
        </w:trPr>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Preferred</w:t>
            </w:r>
          </w:p>
        </w:tc>
        <w:tc>
          <w:tcPr>
            <w:tcW w:w="70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7"/>
              </w:rPr>
              <w:t>Stock</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w w:val="95"/>
              </w:rPr>
              <w:t>unless,</w:t>
            </w:r>
          </w:p>
        </w:tc>
        <w:tc>
          <w:tcPr>
            <w:tcW w:w="26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prior  thereto, the holders</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of shares of Common Stock</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shall</w:t>
            </w:r>
          </w:p>
        </w:tc>
        <w:tc>
          <w:tcPr>
            <w:tcW w:w="292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have received an amount per share</w:t>
            </w:r>
          </w:p>
        </w:tc>
        <w:tc>
          <w:tcPr>
            <w:tcW w:w="234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9"/>
              </w:rPr>
              <w:t>(the "Common Adjustment")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equal to the</w:t>
            </w:r>
          </w:p>
        </w:tc>
      </w:tr>
      <w:tr>
        <w:trPr>
          <w:trHeight w:val="170"/>
        </w:trPr>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quotient</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obtained</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dividing (i) the</w:t>
            </w:r>
          </w:p>
        </w:tc>
        <w:tc>
          <w:tcPr>
            <w:tcW w:w="35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Series A Liquidation Preference by (ii)</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1,000</w:t>
            </w:r>
          </w:p>
        </w:tc>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(as</w:t>
            </w:r>
          </w:p>
        </w:tc>
        <w:tc>
          <w:tcPr>
            <w:tcW w:w="2420" w:type="dxa"/>
            <w:vAlign w:val="bottom"/>
            <w:gridSpan w:val="5"/>
          </w:tcPr>
          <w:p>
            <w:pPr>
              <w:ind w:left="260"/>
              <w:spacing w:after="0"/>
              <w:rPr>
                <w:sz w:val="20"/>
                <w:szCs w:val="20"/>
                <w:color w:val="auto"/>
              </w:rPr>
            </w:pPr>
            <w:r>
              <w:rPr>
                <w:rFonts w:ascii="Courier New" w:cs="Courier New" w:eastAsia="Courier New" w:hAnsi="Courier New"/>
                <w:sz w:val="15"/>
                <w:szCs w:val="15"/>
                <w:color w:val="auto"/>
              </w:rPr>
              <w:t>appropriately  adjusted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1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set forth in</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subparagraph (C) below to</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w w:val="91"/>
              </w:rPr>
              <w:t>reflect</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such</w:t>
            </w:r>
          </w:p>
        </w:tc>
        <w:tc>
          <w:tcPr>
            <w:tcW w:w="348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7"/>
              </w:rPr>
              <w:t>events as stock splits, stock dividends</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and recapitalization with</w:t>
            </w:r>
          </w:p>
        </w:tc>
      </w:tr>
      <w:tr>
        <w:trPr>
          <w:trHeight w:val="170"/>
        </w:trPr>
        <w:tc>
          <w:tcPr>
            <w:tcW w:w="3520" w:type="dxa"/>
            <w:vAlign w:val="bottom"/>
            <w:gridSpan w:val="9"/>
          </w:tcPr>
          <w:p>
            <w:pPr>
              <w:spacing w:after="0"/>
              <w:rPr>
                <w:sz w:val="20"/>
                <w:szCs w:val="20"/>
                <w:color w:val="auto"/>
              </w:rPr>
            </w:pPr>
            <w:r>
              <w:rPr>
                <w:rFonts w:ascii="Courier New" w:cs="Courier New" w:eastAsia="Courier New" w:hAnsi="Courier New"/>
                <w:sz w:val="15"/>
                <w:szCs w:val="15"/>
                <w:color w:val="auto"/>
                <w:w w:val="99"/>
              </w:rPr>
              <w:t>respect  to  the  Common  Stock)  (such</w:t>
            </w: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number</w:t>
            </w: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in clause (ii), the "Adjustment</w:t>
            </w:r>
          </w:p>
        </w:tc>
      </w:tr>
      <w:tr>
        <w:trPr>
          <w:trHeight w:val="170"/>
        </w:trPr>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Number").</w:t>
            </w:r>
          </w:p>
        </w:tc>
        <w:tc>
          <w:tcPr>
            <w:tcW w:w="10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Following</w:t>
            </w: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the payment of the</w:t>
            </w:r>
          </w:p>
        </w:tc>
        <w:tc>
          <w:tcPr>
            <w:tcW w:w="35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full amount of the Series A Liquidation</w:t>
            </w:r>
          </w:p>
        </w:tc>
      </w:tr>
      <w:tr>
        <w:trPr>
          <w:trHeight w:val="170"/>
        </w:trPr>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w w:val="95"/>
              </w:rPr>
              <w:t>Preference</w:t>
            </w:r>
          </w:p>
        </w:tc>
        <w:tc>
          <w:tcPr>
            <w:tcW w:w="440" w:type="dxa"/>
            <w:vAlign w:val="bottom"/>
          </w:tcPr>
          <w:p>
            <w:pPr>
              <w:jc w:val="center"/>
              <w:ind w:left="87"/>
              <w:spacing w:after="0"/>
              <w:rPr>
                <w:sz w:val="20"/>
                <w:szCs w:val="20"/>
                <w:color w:val="auto"/>
              </w:rPr>
            </w:pPr>
            <w:r>
              <w:rPr>
                <w:rFonts w:ascii="Courier New" w:cs="Courier New" w:eastAsia="Courier New" w:hAnsi="Courier New"/>
                <w:sz w:val="15"/>
                <w:szCs w:val="15"/>
                <w:color w:val="auto"/>
              </w:rPr>
              <w:t>and</w:t>
            </w:r>
          </w:p>
        </w:tc>
        <w:tc>
          <w:tcPr>
            <w:tcW w:w="6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the</w:t>
            </w:r>
          </w:p>
        </w:tc>
        <w:tc>
          <w:tcPr>
            <w:tcW w:w="3140" w:type="dxa"/>
            <w:vAlign w:val="bottom"/>
            <w:gridSpan w:val="7"/>
          </w:tcPr>
          <w:p>
            <w:pPr>
              <w:spacing w:after="0"/>
              <w:rPr>
                <w:sz w:val="20"/>
                <w:szCs w:val="20"/>
                <w:color w:val="auto"/>
              </w:rPr>
            </w:pPr>
            <w:r>
              <w:rPr>
                <w:rFonts w:ascii="Courier New" w:cs="Courier New" w:eastAsia="Courier New" w:hAnsi="Courier New"/>
                <w:sz w:val="15"/>
                <w:szCs w:val="15"/>
                <w:color w:val="auto"/>
                <w:w w:val="99"/>
              </w:rPr>
              <w:t>Common Adjustment in respect of all</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outstanding shares of</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Series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A</w:t>
            </w:r>
          </w:p>
        </w:tc>
        <w:tc>
          <w:tcPr>
            <w:tcW w:w="26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Participating Preferred Stock</w:t>
            </w:r>
          </w:p>
        </w:tc>
        <w:tc>
          <w:tcPr>
            <w:tcW w:w="35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and Common Stock, respectively, holders</w:t>
            </w:r>
          </w:p>
        </w:tc>
      </w:tr>
      <w:tr>
        <w:trPr>
          <w:trHeight w:val="170"/>
        </w:trPr>
        <w:tc>
          <w:tcPr>
            <w:tcW w:w="4800" w:type="dxa"/>
            <w:vAlign w:val="bottom"/>
            <w:gridSpan w:val="12"/>
          </w:tcPr>
          <w:p>
            <w:pPr>
              <w:spacing w:after="0"/>
              <w:rPr>
                <w:sz w:val="20"/>
                <w:szCs w:val="20"/>
                <w:color w:val="auto"/>
              </w:rPr>
            </w:pPr>
            <w:r>
              <w:rPr>
                <w:rFonts w:ascii="Courier New" w:cs="Courier New" w:eastAsia="Courier New" w:hAnsi="Courier New"/>
                <w:sz w:val="15"/>
                <w:szCs w:val="15"/>
                <w:color w:val="auto"/>
                <w:w w:val="98"/>
              </w:rPr>
              <w:t>of Series A  Participating Preferred Stock and holders</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of shares of Common Stock</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shall</w:t>
            </w:r>
          </w:p>
        </w:tc>
        <w:tc>
          <w:tcPr>
            <w:tcW w:w="3440" w:type="dxa"/>
            <w:vAlign w:val="bottom"/>
            <w:gridSpan w:val="8"/>
          </w:tcPr>
          <w:p>
            <w:pPr>
              <w:spacing w:after="0"/>
              <w:rPr>
                <w:sz w:val="20"/>
                <w:szCs w:val="20"/>
                <w:color w:val="auto"/>
              </w:rPr>
            </w:pPr>
            <w:r>
              <w:rPr>
                <w:rFonts w:ascii="Courier New" w:cs="Courier New" w:eastAsia="Courier New" w:hAnsi="Courier New"/>
                <w:sz w:val="15"/>
                <w:szCs w:val="15"/>
                <w:color w:val="auto"/>
                <w:w w:val="97"/>
              </w:rPr>
              <w:t>receive their ratable and proportionate</w:t>
            </w:r>
          </w:p>
        </w:tc>
        <w:tc>
          <w:tcPr>
            <w:tcW w:w="30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share of the remaining assets to</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be</w:t>
            </w:r>
          </w:p>
        </w:tc>
        <w:tc>
          <w:tcPr>
            <w:tcW w:w="980" w:type="dxa"/>
            <w:vAlign w:val="bottom"/>
            <w:gridSpan w:val="3"/>
          </w:tcPr>
          <w:p>
            <w:pPr>
              <w:spacing w:after="0"/>
              <w:rPr>
                <w:sz w:val="20"/>
                <w:szCs w:val="20"/>
                <w:color w:val="auto"/>
              </w:rPr>
            </w:pPr>
            <w:r>
              <w:rPr>
                <w:rFonts w:ascii="Courier New" w:cs="Courier New" w:eastAsia="Courier New" w:hAnsi="Courier New"/>
                <w:sz w:val="15"/>
                <w:szCs w:val="15"/>
                <w:color w:val="auto"/>
                <w:w w:val="96"/>
              </w:rPr>
              <w:t>distributed</w:t>
            </w:r>
          </w:p>
        </w:tc>
        <w:tc>
          <w:tcPr>
            <w:tcW w:w="34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in the ratio of the Adjustment Number</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to 1 with respect to such</w:t>
            </w:r>
          </w:p>
        </w:tc>
      </w:tr>
      <w:tr>
        <w:trPr>
          <w:trHeight w:val="170"/>
        </w:trPr>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Preferred</w:t>
            </w:r>
          </w:p>
        </w:tc>
        <w:tc>
          <w:tcPr>
            <w:tcW w:w="70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7"/>
              </w:rPr>
              <w:t>Stock</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and</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7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on  a</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per</w:t>
            </w:r>
          </w:p>
        </w:tc>
        <w:tc>
          <w:tcPr>
            <w:tcW w:w="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basis,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respectively.</w:t>
            </w:r>
          </w:p>
        </w:tc>
      </w:tr>
    </w:tbl>
    <w:p>
      <w:pPr>
        <w:spacing w:after="0" w:line="175" w:lineRule="exact"/>
        <w:rPr>
          <w:sz w:val="20"/>
          <w:szCs w:val="20"/>
          <w:color w:val="auto"/>
        </w:rPr>
      </w:pPr>
    </w:p>
    <w:p>
      <w:pPr>
        <w:jc w:val="both"/>
        <w:ind w:right="3179" w:firstLine="431"/>
        <w:spacing w:after="0" w:line="238" w:lineRule="auto"/>
        <w:tabs>
          <w:tab w:leader="none" w:pos="1146"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there are not sufficient assets available to permit payment in full of the Series A Liquida-tion Preference and the liquidation preferences of all other series of Preferred Stock, if any, which rank on a parity with the Series A Partici-pating Preferred Stock then such remaining assets shall be distributed ratably to the holders of such parity shares in proportion to their respective liquidation preferences. In the event there are not sufficient assets available to permit payment in full of the Common Adjustment, then such remaining assets shall be distributed ratably to the holders of Common Stock.</w:t>
      </w:r>
    </w:p>
    <w:p>
      <w:pPr>
        <w:spacing w:after="0" w:line="178" w:lineRule="exact"/>
        <w:rPr>
          <w:rFonts w:ascii="Courier New" w:cs="Courier New" w:eastAsia="Courier New" w:hAnsi="Courier New"/>
          <w:sz w:val="15"/>
          <w:szCs w:val="15"/>
          <w:color w:val="auto"/>
        </w:rPr>
      </w:pPr>
    </w:p>
    <w:p>
      <w:pPr>
        <w:ind w:left="1140" w:hanging="709"/>
        <w:spacing w:after="0"/>
        <w:tabs>
          <w:tab w:leader="none" w:pos="11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Corporation shall at any time after the Rights</w:t>
      </w:r>
    </w:p>
    <w:p>
      <w:pPr>
        <w:sectPr>
          <w:pgSz w:w="11900" w:h="16838" w:orient="portrait"/>
          <w:cols w:equalWidth="0" w:num="1">
            <w:col w:w="10219"/>
          </w:cols>
          <w:pgMar w:left="240" w:top="305" w:right="1440" w:bottom="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Declaration</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Date (i) declare any</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divi-dend on Common Stock</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payable in shares of</w:t>
            </w:r>
          </w:p>
        </w:tc>
      </w:tr>
      <w:tr>
        <w:trPr>
          <w:trHeight w:val="170"/>
        </w:trPr>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Common  Stock, (ii) subdivide the</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outstanding Common Stock,</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9"/>
              </w:rPr>
              <w:t>(iii) combine the</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Common  Stock into a</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smaller number of shares,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reclassification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gridSpan w:val="3"/>
          </w:tcPr>
          <w:p>
            <w:pPr>
              <w:spacing w:after="0"/>
              <w:rPr>
                <w:sz w:val="20"/>
                <w:szCs w:val="20"/>
                <w:color w:val="auto"/>
              </w:rPr>
            </w:pPr>
            <w:r>
              <w:rPr>
                <w:rFonts w:ascii="Courier New" w:cs="Courier New" w:eastAsia="Courier New" w:hAnsi="Courier New"/>
                <w:sz w:val="15"/>
                <w:szCs w:val="15"/>
                <w:color w:val="auto"/>
                <w:w w:val="99"/>
              </w:rPr>
              <w:t>or otherwise,</w:t>
            </w:r>
          </w:p>
        </w:tc>
        <w:tc>
          <w:tcPr>
            <w:tcW w:w="23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then in each such case the</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98"/>
              </w:rPr>
              <w:t>Adjustment Number in effect immediately</w:t>
            </w:r>
          </w:p>
        </w:tc>
      </w:tr>
      <w:tr>
        <w:trPr>
          <w:trHeight w:val="170"/>
        </w:trPr>
        <w:tc>
          <w:tcPr>
            <w:tcW w:w="1180" w:type="dxa"/>
            <w:vAlign w:val="bottom"/>
            <w:gridSpan w:val="3"/>
          </w:tcPr>
          <w:p>
            <w:pPr>
              <w:spacing w:after="0"/>
              <w:rPr>
                <w:sz w:val="20"/>
                <w:szCs w:val="20"/>
                <w:color w:val="auto"/>
              </w:rPr>
            </w:pPr>
            <w:r>
              <w:rPr>
                <w:rFonts w:ascii="Courier New" w:cs="Courier New" w:eastAsia="Courier New" w:hAnsi="Courier New"/>
                <w:sz w:val="15"/>
                <w:szCs w:val="15"/>
                <w:color w:val="auto"/>
                <w:w w:val="99"/>
              </w:rPr>
              <w:t>prior to such</w:t>
            </w:r>
          </w:p>
        </w:tc>
        <w:tc>
          <w:tcPr>
            <w:tcW w:w="2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event shall be adjusted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98"/>
              </w:rPr>
              <w:t>multiplying such Adjustment Number by a</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fraction</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numerator</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of  which</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the  number  of shares of Common Stock</w:t>
            </w:r>
          </w:p>
        </w:tc>
      </w:tr>
      <w:tr>
        <w:trPr>
          <w:trHeight w:val="170"/>
        </w:trPr>
        <w:tc>
          <w:tcPr>
            <w:tcW w:w="1180" w:type="dxa"/>
            <w:vAlign w:val="bottom"/>
            <w:gridSpan w:val="3"/>
          </w:tcPr>
          <w:p>
            <w:pPr>
              <w:spacing w:after="0"/>
              <w:rPr>
                <w:sz w:val="20"/>
                <w:szCs w:val="20"/>
                <w:color w:val="auto"/>
              </w:rPr>
            </w:pPr>
            <w:r>
              <w:rPr>
                <w:rFonts w:ascii="Courier New" w:cs="Courier New" w:eastAsia="Courier New" w:hAnsi="Courier New"/>
                <w:sz w:val="15"/>
                <w:szCs w:val="15"/>
                <w:color w:val="auto"/>
              </w:rPr>
              <w:t>outstanding</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immediately</w:t>
            </w:r>
          </w:p>
        </w:tc>
        <w:tc>
          <w:tcPr>
            <w:tcW w:w="47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after  such event and the denominator of which is the</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number</w:t>
            </w:r>
          </w:p>
        </w:tc>
        <w:tc>
          <w:tcPr>
            <w:tcW w:w="3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of</w:t>
            </w:r>
          </w:p>
        </w:tc>
        <w:tc>
          <w:tcPr>
            <w:tcW w:w="61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shares  of  Common Stock that were outstanding immedi-ately prior to</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such</w:t>
            </w:r>
          </w:p>
        </w:tc>
        <w:tc>
          <w:tcPr>
            <w:tcW w:w="6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6"/>
              </w:rPr>
              <w:t>event.</w:t>
            </w: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80" w:type="dxa"/>
            <w:vAlign w:val="bottom"/>
          </w:tcPr>
          <w:p>
            <w:pPr>
              <w:spacing w:after="0"/>
              <w:rPr>
                <w:sz w:val="14"/>
                <w:szCs w:val="14"/>
                <w:color w:val="auto"/>
              </w:rPr>
            </w:pPr>
          </w:p>
        </w:tc>
      </w:tr>
    </w:tbl>
    <w:p>
      <w:pPr>
        <w:spacing w:after="0" w:line="175" w:lineRule="exact"/>
        <w:rPr>
          <w:sz w:val="20"/>
          <w:szCs w:val="20"/>
          <w:color w:val="auto"/>
        </w:rPr>
      </w:pPr>
    </w:p>
    <w:p>
      <w:pPr>
        <w:ind w:left="1040" w:hanging="609"/>
        <w:spacing w:after="0"/>
        <w:tabs>
          <w:tab w:leader="none" w:pos="10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Consolidation,  Merger,  etc.  In  case  the Corporation shall enter</w:t>
      </w:r>
    </w:p>
    <w:p>
      <w:pPr>
        <w:spacing w:after="0" w:line="5"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into any consolidation, merger, combination or other transaction in which the shares of Common Stock are exchanged for or changed into other stock or securities, cash and/or any other property, then in any such case the shares of Series A Partici-pating Preferred Stock shall at the same time be similarly exchanged or changed in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amount set forth in the preceding sentence with respect to the exchange or change of shares of Series A Participating Preferred Stock shall be adjusted by multiplying such amount by a fraction the numerator of which is the number of shares of Common Stock outstanding immediately after such event and the denominator of which is the number of shares of Common Stock that are outstanding immediately prior to such event.</w:t>
      </w:r>
    </w:p>
    <w:p>
      <w:pPr>
        <w:spacing w:after="0" w:line="175" w:lineRule="exact"/>
        <w:rPr>
          <w:sz w:val="20"/>
          <w:szCs w:val="20"/>
          <w:color w:val="auto"/>
        </w:rPr>
      </w:pPr>
    </w:p>
    <w:p>
      <w:pPr>
        <w:ind w:left="1040" w:hanging="609"/>
        <w:spacing w:after="0"/>
        <w:tabs>
          <w:tab w:leader="none" w:pos="10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The  shares  of Series A Partici-pating Preferred Stock</w:t>
      </w:r>
    </w:p>
    <w:p>
      <w:pPr>
        <w:spacing w:after="0" w:line="5"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tabs>
          <w:tab w:leader="none" w:pos="580" w:val="left"/>
          <w:tab w:leader="none" w:pos="1020" w:val="left"/>
          <w:tab w:leader="none" w:pos="1380" w:val="left"/>
        </w:tabs>
        <w:rPr>
          <w:sz w:val="20"/>
          <w:szCs w:val="20"/>
          <w:color w:val="auto"/>
        </w:rPr>
      </w:pPr>
      <w:r>
        <w:rPr>
          <w:rFonts w:ascii="Courier New" w:cs="Courier New" w:eastAsia="Courier New" w:hAnsi="Courier New"/>
          <w:sz w:val="15"/>
          <w:szCs w:val="15"/>
          <w:color w:val="auto"/>
        </w:rPr>
        <w:t>shall</w:t>
        <w:tab/>
        <w:t>not</w:t>
        <w:tab/>
        <w:t>be</w:t>
      </w:r>
      <w:r>
        <w:rPr>
          <w:sz w:val="20"/>
          <w:szCs w:val="20"/>
          <w:color w:val="auto"/>
        </w:rPr>
        <w:tab/>
      </w:r>
      <w:r>
        <w:rPr>
          <w:rFonts w:ascii="Courier New" w:cs="Courier New" w:eastAsia="Courier New" w:hAnsi="Courier New"/>
          <w:sz w:val="14"/>
          <w:szCs w:val="14"/>
          <w:color w:val="auto"/>
        </w:rPr>
        <w:t>redeemable.</w:t>
      </w:r>
    </w:p>
    <w:p>
      <w:pPr>
        <w:spacing w:after="0" w:line="174" w:lineRule="exact"/>
        <w:rPr>
          <w:sz w:val="20"/>
          <w:szCs w:val="20"/>
          <w:color w:val="auto"/>
        </w:rPr>
      </w:pPr>
    </w:p>
    <w:p>
      <w:pPr>
        <w:ind w:left="1040" w:hanging="609"/>
        <w:spacing w:after="0"/>
        <w:tabs>
          <w:tab w:leader="none" w:pos="10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  The  Series  A  Participating  Pre-ferred Stock shall rank</w:t>
      </w:r>
    </w:p>
    <w:p>
      <w:pPr>
        <w:spacing w:after="0" w:line="5"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junior to all other series of the Corporation's Preferred Stock as to the payment of dividends and the distribu-tion of assets, unless the terms of any such series shall provide otherwise.</w:t>
      </w:r>
    </w:p>
    <w:p>
      <w:pPr>
        <w:spacing w:after="0" w:line="175" w:lineRule="exact"/>
        <w:rPr>
          <w:sz w:val="20"/>
          <w:szCs w:val="20"/>
          <w:color w:val="auto"/>
        </w:rPr>
      </w:pPr>
    </w:p>
    <w:p>
      <w:pPr>
        <w:ind w:left="1140" w:hanging="709"/>
        <w:spacing w:after="0"/>
        <w:tabs>
          <w:tab w:leader="none" w:pos="114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The  Certificate of Incorporation and the Bylaws of the</w:t>
      </w:r>
    </w:p>
    <w:p>
      <w:pPr>
        <w:spacing w:after="0" w:line="5"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Corporation</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shall</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rPr>
              <w:t>not</w:t>
            </w:r>
          </w:p>
        </w:tc>
        <w:tc>
          <w:tcPr>
            <w:tcW w:w="17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be further amended</w:t>
            </w:r>
          </w:p>
        </w:tc>
        <w:tc>
          <w:tcPr>
            <w:tcW w:w="1240" w:type="dxa"/>
            <w:vAlign w:val="bottom"/>
            <w:gridSpan w:val="3"/>
          </w:tcPr>
          <w:p>
            <w:pPr>
              <w:spacing w:after="0"/>
              <w:rPr>
                <w:sz w:val="20"/>
                <w:szCs w:val="20"/>
                <w:color w:val="auto"/>
              </w:rPr>
            </w:pPr>
            <w:r>
              <w:rPr>
                <w:rFonts w:ascii="Courier New" w:cs="Courier New" w:eastAsia="Courier New" w:hAnsi="Courier New"/>
                <w:sz w:val="15"/>
                <w:szCs w:val="15"/>
                <w:color w:val="auto"/>
              </w:rPr>
              <w:t>in any manner</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which</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would materially</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alter  or</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change</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the  powers,</w:t>
            </w: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preferences</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or</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special</w:t>
            </w: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rights of the Series A</w:t>
            </w:r>
          </w:p>
        </w:tc>
      </w:tr>
      <w:tr>
        <w:trPr>
          <w:trHeight w:val="170"/>
        </w:trPr>
        <w:tc>
          <w:tcPr>
            <w:tcW w:w="2140" w:type="dxa"/>
            <w:vAlign w:val="bottom"/>
            <w:gridSpan w:val="3"/>
          </w:tcPr>
          <w:p>
            <w:pPr>
              <w:spacing w:after="0"/>
              <w:rPr>
                <w:sz w:val="20"/>
                <w:szCs w:val="20"/>
                <w:color w:val="auto"/>
              </w:rPr>
            </w:pPr>
            <w:r>
              <w:rPr>
                <w:rFonts w:ascii="Courier New" w:cs="Courier New" w:eastAsia="Courier New" w:hAnsi="Courier New"/>
                <w:sz w:val="15"/>
                <w:szCs w:val="15"/>
                <w:color w:val="auto"/>
                <w:w w:val="98"/>
              </w:rPr>
              <w:t>Participating  Preferred</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Stock</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so</w:t>
            </w:r>
          </w:p>
        </w:tc>
        <w:tc>
          <w:tcPr>
            <w:tcW w:w="13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8"/>
              </w:rPr>
              <w:t>as  to  affect</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them</w:t>
            </w: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adversely without the</w:t>
            </w:r>
          </w:p>
        </w:tc>
      </w:tr>
      <w:tr>
        <w:trPr>
          <w:trHeight w:val="170"/>
        </w:trPr>
        <w:tc>
          <w:tcPr>
            <w:tcW w:w="3860" w:type="dxa"/>
            <w:vAlign w:val="bottom"/>
            <w:gridSpan w:val="6"/>
          </w:tcPr>
          <w:p>
            <w:pPr>
              <w:spacing w:after="0"/>
              <w:rPr>
                <w:sz w:val="20"/>
                <w:szCs w:val="20"/>
                <w:color w:val="auto"/>
              </w:rPr>
            </w:pPr>
            <w:r>
              <w:rPr>
                <w:rFonts w:ascii="Courier New" w:cs="Courier New" w:eastAsia="Courier New" w:hAnsi="Courier New"/>
                <w:sz w:val="15"/>
                <w:szCs w:val="15"/>
                <w:color w:val="auto"/>
                <w:w w:val="99"/>
              </w:rPr>
              <w:t>affirmative vote of the holders of at least</w:t>
            </w:r>
          </w:p>
        </w:tc>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66-2/3%</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w w:val="92"/>
              </w:rPr>
              <w:t>of the</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outstanding</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shares of</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Series  A</w:t>
            </w: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Participating</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Preferred</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Stock</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voting</w:t>
            </w:r>
          </w:p>
        </w:tc>
        <w:tc>
          <w:tcPr>
            <w:tcW w:w="1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separately</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as  a</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class.</w:t>
            </w:r>
          </w:p>
        </w:tc>
      </w:tr>
    </w:tbl>
    <w:p>
      <w:pPr>
        <w:spacing w:after="0" w:line="175" w:lineRule="exact"/>
        <w:rPr>
          <w:sz w:val="20"/>
          <w:szCs w:val="20"/>
          <w:color w:val="auto"/>
        </w:rPr>
      </w:pPr>
    </w:p>
    <w:p>
      <w:pPr>
        <w:ind w:left="1140" w:hanging="709"/>
        <w:spacing w:after="0"/>
        <w:tabs>
          <w:tab w:leader="none" w:pos="114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Fractional  Shares.  Series  A Participating Preferred Stock may be</w:t>
      </w:r>
    </w:p>
    <w:p>
      <w:pPr>
        <w:spacing w:after="0" w:line="5"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issued in fractions of a share which shall entitle the holder, in proportion to such holder's fractional shares, to exercise voting rights, receive dividends, participate in distributions and to have the benefit of all other rights of holders of Series A Participating Preferred Stock.</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WITNESS WHEREOF, we have executed and subscribed this Certificate and do affirm the foregoing as true under the penalties of perjury as of the 25th day of September, 1998.</w:t>
      </w:r>
    </w:p>
    <w:p>
      <w:pPr>
        <w:spacing w:after="0" w:line="200" w:lineRule="exact"/>
        <w:rPr>
          <w:sz w:val="20"/>
          <w:szCs w:val="20"/>
          <w:color w:val="auto"/>
        </w:rPr>
      </w:pPr>
    </w:p>
    <w:p>
      <w:pPr>
        <w:spacing w:after="0" w:line="308" w:lineRule="exact"/>
        <w:rPr>
          <w:sz w:val="20"/>
          <w:szCs w:val="20"/>
          <w:color w:val="auto"/>
        </w:rPr>
      </w:pPr>
    </w:p>
    <w:p>
      <w:pPr>
        <w:ind w:left="3080"/>
        <w:spacing w:after="0"/>
        <w:tabs>
          <w:tab w:leader="none" w:pos="3500" w:val="left"/>
          <w:tab w:leader="none" w:pos="3940" w:val="left"/>
          <w:tab w:leader="none" w:pos="4280" w:val="left"/>
        </w:tabs>
        <w:rPr>
          <w:sz w:val="20"/>
          <w:szCs w:val="20"/>
          <w:color w:val="auto"/>
        </w:rPr>
      </w:pPr>
      <w:r>
        <w:rPr>
          <w:rFonts w:ascii="Courier New" w:cs="Courier New" w:eastAsia="Courier New" w:hAnsi="Courier New"/>
          <w:sz w:val="15"/>
          <w:szCs w:val="15"/>
          <w:color w:val="auto"/>
        </w:rPr>
        <w:t>\s\</w:t>
        <w:tab/>
        <w:t>Roy</w:t>
        <w:tab/>
        <w:t>A.</w:t>
      </w:r>
      <w:r>
        <w:rPr>
          <w:sz w:val="20"/>
          <w:szCs w:val="20"/>
          <w:color w:val="auto"/>
        </w:rPr>
        <w:tab/>
      </w:r>
      <w:r>
        <w:rPr>
          <w:rFonts w:ascii="Courier New" w:cs="Courier New" w:eastAsia="Courier New" w:hAnsi="Courier New"/>
          <w:sz w:val="14"/>
          <w:szCs w:val="14"/>
          <w:color w:val="auto"/>
        </w:rPr>
        <w:t>Whitfield</w:t>
      </w:r>
    </w:p>
    <w:p>
      <w:pPr>
        <w:ind w:left="2380"/>
        <w:spacing w:after="0"/>
        <w:rPr>
          <w:sz w:val="20"/>
          <w:szCs w:val="20"/>
          <w:color w:val="auto"/>
        </w:rPr>
      </w:pPr>
      <w:r>
        <w:rPr>
          <w:rFonts w:ascii="Courier New" w:cs="Courier New" w:eastAsia="Courier New" w:hAnsi="Courier New"/>
          <w:sz w:val="15"/>
          <w:szCs w:val="15"/>
          <w:color w:val="auto"/>
        </w:rPr>
        <w:t>-------------------------------</w:t>
      </w:r>
    </w:p>
    <w:p>
      <w:pPr>
        <w:ind w:left="3160"/>
        <w:spacing w:after="0"/>
        <w:tabs>
          <w:tab w:leader="none" w:pos="3580" w:val="left"/>
          <w:tab w:leader="none" w:pos="3940" w:val="left"/>
        </w:tabs>
        <w:rPr>
          <w:sz w:val="20"/>
          <w:szCs w:val="20"/>
          <w:color w:val="auto"/>
        </w:rPr>
      </w:pPr>
      <w:r>
        <w:rPr>
          <w:rFonts w:ascii="Courier New" w:cs="Courier New" w:eastAsia="Courier New" w:hAnsi="Courier New"/>
          <w:sz w:val="15"/>
          <w:szCs w:val="15"/>
          <w:color w:val="auto"/>
        </w:rPr>
        <w:t>Roy</w:t>
        <w:tab/>
        <w:t>A.</w:t>
      </w:r>
      <w:r>
        <w:rPr>
          <w:sz w:val="20"/>
          <w:szCs w:val="20"/>
          <w:color w:val="auto"/>
        </w:rPr>
        <w:tab/>
      </w:r>
      <w:r>
        <w:rPr>
          <w:rFonts w:ascii="Courier New" w:cs="Courier New" w:eastAsia="Courier New" w:hAnsi="Courier New"/>
          <w:sz w:val="14"/>
          <w:szCs w:val="14"/>
          <w:color w:val="auto"/>
        </w:rPr>
        <w:t>Whitfield</w:t>
      </w:r>
    </w:p>
    <w:p>
      <w:pPr>
        <w:ind w:left="880"/>
        <w:spacing w:after="0"/>
        <w:tabs>
          <w:tab w:leader="none" w:pos="1460" w:val="left"/>
          <w:tab w:leader="none" w:pos="2440" w:val="left"/>
        </w:tabs>
        <w:rPr>
          <w:sz w:val="20"/>
          <w:szCs w:val="20"/>
          <w:color w:val="auto"/>
        </w:rPr>
      </w:pPr>
      <w:r>
        <w:rPr>
          <w:rFonts w:ascii="Courier New" w:cs="Courier New" w:eastAsia="Courier New" w:hAnsi="Courier New"/>
          <w:sz w:val="15"/>
          <w:szCs w:val="15"/>
          <w:color w:val="auto"/>
        </w:rPr>
        <w:t>Chief</w:t>
        <w:tab/>
        <w:t>Executive</w:t>
      </w:r>
      <w:r>
        <w:rPr>
          <w:sz w:val="20"/>
          <w:szCs w:val="20"/>
          <w:color w:val="auto"/>
        </w:rPr>
        <w:tab/>
      </w:r>
      <w:r>
        <w:rPr>
          <w:rFonts w:ascii="Courier New" w:cs="Courier New" w:eastAsia="Courier New" w:hAnsi="Courier New"/>
          <w:sz w:val="14"/>
          <w:szCs w:val="14"/>
          <w:color w:val="auto"/>
        </w:rPr>
        <w:t>Officer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pacing w:after="0" w:line="308" w:lineRule="exact"/>
        <w:rPr>
          <w:sz w:val="20"/>
          <w:szCs w:val="20"/>
          <w:color w:val="auto"/>
        </w:rPr>
      </w:pPr>
    </w:p>
    <w:p>
      <w:pPr>
        <w:ind w:left="2200"/>
        <w:spacing w:after="0"/>
        <w:tabs>
          <w:tab w:leader="none" w:pos="2620" w:val="left"/>
          <w:tab w:leader="none" w:pos="3240" w:val="left"/>
          <w:tab w:leader="none" w:pos="3680" w:val="left"/>
        </w:tabs>
        <w:rPr>
          <w:sz w:val="20"/>
          <w:szCs w:val="20"/>
          <w:color w:val="auto"/>
        </w:rPr>
      </w:pPr>
      <w:r>
        <w:rPr>
          <w:rFonts w:ascii="Courier New" w:cs="Courier New" w:eastAsia="Courier New" w:hAnsi="Courier New"/>
          <w:sz w:val="15"/>
          <w:szCs w:val="15"/>
          <w:color w:val="auto"/>
        </w:rPr>
        <w:t>\s\</w:t>
        <w:tab/>
        <w:t>Elias</w:t>
        <w:tab/>
        <w:t>Lee</w:t>
      </w:r>
      <w:r>
        <w:rPr>
          <w:sz w:val="20"/>
          <w:szCs w:val="20"/>
          <w:color w:val="auto"/>
        </w:rPr>
        <w:tab/>
      </w:r>
      <w:r>
        <w:rPr>
          <w:rFonts w:ascii="Courier New" w:cs="Courier New" w:eastAsia="Courier New" w:hAnsi="Courier New"/>
          <w:sz w:val="14"/>
          <w:szCs w:val="14"/>
          <w:color w:val="auto"/>
        </w:rPr>
        <w:t>Bendekgey</w:t>
      </w:r>
    </w:p>
    <w:p>
      <w:pPr>
        <w:ind w:left="1400"/>
        <w:spacing w:after="0"/>
        <w:rPr>
          <w:sz w:val="20"/>
          <w:szCs w:val="20"/>
          <w:color w:val="auto"/>
        </w:rPr>
      </w:pPr>
      <w:r>
        <w:rPr>
          <w:rFonts w:ascii="Courier New" w:cs="Courier New" w:eastAsia="Courier New" w:hAnsi="Courier New"/>
          <w:sz w:val="15"/>
          <w:szCs w:val="15"/>
          <w:color w:val="auto"/>
        </w:rPr>
        <w:t>-----------------------------------</w:t>
      </w:r>
    </w:p>
    <w:p>
      <w:pPr>
        <w:ind w:left="440"/>
        <w:spacing w:after="0"/>
        <w:tabs>
          <w:tab w:leader="none" w:pos="1020" w:val="left"/>
          <w:tab w:leader="none" w:pos="1460" w:val="left"/>
        </w:tabs>
        <w:rPr>
          <w:sz w:val="20"/>
          <w:szCs w:val="20"/>
          <w:color w:val="auto"/>
        </w:rPr>
      </w:pPr>
      <w:r>
        <w:rPr>
          <w:rFonts w:ascii="Courier New" w:cs="Courier New" w:eastAsia="Courier New" w:hAnsi="Courier New"/>
          <w:sz w:val="15"/>
          <w:szCs w:val="15"/>
          <w:color w:val="auto"/>
        </w:rPr>
        <w:t>Elias</w:t>
        <w:tab/>
        <w:t>Lee</w:t>
      </w:r>
      <w:r>
        <w:rPr>
          <w:sz w:val="20"/>
          <w:szCs w:val="20"/>
          <w:color w:val="auto"/>
        </w:rPr>
        <w:tab/>
      </w:r>
      <w:r>
        <w:rPr>
          <w:rFonts w:ascii="Courier New" w:cs="Courier New" w:eastAsia="Courier New" w:hAnsi="Courier New"/>
          <w:sz w:val="14"/>
          <w:szCs w:val="14"/>
          <w:color w:val="auto"/>
        </w:rPr>
        <w:t>Bendekgey</w:t>
      </w:r>
    </w:p>
    <w:p>
      <w:pPr>
        <w:ind w:left="440"/>
        <w:spacing w:after="0" w:line="238" w:lineRule="auto"/>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19"/>
          </w:cols>
          <w:pgMar w:left="240" w:top="136" w:right="1440" w:bottom="1440" w:gutter="0" w:footer="0" w:header="0"/>
        </w:sectPr>
      </w:pPr>
    </w:p>
    <w:bookmarkStart w:id="90" w:name="page91"/>
    <w:bookmarkEnd w:id="90"/>
    <w:p>
      <w:pPr>
        <w:spacing w:after="0"/>
        <w:tabs>
          <w:tab w:leader="none" w:pos="760" w:val="left"/>
        </w:tabs>
        <w:rPr>
          <w:sz w:val="20"/>
          <w:szCs w:val="20"/>
          <w:color w:val="auto"/>
        </w:rPr>
      </w:pPr>
      <w:r>
        <w:rPr>
          <w:rFonts w:ascii="Courier New" w:cs="Courier New" w:eastAsia="Courier New" w:hAnsi="Courier New"/>
          <w:sz w:val="15"/>
          <w:szCs w:val="15"/>
          <w:color w:val="auto"/>
        </w:rPr>
        <w:t>EXHIBIT</w:t>
        <w:tab/>
        <w:t>21.1</w:t>
      </w:r>
    </w:p>
    <w:p>
      <w:pPr>
        <w:spacing w:after="0" w:line="169" w:lineRule="exact"/>
        <w:rPr>
          <w:sz w:val="20"/>
          <w:szCs w:val="20"/>
          <w:color w:val="auto"/>
        </w:rPr>
      </w:pPr>
    </w:p>
    <w:p>
      <w:pPr>
        <w:ind w:left="1580"/>
        <w:spacing w:after="0"/>
        <w:tabs>
          <w:tab w:leader="none" w:pos="2800" w:val="left"/>
          <w:tab w:leader="none" w:pos="3140" w:val="left"/>
          <w:tab w:leader="none" w:pos="3840" w:val="left"/>
          <w:tab w:leader="none" w:pos="5440" w:val="left"/>
        </w:tabs>
        <w:rPr>
          <w:sz w:val="20"/>
          <w:szCs w:val="20"/>
          <w:color w:val="auto"/>
        </w:rPr>
      </w:pPr>
      <w:r>
        <w:rPr>
          <w:rFonts w:ascii="Courier New" w:cs="Courier New" w:eastAsia="Courier New" w:hAnsi="Courier New"/>
          <w:sz w:val="15"/>
          <w:szCs w:val="15"/>
          <w:color w:val="auto"/>
        </w:rPr>
        <w:t>SUBSIDIARIES</w:t>
        <w:tab/>
        <w:t>OF</w:t>
        <w:tab/>
        <w:t>INCYTE</w:t>
        <w:tab/>
        <w:t>PHARMACEUTICALS,</w:t>
      </w:r>
      <w:r>
        <w:rPr>
          <w:sz w:val="20"/>
          <w:szCs w:val="20"/>
          <w:color w:val="auto"/>
        </w:rPr>
        <w:tab/>
      </w:r>
      <w:r>
        <w:rPr>
          <w:rFonts w:ascii="Courier New" w:cs="Courier New" w:eastAsia="Courier New" w:hAnsi="Courier New"/>
          <w:sz w:val="14"/>
          <w:szCs w:val="14"/>
          <w:color w:val="auto"/>
        </w:rPr>
        <w:t>INC.</w:t>
      </w:r>
    </w:p>
    <w:p>
      <w:pPr>
        <w:sectPr>
          <w:pgSz w:w="11900" w:h="16838" w:orient="portrait"/>
          <w:cols w:equalWidth="0" w:num="1">
            <w:col w:w="10219"/>
          </w:cols>
          <w:pgMar w:left="240" w:top="136" w:right="1440" w:bottom="1440" w:gutter="0" w:footer="0" w:header="0"/>
        </w:sectPr>
      </w:pPr>
    </w:p>
    <w:p>
      <w:pPr>
        <w:spacing w:after="0" w:line="33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tabs>
          <w:tab w:leader="none" w:pos="760" w:val="left"/>
          <w:tab w:leader="none" w:pos="1640" w:val="left"/>
        </w:tabs>
        <w:rPr>
          <w:sz w:val="20"/>
          <w:szCs w:val="20"/>
          <w:color w:val="auto"/>
        </w:rPr>
      </w:pPr>
      <w:r>
        <w:rPr>
          <w:rFonts w:ascii="Courier New" w:cs="Courier New" w:eastAsia="Courier New" w:hAnsi="Courier New"/>
          <w:sz w:val="15"/>
          <w:szCs w:val="15"/>
          <w:color w:val="auto"/>
        </w:rPr>
        <w:t>Genome</w:t>
        <w:tab/>
        <w:t>Systems,</w:t>
        <w:tab/>
        <w:t>Inc.</w:t>
      </w:r>
    </w:p>
    <w:p>
      <w:pPr>
        <w:ind w:left="80"/>
        <w:spacing w:after="0"/>
        <w:tabs>
          <w:tab w:leader="none" w:pos="760" w:val="left"/>
          <w:tab w:leader="none" w:pos="1460" w:val="left"/>
        </w:tabs>
        <w:rPr>
          <w:sz w:val="20"/>
          <w:szCs w:val="20"/>
          <w:color w:val="auto"/>
        </w:rPr>
      </w:pPr>
      <w:r>
        <w:rPr>
          <w:rFonts w:ascii="Courier New" w:cs="Courier New" w:eastAsia="Courier New" w:hAnsi="Courier New"/>
          <w:sz w:val="15"/>
          <w:szCs w:val="15"/>
          <w:color w:val="auto"/>
        </w:rPr>
        <w:t>Incyte</w:t>
        <w:tab/>
        <w:t>Europe</w:t>
      </w:r>
      <w:r>
        <w:rPr>
          <w:sz w:val="20"/>
          <w:szCs w:val="20"/>
          <w:color w:val="auto"/>
        </w:rPr>
        <w:tab/>
      </w:r>
      <w:r>
        <w:rPr>
          <w:rFonts w:ascii="Courier New" w:cs="Courier New" w:eastAsia="Courier New" w:hAnsi="Courier New"/>
          <w:sz w:val="14"/>
          <w:szCs w:val="14"/>
          <w:color w:val="auto"/>
        </w:rPr>
        <w:t>Limited</w:t>
      </w:r>
    </w:p>
    <w:p>
      <w:pPr>
        <w:ind w:left="80"/>
        <w:spacing w:after="0"/>
        <w:tabs>
          <w:tab w:leader="none" w:pos="940" w:val="left"/>
        </w:tabs>
        <w:rPr>
          <w:sz w:val="20"/>
          <w:szCs w:val="20"/>
          <w:color w:val="auto"/>
        </w:rPr>
      </w:pPr>
      <w:r>
        <w:rPr>
          <w:rFonts w:ascii="Courier New" w:cs="Courier New" w:eastAsia="Courier New" w:hAnsi="Courier New"/>
          <w:sz w:val="15"/>
          <w:szCs w:val="15"/>
          <w:color w:val="auto"/>
        </w:rPr>
        <w:t>Synteni,</w:t>
        <w:tab/>
        <w:t>Inc.</w:t>
      </w:r>
    </w:p>
    <w:p>
      <w:pPr>
        <w:ind w:left="80"/>
        <w:spacing w:after="0"/>
        <w:tabs>
          <w:tab w:leader="none" w:pos="860" w:val="left"/>
        </w:tabs>
        <w:rPr>
          <w:sz w:val="20"/>
          <w:szCs w:val="20"/>
          <w:color w:val="auto"/>
        </w:rPr>
      </w:pPr>
      <w:r>
        <w:rPr>
          <w:rFonts w:ascii="Courier New" w:cs="Courier New" w:eastAsia="Courier New" w:hAnsi="Courier New"/>
          <w:sz w:val="15"/>
          <w:szCs w:val="15"/>
          <w:color w:val="auto"/>
        </w:rPr>
        <w:t>Hexagen</w:t>
      </w:r>
      <w:r>
        <w:rPr>
          <w:sz w:val="20"/>
          <w:szCs w:val="20"/>
          <w:color w:val="auto"/>
        </w:rPr>
        <w:tab/>
      </w:r>
      <w:r>
        <w:rPr>
          <w:rFonts w:ascii="Courier New" w:cs="Courier New" w:eastAsia="Courier New" w:hAnsi="Courier New"/>
          <w:sz w:val="14"/>
          <w:szCs w:val="14"/>
          <w:color w:val="auto"/>
        </w:rPr>
        <w:t>Limited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Jurisdiction of Organization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Missouri</w:t>
      </w:r>
    </w:p>
    <w:p>
      <w:pPr>
        <w:ind w:left="360"/>
        <w:spacing w:after="0"/>
        <w:tabs>
          <w:tab w:leader="none" w:pos="1140" w:val="left"/>
          <w:tab w:leader="none" w:pos="1580" w:val="left"/>
        </w:tabs>
        <w:rPr>
          <w:sz w:val="20"/>
          <w:szCs w:val="20"/>
          <w:color w:val="auto"/>
        </w:rPr>
      </w:pPr>
      <w:r>
        <w:rPr>
          <w:rFonts w:ascii="Courier New" w:cs="Courier New" w:eastAsia="Courier New" w:hAnsi="Courier New"/>
          <w:sz w:val="15"/>
          <w:szCs w:val="15"/>
          <w:color w:val="auto"/>
        </w:rPr>
        <w:t>England</w:t>
        <w:tab/>
        <w:t>and</w:t>
      </w:r>
      <w:r>
        <w:rPr>
          <w:sz w:val="20"/>
          <w:szCs w:val="20"/>
          <w:color w:val="auto"/>
        </w:rPr>
        <w:tab/>
      </w:r>
      <w:r>
        <w:rPr>
          <w:rFonts w:ascii="Courier New" w:cs="Courier New" w:eastAsia="Courier New" w:hAnsi="Courier New"/>
          <w:sz w:val="14"/>
          <w:szCs w:val="14"/>
          <w:color w:val="auto"/>
        </w:rPr>
        <w:t>Wales</w:t>
      </w:r>
    </w:p>
    <w:p>
      <w:pPr>
        <w:ind w:left="360"/>
        <w:spacing w:after="0"/>
        <w:rPr>
          <w:sz w:val="20"/>
          <w:szCs w:val="20"/>
          <w:color w:val="auto"/>
        </w:rPr>
      </w:pPr>
      <w:r>
        <w:rPr>
          <w:rFonts w:ascii="Courier New" w:cs="Courier New" w:eastAsia="Courier New" w:hAnsi="Courier New"/>
          <w:sz w:val="15"/>
          <w:szCs w:val="15"/>
          <w:color w:val="auto"/>
        </w:rPr>
        <w:t>Delaware</w:t>
      </w:r>
    </w:p>
    <w:p>
      <w:pPr>
        <w:ind w:left="360"/>
        <w:spacing w:after="0"/>
        <w:tabs>
          <w:tab w:leader="none" w:pos="1140" w:val="left"/>
          <w:tab w:leader="none" w:pos="1580" w:val="left"/>
        </w:tabs>
        <w:rPr>
          <w:sz w:val="20"/>
          <w:szCs w:val="20"/>
          <w:color w:val="auto"/>
        </w:rPr>
      </w:pPr>
      <w:r>
        <w:rPr>
          <w:rFonts w:ascii="Courier New" w:cs="Courier New" w:eastAsia="Courier New" w:hAnsi="Courier New"/>
          <w:sz w:val="15"/>
          <w:szCs w:val="15"/>
          <w:color w:val="auto"/>
        </w:rPr>
        <w:t>England</w:t>
        <w:tab/>
        <w:t>and</w:t>
      </w:r>
      <w:r>
        <w:rPr>
          <w:sz w:val="20"/>
          <w:szCs w:val="20"/>
          <w:color w:val="auto"/>
        </w:rPr>
        <w:tab/>
      </w:r>
      <w:r>
        <w:rPr>
          <w:rFonts w:ascii="Courier New" w:cs="Courier New" w:eastAsia="Courier New" w:hAnsi="Courier New"/>
          <w:sz w:val="14"/>
          <w:szCs w:val="14"/>
          <w:color w:val="auto"/>
        </w:rPr>
        <w:t>Wales</w:t>
      </w:r>
    </w:p>
    <w:p>
      <w:pPr>
        <w:sectPr>
          <w:pgSz w:w="11900" w:h="16838" w:orient="portrait"/>
          <w:cols w:equalWidth="0" w:num="2">
            <w:col w:w="2880" w:space="720"/>
            <w:col w:w="6619"/>
          </w:cols>
          <w:pgMar w:left="240" w:top="136" w:right="1440" w:bottom="1440" w:gutter="0" w:footer="0" w:header="0"/>
          <w:type w:val="continuous"/>
        </w:sectPr>
      </w:pPr>
    </w:p>
    <w:bookmarkStart w:id="91" w:name="page92"/>
    <w:bookmarkEnd w:id="91"/>
    <w:p>
      <w:pPr>
        <w:spacing w:after="0"/>
        <w:tabs>
          <w:tab w:leader="none" w:pos="760" w:val="left"/>
        </w:tabs>
        <w:rPr>
          <w:sz w:val="20"/>
          <w:szCs w:val="20"/>
          <w:color w:val="auto"/>
        </w:rPr>
      </w:pPr>
      <w:r>
        <w:rPr>
          <w:rFonts w:ascii="Courier New" w:cs="Courier New" w:eastAsia="Courier New" w:hAnsi="Courier New"/>
          <w:sz w:val="15"/>
          <w:szCs w:val="15"/>
          <w:color w:val="auto"/>
        </w:rPr>
        <w:t>EXHIBIT</w:t>
        <w:tab/>
        <w:t>23.1</w:t>
      </w:r>
    </w:p>
    <w:p>
      <w:pPr>
        <w:spacing w:after="0" w:line="33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200" w:lineRule="exact"/>
        <w:rPr>
          <w:sz w:val="20"/>
          <w:szCs w:val="20"/>
          <w:color w:val="auto"/>
        </w:rPr>
      </w:pPr>
    </w:p>
    <w:p>
      <w:pPr>
        <w:spacing w:after="0" w:line="314"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S-8 Nos. 33-76236 and No. 33-93668) pertaining to the 1993 Directors' Stock Option Plan of Incyte Pharmaceuticals, Inc., (Form S-8 No. 33-76344, 33-93666, 333-13449, 333-31413 and 333-63069) pertaining to the 1991 Stock Plan of Incyte Pharmaceuticals, Inc., (Form S-8 No. 333-31409) pertaining to the 1997 Employee Stock Purchase Plan of Incyte Pharmaceuticals, Inc., (Form S-8 No. 333-46639) pertaining to the Options Assumed By Incyte Pharmaceuticals, Inc. Originally Granted Under The Synteni, Inc. 1996 Equity Incentive Plan and (Form S-8 No. 333-67691) pertaining to Options issued by Incyte Pharmaceuticals, Inc. to Former Optionholders of Hexagen Limited, (Form S-3 No. 333-73125) pertaining to common stock issued by Incyte Pharmaceuticals, Inc. to Former Shareholders of Hexagen Limited, of our report dated January 27, 1999, with respect to the consolidated financial statements and schedule of Incyte Pharmaceuticals, Inc. included in the Annual Report (Form 10-K) for the year ended December 31, 1998.</w:t>
      </w:r>
    </w:p>
    <w:p>
      <w:pPr>
        <w:spacing w:after="0" w:line="329" w:lineRule="exact"/>
        <w:rPr>
          <w:sz w:val="20"/>
          <w:szCs w:val="20"/>
          <w:color w:val="auto"/>
        </w:rPr>
      </w:pPr>
    </w:p>
    <w:p>
      <w:pPr>
        <w:ind w:left="4660"/>
        <w:spacing w:after="0"/>
        <w:tabs>
          <w:tab w:leader="none" w:pos="5080" w:val="left"/>
          <w:tab w:leader="none" w:pos="5700" w:val="left"/>
          <w:tab w:leader="none" w:pos="5960" w:val="left"/>
          <w:tab w:leader="none" w:pos="6580" w:val="left"/>
        </w:tabs>
        <w:rPr>
          <w:sz w:val="20"/>
          <w:szCs w:val="20"/>
          <w:color w:val="auto"/>
        </w:rPr>
      </w:pPr>
      <w:r>
        <w:rPr>
          <w:rFonts w:ascii="Courier New" w:cs="Courier New" w:eastAsia="Courier New" w:hAnsi="Courier New"/>
          <w:sz w:val="15"/>
          <w:szCs w:val="15"/>
          <w:color w:val="auto"/>
        </w:rPr>
        <w:t>\s\</w:t>
        <w:tab/>
        <w:t>Ernst</w:t>
        <w:tab/>
        <w:t>&amp;</w:t>
        <w:tab/>
        <w:t>Young</w:t>
      </w:r>
      <w:r>
        <w:rPr>
          <w:sz w:val="20"/>
          <w:szCs w:val="20"/>
          <w:color w:val="auto"/>
        </w:rPr>
        <w:tab/>
      </w:r>
      <w:r>
        <w:rPr>
          <w:rFonts w:ascii="Courier New" w:cs="Courier New" w:eastAsia="Courier New" w:hAnsi="Courier New"/>
          <w:sz w:val="14"/>
          <w:szCs w:val="14"/>
          <w:color w:val="auto"/>
        </w:rPr>
        <w:t>LLP</w:t>
      </w:r>
    </w:p>
    <w:p>
      <w:pPr>
        <w:spacing w:after="0" w:line="169" w:lineRule="exact"/>
        <w:rPr>
          <w:sz w:val="20"/>
          <w:szCs w:val="20"/>
          <w:color w:val="auto"/>
        </w:rPr>
      </w:pPr>
    </w:p>
    <w:p>
      <w:pPr>
        <w:spacing w:after="0"/>
        <w:tabs>
          <w:tab w:leader="none" w:pos="500" w:val="left"/>
          <w:tab w:leader="none" w:pos="1120" w:val="left"/>
        </w:tabs>
        <w:rPr>
          <w:sz w:val="20"/>
          <w:szCs w:val="20"/>
          <w:color w:val="auto"/>
        </w:rPr>
      </w:pPr>
      <w:r>
        <w:rPr>
          <w:rFonts w:ascii="Courier New" w:cs="Courier New" w:eastAsia="Courier New" w:hAnsi="Courier New"/>
          <w:sz w:val="15"/>
          <w:szCs w:val="15"/>
          <w:color w:val="auto"/>
        </w:rPr>
        <w:t>Palo</w:t>
        <w:tab/>
        <w:t>Alto,</w:t>
      </w:r>
      <w:r>
        <w:rPr>
          <w:sz w:val="20"/>
          <w:szCs w:val="20"/>
          <w:color w:val="auto"/>
        </w:rPr>
        <w:tab/>
      </w:r>
      <w:r>
        <w:rPr>
          <w:rFonts w:ascii="Courier New" w:cs="Courier New" w:eastAsia="Courier New" w:hAnsi="Courier New"/>
          <w:sz w:val="14"/>
          <w:szCs w:val="14"/>
          <w:color w:val="auto"/>
        </w:rPr>
        <w:t>California</w:t>
      </w:r>
    </w:p>
    <w:p>
      <w:pPr>
        <w:spacing w:after="0"/>
        <w:tabs>
          <w:tab w:leader="none" w:pos="580" w:val="left"/>
          <w:tab w:leader="none" w:pos="1020" w:val="left"/>
        </w:tabs>
        <w:rPr>
          <w:sz w:val="20"/>
          <w:szCs w:val="20"/>
          <w:color w:val="auto"/>
        </w:rPr>
      </w:pPr>
      <w:r>
        <w:rPr>
          <w:rFonts w:ascii="Courier New" w:cs="Courier New" w:eastAsia="Courier New" w:hAnsi="Courier New"/>
          <w:sz w:val="15"/>
          <w:szCs w:val="15"/>
          <w:color w:val="auto"/>
        </w:rPr>
        <w:t>March</w:t>
        <w:tab/>
        <w:t>23,</w:t>
        <w:tab/>
        <w:t>1999</w:t>
      </w:r>
    </w:p>
    <w:p>
      <w:pPr>
        <w:sectPr>
          <w:pgSz w:w="11900" w:h="16838" w:orient="portrait"/>
          <w:cols w:equalWidth="0" w:num="1">
            <w:col w:w="10219"/>
          </w:cols>
          <w:pgMar w:left="240" w:top="136" w:right="1440" w:bottom="1440" w:gutter="0" w:footer="0" w:header="0"/>
        </w:sectPr>
      </w:pPr>
    </w:p>
    <w:bookmarkStart w:id="92" w:name="page93"/>
    <w:bookmarkEnd w:id="92"/>
    <w:p>
      <w:pPr>
        <w:spacing w:after="0"/>
        <w:tabs>
          <w:tab w:leader="none" w:pos="760" w:val="left"/>
        </w:tabs>
        <w:rPr>
          <w:sz w:val="20"/>
          <w:szCs w:val="20"/>
          <w:color w:val="auto"/>
        </w:rPr>
      </w:pPr>
      <w:r>
        <w:rPr>
          <w:rFonts w:ascii="Courier New" w:cs="Courier New" w:eastAsia="Courier New" w:hAnsi="Courier New"/>
          <w:sz w:val="15"/>
          <w:szCs w:val="15"/>
          <w:color w:val="auto"/>
        </w:rPr>
        <w:t>EXHIBIT</w:t>
        <w:tab/>
        <w:t>23.2</w:t>
      </w:r>
    </w:p>
    <w:p>
      <w:pPr>
        <w:spacing w:after="0" w:line="33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hereby consent to the incorporation by reference in the Prospectus constituting part of the Registration Statement on Form S-3 (No. 333-73125 pertaining to common stock issued by Incyte Pharmaceuticals, Inc. to Former Shareholders of Hexagen Limited) and to the incorporation by reference in the Registration Statements on Form S-8 (Nos. 33-76236 and No. 33-93668 pertaining to the 1993 Directors' Stock Option Plan of Incyte Pharmaceuticals, Inc.; Nos. 33-76344, 33-93666, 333-13449, 333-31413 and 333-63069 pertaining to the 1991 Stock Plan of Incyte Pharmaceuticals, Inc.; No. 333-31409 pertaining to the Incyte Pharmaceuticals, Inc. 1997 Employee Stock Purchase Plan; No. 333-46639 pertaining to the Options Assumed by Incyte Pharmaceuticals, Inc. Originally Granted Under the Synteni, Inc. 1996 Equity Incentive Plan; and No. 333-67691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pertaining</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Options</w:t>
            </w:r>
          </w:p>
        </w:tc>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issued  by  Incyte  Pharmaceuticals,  Inc.  to  Former</w:t>
            </w:r>
          </w:p>
        </w:tc>
      </w:tr>
      <w:tr>
        <w:trPr>
          <w:trHeight w:val="170"/>
        </w:trPr>
        <w:tc>
          <w:tcPr>
            <w:tcW w:w="1260" w:type="dxa"/>
            <w:vAlign w:val="bottom"/>
            <w:gridSpan w:val="3"/>
          </w:tcPr>
          <w:p>
            <w:pPr>
              <w:spacing w:after="0"/>
              <w:rPr>
                <w:sz w:val="20"/>
                <w:szCs w:val="20"/>
                <w:color w:val="auto"/>
              </w:rPr>
            </w:pPr>
            <w:r>
              <w:rPr>
                <w:rFonts w:ascii="Courier New" w:cs="Courier New" w:eastAsia="Courier New" w:hAnsi="Courier New"/>
                <w:sz w:val="15"/>
                <w:szCs w:val="15"/>
                <w:color w:val="auto"/>
              </w:rPr>
              <w:t>Optionholders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of Hexagen</w:t>
            </w:r>
          </w:p>
        </w:tc>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97"/>
              </w:rPr>
              <w:t>Limited) of Incyte Pharmaceuticals, Inc. of our report</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dated</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15,  1999</w:t>
            </w:r>
          </w:p>
        </w:tc>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97"/>
              </w:rPr>
              <w:t>relating to the financial statements of diaDexus, LLC,</w:t>
            </w:r>
          </w:p>
        </w:tc>
      </w:tr>
      <w:tr>
        <w:trPr>
          <w:trHeight w:val="170"/>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appearing</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on</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page 67 of</w:t>
            </w:r>
          </w:p>
        </w:tc>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97"/>
              </w:rPr>
              <w:t>the Incyte Pharmaceuticals, Inc. Annual Report on Form</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10-K</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for</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57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year  ended  December  31,  1998.</w:t>
            </w:r>
          </w:p>
        </w:tc>
      </w:tr>
      <w:tr>
        <w:trPr>
          <w:trHeight w:val="339"/>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6600" w:type="dxa"/>
            <w:vAlign w:val="bottom"/>
            <w:gridSpan w:val="4"/>
          </w:tcPr>
          <w:p>
            <w:pPr>
              <w:spacing w:after="0"/>
              <w:rPr>
                <w:sz w:val="20"/>
                <w:szCs w:val="20"/>
                <w:color w:val="auto"/>
              </w:rPr>
            </w:pPr>
            <w:r>
              <w:rPr>
                <w:rFonts w:ascii="Courier New" w:cs="Courier New" w:eastAsia="Courier New" w:hAnsi="Courier New"/>
                <w:sz w:val="15"/>
                <w:szCs w:val="15"/>
                <w:color w:val="auto"/>
              </w:rPr>
              <w:t>PricewaterhouseCoopers  LLP</w:t>
            </w:r>
          </w:p>
        </w:tc>
      </w:tr>
      <w:tr>
        <w:trPr>
          <w:trHeight w:val="339"/>
        </w:trPr>
        <w:tc>
          <w:tcPr>
            <w:tcW w:w="440" w:type="dxa"/>
            <w:vAlign w:val="bottom"/>
          </w:tcPr>
          <w:p>
            <w:pPr>
              <w:spacing w:after="0"/>
              <w:rPr>
                <w:sz w:val="20"/>
                <w:szCs w:val="20"/>
                <w:color w:val="auto"/>
              </w:rPr>
            </w:pPr>
            <w:r>
              <w:rPr>
                <w:rFonts w:ascii="Courier New" w:cs="Courier New" w:eastAsia="Courier New" w:hAnsi="Courier New"/>
                <w:sz w:val="15"/>
                <w:szCs w:val="15"/>
                <w:color w:val="auto"/>
              </w:rPr>
              <w:t>San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Jose,</w:t>
            </w: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California</w:t>
            </w:r>
          </w:p>
        </w:tc>
        <w:tc>
          <w:tcPr>
            <w:tcW w:w="4840" w:type="dxa"/>
            <w:vAlign w:val="bottom"/>
          </w:tcPr>
          <w:p>
            <w:pPr>
              <w:spacing w:after="0"/>
              <w:rPr>
                <w:sz w:val="24"/>
                <w:szCs w:val="24"/>
                <w:color w:val="auto"/>
              </w:rPr>
            </w:pP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March</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1999</w:t>
            </w:r>
          </w:p>
        </w:tc>
        <w:tc>
          <w:tcPr>
            <w:tcW w:w="4840" w:type="dxa"/>
            <w:vAlign w:val="bottom"/>
          </w:tcPr>
          <w:p>
            <w:pPr>
              <w:spacing w:after="0"/>
              <w:rPr>
                <w:sz w:val="14"/>
                <w:szCs w:val="14"/>
                <w:color w:val="auto"/>
              </w:rPr>
            </w:pPr>
          </w:p>
        </w:tc>
      </w:tr>
    </w:tbl>
    <w:p>
      <w:pPr>
        <w:sectPr>
          <w:pgSz w:w="11900" w:h="16838" w:orient="portrait"/>
          <w:cols w:equalWidth="0" w:num="1">
            <w:col w:w="10219"/>
          </w:cols>
          <w:pgMar w:left="240" w:top="136" w:right="1440" w:bottom="1440" w:gutter="0" w:footer="0" w:header="0"/>
        </w:sectPr>
      </w:pPr>
    </w:p>
    <w:bookmarkStart w:id="93" w:name="page94"/>
    <w:bookmarkEnd w:id="93"/>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15"/>
          <w:szCs w:val="15"/>
          <w:color w:val="auto"/>
        </w:rPr>
        <w:t>This schedule contains summary financial information extracted from Item 1 of Form 10-K for the period ended December 31, 1997 and is qualified in its entirety by reference to such 10-K</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ind w:left="60"/>
        <w:spacing w:after="0"/>
        <w:rPr>
          <w:sz w:val="20"/>
          <w:szCs w:val="20"/>
          <w:color w:val="auto"/>
        </w:rPr>
      </w:pPr>
      <w:r>
        <w:rPr>
          <w:rFonts w:ascii="Courier New" w:cs="Courier New" w:eastAsia="Courier New" w:hAnsi="Courier New"/>
          <w:sz w:val="15"/>
          <w:szCs w:val="15"/>
          <w:color w:val="auto"/>
        </w:rPr>
        <w:t>U.S. DOLLARS</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12-MOS</w:t>
      </w:r>
    </w:p>
    <w:p>
      <w:pPr>
        <w:ind w:left="2260"/>
        <w:spacing w:after="0"/>
        <w:rPr>
          <w:sz w:val="20"/>
          <w:szCs w:val="20"/>
          <w:color w:val="auto"/>
        </w:rPr>
      </w:pPr>
      <w:r>
        <w:rPr>
          <w:rFonts w:ascii="Courier New" w:cs="Courier New" w:eastAsia="Courier New" w:hAnsi="Courier New"/>
          <w:sz w:val="15"/>
          <w:szCs w:val="15"/>
          <w:color w:val="auto"/>
        </w:rPr>
        <w:t>DEC-31-1998</w:t>
      </w:r>
    </w:p>
    <w:p>
      <w:pPr>
        <w:ind w:left="2700"/>
        <w:spacing w:after="0"/>
        <w:rPr>
          <w:sz w:val="20"/>
          <w:szCs w:val="20"/>
          <w:color w:val="auto"/>
        </w:rPr>
      </w:pPr>
      <w:r>
        <w:rPr>
          <w:rFonts w:ascii="Courier New" w:cs="Courier New" w:eastAsia="Courier New" w:hAnsi="Courier New"/>
          <w:sz w:val="15"/>
          <w:szCs w:val="15"/>
          <w:color w:val="auto"/>
        </w:rPr>
        <w:t>DEC-31-1998</w:t>
      </w:r>
    </w:p>
    <w:p>
      <w:pPr>
        <w:ind w:left="3320"/>
        <w:spacing w:after="0" w:line="238" w:lineRule="auto"/>
        <w:rPr>
          <w:sz w:val="20"/>
          <w:szCs w:val="20"/>
          <w:color w:val="auto"/>
        </w:rPr>
      </w:pPr>
      <w:r>
        <w:rPr>
          <w:rFonts w:ascii="Courier New" w:cs="Courier New" w:eastAsia="Courier New" w:hAnsi="Courier New"/>
          <w:sz w:val="15"/>
          <w:szCs w:val="15"/>
          <w:color w:val="auto"/>
        </w:rPr>
        <w:t>1</w:t>
      </w:r>
    </w:p>
    <w:p>
      <w:pPr>
        <w:ind w:left="3680"/>
        <w:spacing w:after="0"/>
        <w:rPr>
          <w:sz w:val="20"/>
          <w:szCs w:val="20"/>
          <w:color w:val="auto"/>
        </w:rPr>
      </w:pPr>
      <w:r>
        <w:rPr>
          <w:rFonts w:ascii="Courier New" w:cs="Courier New" w:eastAsia="Courier New" w:hAnsi="Courier New"/>
          <w:sz w:val="15"/>
          <w:szCs w:val="15"/>
          <w:color w:val="auto"/>
        </w:rPr>
        <w:t>50,048</w:t>
      </w:r>
    </w:p>
    <w:p>
      <w:pPr>
        <w:ind w:left="3140"/>
        <w:spacing w:after="0"/>
        <w:rPr>
          <w:sz w:val="20"/>
          <w:szCs w:val="20"/>
          <w:color w:val="auto"/>
        </w:rPr>
      </w:pPr>
      <w:r>
        <w:rPr>
          <w:rFonts w:ascii="Courier New" w:cs="Courier New" w:eastAsia="Courier New" w:hAnsi="Courier New"/>
          <w:sz w:val="15"/>
          <w:szCs w:val="15"/>
          <w:color w:val="auto"/>
        </w:rPr>
        <w:t>61,185</w:t>
      </w:r>
    </w:p>
    <w:p>
      <w:pPr>
        <w:ind w:left="3060"/>
        <w:spacing w:after="0" w:line="238" w:lineRule="auto"/>
        <w:rPr>
          <w:sz w:val="20"/>
          <w:szCs w:val="20"/>
          <w:color w:val="auto"/>
        </w:rPr>
      </w:pPr>
      <w:r>
        <w:rPr>
          <w:rFonts w:ascii="Courier New" w:cs="Courier New" w:eastAsia="Courier New" w:hAnsi="Courier New"/>
          <w:sz w:val="15"/>
          <w:szCs w:val="15"/>
          <w:color w:val="auto"/>
        </w:rPr>
        <w:t>14,752</w:t>
      </w:r>
    </w:p>
    <w:p>
      <w:pPr>
        <w:ind w:left="3400"/>
        <w:spacing w:after="0"/>
        <w:rPr>
          <w:sz w:val="20"/>
          <w:szCs w:val="20"/>
          <w:color w:val="auto"/>
        </w:rPr>
      </w:pPr>
      <w:r>
        <w:rPr>
          <w:rFonts w:ascii="Courier New" w:cs="Courier New" w:eastAsia="Courier New" w:hAnsi="Courier New"/>
          <w:sz w:val="15"/>
          <w:szCs w:val="15"/>
          <w:color w:val="auto"/>
        </w:rPr>
        <w:t>434</w:t>
      </w:r>
    </w:p>
    <w:p>
      <w:pPr>
        <w:ind w:left="3680"/>
        <w:spacing w:after="0"/>
        <w:rPr>
          <w:sz w:val="20"/>
          <w:szCs w:val="20"/>
          <w:color w:val="auto"/>
        </w:rPr>
      </w:pPr>
      <w:r>
        <w:rPr>
          <w:rFonts w:ascii="Courier New" w:cs="Courier New" w:eastAsia="Courier New" w:hAnsi="Courier New"/>
          <w:sz w:val="15"/>
          <w:szCs w:val="15"/>
          <w:color w:val="auto"/>
        </w:rPr>
        <w:t>0</w:t>
      </w:r>
    </w:p>
    <w:p>
      <w:pPr>
        <w:ind w:left="2700"/>
        <w:spacing w:after="0"/>
        <w:rPr>
          <w:sz w:val="20"/>
          <w:szCs w:val="20"/>
          <w:color w:val="auto"/>
        </w:rPr>
      </w:pPr>
      <w:r>
        <w:rPr>
          <w:rFonts w:ascii="Courier New" w:cs="Courier New" w:eastAsia="Courier New" w:hAnsi="Courier New"/>
          <w:sz w:val="15"/>
          <w:szCs w:val="15"/>
          <w:color w:val="auto"/>
        </w:rPr>
        <w:t>131,364</w:t>
      </w:r>
    </w:p>
    <w:p>
      <w:pPr>
        <w:ind w:left="3680"/>
        <w:spacing w:after="0" w:line="238" w:lineRule="auto"/>
        <w:rPr>
          <w:sz w:val="20"/>
          <w:szCs w:val="20"/>
          <w:color w:val="auto"/>
        </w:rPr>
      </w:pPr>
      <w:r>
        <w:rPr>
          <w:rFonts w:ascii="Courier New" w:cs="Courier New" w:eastAsia="Courier New" w:hAnsi="Courier New"/>
          <w:sz w:val="15"/>
          <w:szCs w:val="15"/>
          <w:color w:val="auto"/>
        </w:rPr>
        <w:t>90,477</w:t>
      </w:r>
    </w:p>
    <w:p>
      <w:pPr>
        <w:ind w:left="2960"/>
        <w:spacing w:after="0"/>
        <w:rPr>
          <w:sz w:val="20"/>
          <w:szCs w:val="20"/>
          <w:color w:val="auto"/>
        </w:rPr>
      </w:pPr>
      <w:r>
        <w:rPr>
          <w:rFonts w:ascii="Courier New" w:cs="Courier New" w:eastAsia="Courier New" w:hAnsi="Courier New"/>
          <w:sz w:val="15"/>
          <w:szCs w:val="15"/>
          <w:color w:val="auto"/>
        </w:rPr>
        <w:t>36,048</w:t>
      </w:r>
    </w:p>
    <w:p>
      <w:pPr>
        <w:ind w:left="2880"/>
        <w:spacing w:after="0"/>
        <w:rPr>
          <w:sz w:val="20"/>
          <w:szCs w:val="20"/>
          <w:color w:val="auto"/>
        </w:rPr>
      </w:pPr>
      <w:r>
        <w:rPr>
          <w:rFonts w:ascii="Courier New" w:cs="Courier New" w:eastAsia="Courier New" w:hAnsi="Courier New"/>
          <w:sz w:val="15"/>
          <w:szCs w:val="15"/>
          <w:color w:val="auto"/>
        </w:rPr>
        <w:t>230,290</w:t>
      </w:r>
    </w:p>
    <w:p>
      <w:pPr>
        <w:ind w:left="2360"/>
        <w:spacing w:after="0" w:line="238" w:lineRule="auto"/>
        <w:rPr>
          <w:sz w:val="20"/>
          <w:szCs w:val="20"/>
          <w:color w:val="auto"/>
        </w:rPr>
      </w:pPr>
      <w:r>
        <w:rPr>
          <w:rFonts w:ascii="Courier New" w:cs="Courier New" w:eastAsia="Courier New" w:hAnsi="Courier New"/>
          <w:sz w:val="15"/>
          <w:szCs w:val="15"/>
          <w:color w:val="auto"/>
        </w:rPr>
        <w:t>49,927</w:t>
      </w:r>
    </w:p>
    <w:p>
      <w:pPr>
        <w:ind w:left="4020"/>
        <w:spacing w:after="0"/>
        <w:rPr>
          <w:sz w:val="20"/>
          <w:szCs w:val="20"/>
          <w:color w:val="auto"/>
        </w:rPr>
      </w:pPr>
      <w:r>
        <w:rPr>
          <w:rFonts w:ascii="Courier New" w:cs="Courier New" w:eastAsia="Courier New" w:hAnsi="Courier New"/>
          <w:sz w:val="15"/>
          <w:szCs w:val="15"/>
          <w:color w:val="auto"/>
        </w:rPr>
        <w:t>0</w:t>
      </w:r>
    </w:p>
    <w:p>
      <w:pPr>
        <w:ind w:left="2800"/>
        <w:spacing w:after="0"/>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3840"/>
        <w:spacing w:after="0" w:line="238" w:lineRule="auto"/>
        <w:rPr>
          <w:sz w:val="20"/>
          <w:szCs w:val="20"/>
          <w:color w:val="auto"/>
        </w:rPr>
      </w:pPr>
      <w:r>
        <w:rPr>
          <w:rFonts w:ascii="Courier New" w:cs="Courier New" w:eastAsia="Courier New" w:hAnsi="Courier New"/>
          <w:sz w:val="15"/>
          <w:szCs w:val="15"/>
          <w:color w:val="auto"/>
        </w:rPr>
        <w:t>28</w:t>
      </w:r>
    </w:p>
    <w:p>
      <w:pPr>
        <w:ind w:left="3240"/>
        <w:spacing w:after="0"/>
        <w:rPr>
          <w:sz w:val="20"/>
          <w:szCs w:val="20"/>
          <w:color w:val="auto"/>
        </w:rPr>
      </w:pPr>
      <w:r>
        <w:rPr>
          <w:rFonts w:ascii="Courier New" w:cs="Courier New" w:eastAsia="Courier New" w:hAnsi="Courier New"/>
          <w:sz w:val="15"/>
          <w:szCs w:val="15"/>
          <w:color w:val="auto"/>
        </w:rPr>
        <w:t>179,539</w:t>
      </w:r>
    </w:p>
    <w:p>
      <w:pPr>
        <w:ind w:left="1640"/>
        <w:spacing w:after="0"/>
        <w:rPr>
          <w:sz w:val="20"/>
          <w:szCs w:val="20"/>
          <w:color w:val="auto"/>
        </w:rPr>
      </w:pPr>
      <w:r>
        <w:rPr>
          <w:rFonts w:ascii="Courier New" w:cs="Courier New" w:eastAsia="Courier New" w:hAnsi="Courier New"/>
          <w:sz w:val="15"/>
          <w:szCs w:val="15"/>
          <w:color w:val="auto"/>
        </w:rPr>
        <w:t>230,290</w:t>
      </w:r>
    </w:p>
    <w:p>
      <w:pPr>
        <w:ind w:left="4020"/>
        <w:spacing w:after="0" w:line="238" w:lineRule="auto"/>
        <w:rPr>
          <w:sz w:val="20"/>
          <w:szCs w:val="20"/>
          <w:color w:val="auto"/>
        </w:rPr>
      </w:pPr>
      <w:r>
        <w:rPr>
          <w:rFonts w:ascii="Courier New" w:cs="Courier New" w:eastAsia="Courier New" w:hAnsi="Courier New"/>
          <w:sz w:val="15"/>
          <w:szCs w:val="15"/>
          <w:color w:val="auto"/>
        </w:rPr>
        <w:t>0</w:t>
      </w:r>
    </w:p>
    <w:p>
      <w:pPr>
        <w:ind w:left="2700"/>
        <w:spacing w:after="0"/>
        <w:rPr>
          <w:sz w:val="20"/>
          <w:szCs w:val="20"/>
          <w:color w:val="auto"/>
        </w:rPr>
      </w:pPr>
      <w:r>
        <w:rPr>
          <w:rFonts w:ascii="Courier New" w:cs="Courier New" w:eastAsia="Courier New" w:hAnsi="Courier New"/>
          <w:sz w:val="15"/>
          <w:szCs w:val="15"/>
          <w:color w:val="auto"/>
        </w:rPr>
        <w:t>134,811</w:t>
      </w:r>
    </w:p>
    <w:p>
      <w:pPr>
        <w:ind w:left="4200"/>
        <w:spacing w:after="0"/>
        <w:rPr>
          <w:sz w:val="20"/>
          <w:szCs w:val="20"/>
          <w:color w:val="auto"/>
        </w:rPr>
      </w:pPr>
      <w:r>
        <w:rPr>
          <w:rFonts w:ascii="Courier New" w:cs="Courier New" w:eastAsia="Courier New" w:hAnsi="Courier New"/>
          <w:sz w:val="15"/>
          <w:szCs w:val="15"/>
          <w:color w:val="auto"/>
        </w:rPr>
        <w:t>0</w:t>
      </w:r>
    </w:p>
    <w:p>
      <w:pPr>
        <w:ind w:left="3500"/>
        <w:spacing w:after="0"/>
        <w:rPr>
          <w:sz w:val="20"/>
          <w:szCs w:val="20"/>
          <w:color w:val="auto"/>
        </w:rPr>
      </w:pPr>
      <w:r>
        <w:rPr>
          <w:rFonts w:ascii="Courier New" w:cs="Courier New" w:eastAsia="Courier New" w:hAnsi="Courier New"/>
          <w:sz w:val="15"/>
          <w:szCs w:val="15"/>
          <w:color w:val="auto"/>
        </w:rPr>
        <w:t>0</w:t>
      </w:r>
    </w:p>
    <w:p>
      <w:pPr>
        <w:jc w:val="right"/>
        <w:ind w:right="6879"/>
        <w:spacing w:after="0" w:line="238" w:lineRule="auto"/>
        <w:rPr>
          <w:sz w:val="20"/>
          <w:szCs w:val="20"/>
          <w:color w:val="auto"/>
        </w:rPr>
      </w:pPr>
      <w:r>
        <w:rPr>
          <w:rFonts w:ascii="Courier New" w:cs="Courier New" w:eastAsia="Courier New" w:hAnsi="Courier New"/>
          <w:sz w:val="15"/>
          <w:szCs w:val="15"/>
          <w:color w:val="auto"/>
        </w:rPr>
        <w:t>109,341</w:t>
      </w:r>
    </w:p>
    <w:p>
      <w:pPr>
        <w:jc w:val="right"/>
        <w:ind w:right="6879"/>
        <w:spacing w:after="0"/>
        <w:rPr>
          <w:sz w:val="20"/>
          <w:szCs w:val="20"/>
          <w:color w:val="auto"/>
        </w:rPr>
      </w:pPr>
      <w:r>
        <w:rPr>
          <w:rFonts w:ascii="Courier New" w:cs="Courier New" w:eastAsia="Courier New" w:hAnsi="Courier New"/>
          <w:sz w:val="15"/>
          <w:szCs w:val="15"/>
          <w:color w:val="auto"/>
        </w:rPr>
        <w:t>0</w:t>
      </w:r>
    </w:p>
    <w:p>
      <w:pPr>
        <w:ind w:left="2880"/>
        <w:spacing w:after="0"/>
        <w:rPr>
          <w:sz w:val="20"/>
          <w:szCs w:val="20"/>
          <w:color w:val="auto"/>
        </w:rPr>
      </w:pPr>
      <w:r>
        <w:rPr>
          <w:rFonts w:ascii="Courier New" w:cs="Courier New" w:eastAsia="Courier New" w:hAnsi="Courier New"/>
          <w:sz w:val="15"/>
          <w:szCs w:val="15"/>
          <w:color w:val="auto"/>
        </w:rPr>
        <w:t>150</w:t>
      </w:r>
    </w:p>
    <w:p>
      <w:pPr>
        <w:ind w:left="2960"/>
        <w:spacing w:after="0" w:line="238" w:lineRule="auto"/>
        <w:rPr>
          <w:sz w:val="20"/>
          <w:szCs w:val="20"/>
          <w:color w:val="auto"/>
        </w:rPr>
      </w:pPr>
      <w:r>
        <w:rPr>
          <w:rFonts w:ascii="Courier New" w:cs="Courier New" w:eastAsia="Courier New" w:hAnsi="Courier New"/>
          <w:sz w:val="15"/>
          <w:szCs w:val="15"/>
          <w:color w:val="auto"/>
        </w:rPr>
        <w:t>5,824</w:t>
      </w:r>
    </w:p>
    <w:p>
      <w:pPr>
        <w:ind w:left="3240"/>
        <w:spacing w:after="0"/>
        <w:rPr>
          <w:sz w:val="20"/>
          <w:szCs w:val="20"/>
          <w:color w:val="auto"/>
        </w:rPr>
      </w:pPr>
      <w:r>
        <w:rPr>
          <w:rFonts w:ascii="Courier New" w:cs="Courier New" w:eastAsia="Courier New" w:hAnsi="Courier New"/>
          <w:sz w:val="15"/>
          <w:szCs w:val="15"/>
          <w:color w:val="auto"/>
        </w:rPr>
        <w:t>2,352</w:t>
      </w:r>
    </w:p>
    <w:p>
      <w:pPr>
        <w:ind w:left="2960"/>
        <w:spacing w:after="0"/>
        <w:rPr>
          <w:sz w:val="20"/>
          <w:szCs w:val="20"/>
          <w:color w:val="auto"/>
        </w:rPr>
      </w:pPr>
      <w:r>
        <w:rPr>
          <w:rFonts w:ascii="Courier New" w:cs="Courier New" w:eastAsia="Courier New" w:hAnsi="Courier New"/>
          <w:sz w:val="15"/>
          <w:szCs w:val="15"/>
          <w:color w:val="auto"/>
        </w:rPr>
        <w:t>0</w:t>
      </w:r>
    </w:p>
    <w:p>
      <w:pPr>
        <w:ind w:left="3400"/>
        <w:spacing w:after="0" w:line="238" w:lineRule="auto"/>
        <w:rPr>
          <w:sz w:val="20"/>
          <w:szCs w:val="20"/>
          <w:color w:val="auto"/>
        </w:rPr>
      </w:pPr>
      <w:r>
        <w:rPr>
          <w:rFonts w:ascii="Courier New" w:cs="Courier New" w:eastAsia="Courier New" w:hAnsi="Courier New"/>
          <w:sz w:val="15"/>
          <w:szCs w:val="15"/>
          <w:color w:val="auto"/>
        </w:rPr>
        <w:t>0</w:t>
      </w:r>
    </w:p>
    <w:p>
      <w:pPr>
        <w:ind w:left="3320"/>
        <w:spacing w:after="0"/>
        <w:rPr>
          <w:sz w:val="20"/>
          <w:szCs w:val="20"/>
          <w:color w:val="auto"/>
        </w:rPr>
      </w:pPr>
      <w:r>
        <w:rPr>
          <w:rFonts w:ascii="Courier New" w:cs="Courier New" w:eastAsia="Courier New" w:hAnsi="Courier New"/>
          <w:sz w:val="15"/>
          <w:szCs w:val="15"/>
          <w:color w:val="auto"/>
        </w:rPr>
        <w:t>0</w:t>
      </w:r>
    </w:p>
    <w:p>
      <w:pPr>
        <w:ind w:left="3840"/>
        <w:spacing w:after="0"/>
        <w:rPr>
          <w:sz w:val="20"/>
          <w:szCs w:val="20"/>
          <w:color w:val="auto"/>
        </w:rPr>
      </w:pPr>
      <w:r>
        <w:rPr>
          <w:rFonts w:ascii="Courier New" w:cs="Courier New" w:eastAsia="Courier New" w:hAnsi="Courier New"/>
          <w:sz w:val="15"/>
          <w:szCs w:val="15"/>
          <w:color w:val="auto"/>
        </w:rPr>
        <w:t>0</w:t>
      </w:r>
    </w:p>
    <w:p>
      <w:pPr>
        <w:ind w:left="3240"/>
        <w:spacing w:after="0"/>
        <w:rPr>
          <w:sz w:val="20"/>
          <w:szCs w:val="20"/>
          <w:color w:val="auto"/>
        </w:rPr>
      </w:pPr>
      <w:r>
        <w:rPr>
          <w:rFonts w:ascii="Courier New" w:cs="Courier New" w:eastAsia="Courier New" w:hAnsi="Courier New"/>
          <w:sz w:val="15"/>
          <w:szCs w:val="15"/>
          <w:color w:val="auto"/>
        </w:rPr>
        <w:t>3,472</w:t>
      </w:r>
    </w:p>
    <w:p>
      <w:pPr>
        <w:ind w:left="3240"/>
        <w:spacing w:after="0" w:line="238" w:lineRule="auto"/>
        <w:rPr>
          <w:sz w:val="20"/>
          <w:szCs w:val="20"/>
          <w:color w:val="auto"/>
        </w:rPr>
      </w:pPr>
      <w:r>
        <w:rPr>
          <w:rFonts w:ascii="Courier New" w:cs="Courier New" w:eastAsia="Courier New" w:hAnsi="Courier New"/>
          <w:sz w:val="15"/>
          <w:szCs w:val="15"/>
          <w:color w:val="auto"/>
        </w:rPr>
        <w:t>0.13</w:t>
      </w:r>
    </w:p>
    <w:p>
      <w:pPr>
        <w:ind w:left="3240"/>
        <w:spacing w:after="0"/>
        <w:rPr>
          <w:sz w:val="20"/>
          <w:szCs w:val="20"/>
          <w:color w:val="auto"/>
        </w:rPr>
      </w:pPr>
      <w:r>
        <w:rPr>
          <w:rFonts w:ascii="Courier New" w:cs="Courier New" w:eastAsia="Courier New" w:hAnsi="Courier New"/>
          <w:sz w:val="15"/>
          <w:szCs w:val="15"/>
          <w:color w:val="auto"/>
        </w:rPr>
        <w:t>0.12</w:t>
      </w:r>
    </w:p>
    <w:sectPr>
      <w:pgSz w:w="11900" w:h="16838" w:orient="portrait"/>
      <w:cols w:equalWidth="0" w:num="1">
        <w:col w:w="10199"/>
      </w:cols>
      <w:pgMar w:left="26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upperLetter"/>
      <w:start w:val="24"/>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a"/>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a"/>
      <w:numFmt w:val="bullet"/>
      <w:start w:val="1"/>
    </w:lvl>
  </w:abstractNum>
  <w:abstractNum w:abstractNumId="8">
    <w:nsid w:val="520EEDD1"/>
    <w:multiLevelType w:val="hybridMultilevel"/>
    <w:lvl w:ilvl="0">
      <w:lvlJc w:val="left"/>
      <w:lvlText w:val="A"/>
      <w:numFmt w:val="bullet"/>
      <w:start w:val="1"/>
    </w:lvl>
  </w:abstractNum>
  <w:abstractNum w:abstractNumId="9">
    <w:nsid w:val="374A3FE6"/>
    <w:multiLevelType w:val="hybridMultilevel"/>
    <w:lvl w:ilvl="0">
      <w:lvlJc w:val="left"/>
      <w:lvlText w:val="a"/>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1"/>
      <w:numFmt w:val="bullet"/>
      <w:start w:val="1"/>
    </w:lvl>
  </w:abstractNum>
  <w:abstractNum w:abstractNumId="13">
    <w:nsid w:val="275AC794"/>
    <w:multiLevelType w:val="hybridMultilevel"/>
    <w:lvl w:ilvl="0">
      <w:lvlJc w:val="left"/>
      <w:lvlText w:val="A"/>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a"/>
      <w:numFmt w:val="bullet"/>
      <w:start w:val="1"/>
    </w:lvl>
  </w:abstractNum>
  <w:abstractNum w:abstractNumId="49">
    <w:nsid w:val="5DC79EA8"/>
    <w:multiLevelType w:val="hybridMultilevel"/>
    <w:lvl w:ilvl="0">
      <w:lvlJc w:val="left"/>
      <w:lvlText w:val="%1."/>
      <w:numFmt w:val="decimal"/>
      <w:start w:val="1"/>
    </w:lvl>
  </w:abstractNum>
  <w:abstractNum w:abstractNumId="50">
    <w:nsid w:val="540A471C"/>
    <w:multiLevelType w:val="hybridMultilevel"/>
    <w:lvl w:ilvl="0">
      <w:lvlJc w:val="left"/>
      <w:lvlText w:val="%1."/>
      <w:numFmt w:val="decimal"/>
      <w:start w:val="2"/>
    </w:lvl>
  </w:abstractNum>
  <w:abstractNum w:abstractNumId="51">
    <w:nsid w:val="7BD3EE7B"/>
    <w:multiLevelType w:val="hybridMultilevel"/>
    <w:lvl w:ilvl="0">
      <w:lvlJc w:val="left"/>
      <w:lvlText w:val="%1."/>
      <w:numFmt w:val="decimal"/>
      <w:start w:val="3"/>
    </w:lvl>
  </w:abstractNum>
  <w:abstractNum w:abstractNumId="52">
    <w:nsid w:val="51D9C564"/>
    <w:multiLevelType w:val="hybridMultilevel"/>
    <w:lvl w:ilvl="0">
      <w:lvlJc w:val="left"/>
      <w:lvlText w:val="%1."/>
      <w:numFmt w:val="decimal"/>
      <w:start w:val="4"/>
    </w:lvl>
  </w:abstractNum>
  <w:abstractNum w:abstractNumId="53">
    <w:nsid w:val="613EFDC5"/>
    <w:multiLevelType w:val="hybridMultilevel"/>
    <w:lvl w:ilvl="0">
      <w:lvlJc w:val="left"/>
      <w:lvlText w:val="%1."/>
      <w:numFmt w:val="decimal"/>
      <w:start w:val="5"/>
    </w:lvl>
  </w:abstractNum>
  <w:abstractNum w:abstractNumId="54">
    <w:nsid w:val="BF72B14"/>
    <w:multiLevelType w:val="hybridMultilevel"/>
    <w:lvl w:ilvl="0">
      <w:lvlJc w:val="left"/>
      <w:lvlText w:val="%1."/>
      <w:numFmt w:val="decimal"/>
      <w:start w:val="6"/>
    </w:lvl>
  </w:abstractNum>
  <w:abstractNum w:abstractNumId="55">
    <w:nsid w:val="11447B73"/>
    <w:multiLevelType w:val="hybridMultilevel"/>
    <w:lvl w:ilvl="0">
      <w:lvlJc w:val="left"/>
      <w:lvlText w:val="%1."/>
      <w:numFmt w:val="decimal"/>
      <w:start w:val="7"/>
    </w:lvl>
  </w:abstractNum>
  <w:abstractNum w:abstractNumId="56">
    <w:nsid w:val="42963E5A"/>
    <w:multiLevelType w:val="hybridMultilevel"/>
    <w:lvl w:ilvl="0">
      <w:lvlJc w:val="left"/>
      <w:lvlText w:val="a"/>
      <w:numFmt w:val="bullet"/>
      <w:start w:val="1"/>
    </w:lvl>
  </w:abstractNum>
  <w:abstractNum w:abstractNumId="57">
    <w:nsid w:val="A0382C5"/>
    <w:multiLevelType w:val="hybridMultilevel"/>
    <w:lvl w:ilvl="0">
      <w:lvlJc w:val="left"/>
      <w:lvlText w:val="(%1)"/>
      <w:numFmt w:val="upperLetter"/>
      <w:start w:val="1"/>
    </w:lvl>
    <w:lvl w:ilvl="1">
      <w:lvlJc w:val="left"/>
      <w:lvlText w:val="(%2)"/>
      <w:numFmt w:val="decimal"/>
      <w:start w:val="1"/>
    </w:lvl>
  </w:abstractNum>
  <w:abstractNum w:abstractNumId="58">
    <w:nsid w:val="8F2B15E"/>
    <w:multiLevelType w:val="hybridMultilevel"/>
    <w:lvl w:ilvl="0">
      <w:lvlJc w:val="left"/>
      <w:lvlText w:val="(%1)"/>
      <w:numFmt w:val="decimal"/>
      <w:start w:val="2"/>
    </w:lvl>
  </w:abstractNum>
  <w:abstractNum w:abstractNumId="59">
    <w:nsid w:val="1A32234B"/>
    <w:multiLevelType w:val="hybridMultilevel"/>
    <w:lvl w:ilvl="0">
      <w:lvlJc w:val="left"/>
      <w:lvlText w:val="(%1)"/>
      <w:numFmt w:val="decimal"/>
      <w:start w:val="3"/>
    </w:lvl>
  </w:abstractNum>
  <w:abstractNum w:abstractNumId="60">
    <w:nsid w:val="3B0FD379"/>
    <w:multiLevelType w:val="hybridMultilevel"/>
    <w:lvl w:ilvl="0">
      <w:lvlJc w:val="left"/>
      <w:lvlText w:val="(%1)"/>
      <w:numFmt w:val="upperLetter"/>
      <w:start w:val="2"/>
    </w:lvl>
  </w:abstractNum>
  <w:abstractNum w:abstractNumId="61">
    <w:nsid w:val="68EB2F63"/>
    <w:multiLevelType w:val="hybridMultilevel"/>
    <w:lvl w:ilvl="0">
      <w:lvlJc w:val="left"/>
      <w:lvlText w:val="%1)"/>
      <w:numFmt w:val="lowerRoman"/>
      <w:start w:val="1"/>
    </w:lvl>
  </w:abstractNum>
  <w:abstractNum w:abstractNumId="62">
    <w:nsid w:val="4962813B"/>
    <w:multiLevelType w:val="hybridMultilevel"/>
    <w:lvl w:ilvl="0">
      <w:lvlJc w:val="left"/>
      <w:lvlText w:val="(%1)"/>
      <w:numFmt w:val="upperLetter"/>
      <w:start w:val="3"/>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decimal"/>
      <w:start w:val="2"/>
    </w:lvl>
  </w:abstractNum>
  <w:abstractNum w:abstractNumId="77">
    <w:nsid w:val="1716703B"/>
    <w:multiLevelType w:val="hybridMultilevel"/>
    <w:lvl w:ilvl="0">
      <w:lvlJc w:val="left"/>
      <w:lvlText w:val="(%1)"/>
      <w:numFmt w:val="upperLetter"/>
      <w:start w:val="1"/>
    </w:lvl>
  </w:abstractNum>
  <w:abstractNum w:abstractNumId="78">
    <w:nsid w:val="14E17E33"/>
    <w:multiLevelType w:val="hybridMultilevel"/>
    <w:lvl w:ilvl="0">
      <w:lvlJc w:val="left"/>
      <w:lvlText w:val="(%1)"/>
      <w:numFmt w:val="upperLetter"/>
      <w:start w:val="3"/>
    </w:lvl>
  </w:abstractNum>
  <w:abstractNum w:abstractNumId="79">
    <w:nsid w:val="3222E7CD"/>
    <w:multiLevelType w:val="hybridMultilevel"/>
    <w:lvl w:ilvl="0">
      <w:lvlJc w:val="left"/>
      <w:lvlText w:val="A"/>
      <w:numFmt w:val="bullet"/>
      <w:start w:val="1"/>
    </w:lvl>
  </w:abstractNum>
  <w:abstractNum w:abstractNumId="80">
    <w:nsid w:val="74DE0EE3"/>
    <w:multiLevelType w:val="hybridMultilevel"/>
    <w:lvl w:ilvl="0">
      <w:lvlJc w:val="left"/>
      <w:lvlText w:val="%1."/>
      <w:numFmt w:val="decimal"/>
      <w:start w:val="3"/>
    </w:lvl>
  </w:abstractNum>
  <w:abstractNum w:abstractNumId="81">
    <w:nsid w:val="68EBC550"/>
    <w:multiLevelType w:val="hybridMultilevel"/>
    <w:lvl w:ilvl="0">
      <w:lvlJc w:val="left"/>
      <w:lvlText w:val="(%1)"/>
      <w:numFmt w:val="upperLetter"/>
      <w:start w:val="1"/>
    </w:lvl>
  </w:abstractNum>
  <w:abstractNum w:abstractNumId="82">
    <w:nsid w:val="2DF6D648"/>
    <w:multiLevelType w:val="hybridMultilevel"/>
    <w:lvl w:ilvl="0">
      <w:lvlJc w:val="left"/>
      <w:lvlText w:val="(%1)"/>
      <w:numFmt w:val="lowerRoman"/>
      <w:start w:val="2"/>
    </w:lvl>
  </w:abstractNum>
  <w:abstractNum w:abstractNumId="83">
    <w:nsid w:val="46B7D447"/>
    <w:multiLevelType w:val="hybridMultilevel"/>
    <w:lvl w:ilvl="0">
      <w:lvlJc w:val="left"/>
      <w:lvlText w:val="(%1)"/>
      <w:numFmt w:val="upperLetter"/>
      <w:start w:val="4"/>
    </w:lvl>
  </w:abstractNum>
  <w:abstractNum w:abstractNumId="84">
    <w:nsid w:val="4A2AC315"/>
    <w:multiLevelType w:val="hybridMultilevel"/>
    <w:lvl w:ilvl="0">
      <w:lvlJc w:val="left"/>
      <w:lvlText w:val="%1."/>
      <w:numFmt w:val="decimal"/>
      <w:start w:val="4"/>
    </w:lvl>
  </w:abstractNum>
  <w:abstractNum w:abstractNumId="85">
    <w:nsid w:val="39EE015C"/>
    <w:multiLevelType w:val="hybridMultilevel"/>
    <w:lvl w:ilvl="0">
      <w:lvlJc w:val="left"/>
      <w:lvlText w:val="(%1)"/>
      <w:numFmt w:val="upperLetter"/>
      <w:start w:val="1"/>
    </w:lvl>
    <w:lvl w:ilvl="1">
      <w:lvlJc w:val="left"/>
      <w:lvlText w:val="(%2)"/>
      <w:numFmt w:val="lowerRoman"/>
      <w:start w:val="1"/>
    </w:lvl>
  </w:abstractNum>
  <w:abstractNum w:abstractNumId="86">
    <w:nsid w:val="57FC4FBB"/>
    <w:multiLevelType w:val="hybridMultilevel"/>
    <w:lvl w:ilvl="0">
      <w:lvlJc w:val="left"/>
      <w:lvlText w:val="(%1)"/>
      <w:numFmt w:val="lowerRoman"/>
      <w:start w:val="3"/>
    </w:lvl>
  </w:abstractNum>
  <w:abstractNum w:abstractNumId="87">
    <w:nsid w:val="CC1016F"/>
    <w:multiLevelType w:val="hybridMultilevel"/>
    <w:lvl w:ilvl="0">
      <w:lvlJc w:val="left"/>
      <w:lvlText w:val="%1"/>
      <w:numFmt w:val="upperLetter"/>
      <w:start w:val="1"/>
    </w:lvl>
    <w:lvl w:ilvl="1">
      <w:lvlJc w:val="left"/>
      <w:lvlText w:val="(%2)"/>
      <w:numFmt w:val="lowerRoman"/>
      <w:start w:val="4"/>
    </w:lvl>
  </w:abstractNum>
  <w:abstractNum w:abstractNumId="88">
    <w:nsid w:val="43F18422"/>
    <w:multiLevelType w:val="hybridMultilevel"/>
    <w:lvl w:ilvl="0">
      <w:lvlJc w:val="left"/>
      <w:lvlText w:val="(%1)"/>
      <w:numFmt w:val="upperLetter"/>
      <w:start w:val="2"/>
    </w:lvl>
    <w:lvl w:ilvl="1">
      <w:lvlJc w:val="left"/>
      <w:lvlText w:val="%2"/>
      <w:numFmt w:val="lowerRoman"/>
      <w:start w:val="1"/>
    </w:lvl>
  </w:abstractNum>
  <w:abstractNum w:abstractNumId="89">
    <w:nsid w:val="60EF0119"/>
    <w:multiLevelType w:val="hybridMultilevel"/>
    <w:lvl w:ilvl="0">
      <w:lvlJc w:val="left"/>
      <w:lvlText w:val="%1."/>
      <w:numFmt w:val="decimal"/>
      <w:start w:val="5"/>
    </w:lvl>
  </w:abstractNum>
  <w:abstractNum w:abstractNumId="90">
    <w:nsid w:val="26F324BA"/>
    <w:multiLevelType w:val="hybridMultilevel"/>
    <w:lvl w:ilvl="0">
      <w:lvlJc w:val="left"/>
      <w:lvlText w:val="%1."/>
      <w:numFmt w:val="decimal"/>
      <w:start w:val="6"/>
    </w:lvl>
  </w:abstractNum>
  <w:abstractNum w:abstractNumId="91">
    <w:nsid w:val="7F01579B"/>
    <w:multiLevelType w:val="hybridMultilevel"/>
    <w:lvl w:ilvl="0">
      <w:lvlJc w:val="left"/>
      <w:lvlText w:val="(%1)"/>
      <w:numFmt w:val="upperLetter"/>
      <w:start w:val="1"/>
    </w:lvl>
  </w:abstractNum>
  <w:abstractNum w:abstractNumId="92">
    <w:nsid w:val="49DA307D"/>
    <w:multiLevelType w:val="hybridMultilevel"/>
    <w:lvl w:ilvl="0">
      <w:lvlJc w:val="left"/>
      <w:lvlText w:val="(%1)"/>
      <w:numFmt w:val="upperLetter"/>
      <w:start w:val="2"/>
    </w:lvl>
  </w:abstractNum>
  <w:abstractNum w:abstractNumId="93">
    <w:nsid w:val="7055A5F5"/>
    <w:multiLevelType w:val="hybridMultilevel"/>
    <w:lvl w:ilvl="0">
      <w:lvlJc w:val="left"/>
      <w:lvlText w:val="%1."/>
      <w:numFmt w:val="decimal"/>
      <w:start w:val="7"/>
    </w:lvl>
  </w:abstractNum>
  <w:abstractNum w:abstractNumId="94">
    <w:nsid w:val="5FB8370B"/>
    <w:multiLevelType w:val="hybridMultilevel"/>
    <w:lvl w:ilvl="0">
      <w:lvlJc w:val="left"/>
      <w:lvlText w:val="%1."/>
      <w:numFmt w:val="decimal"/>
      <w:start w:val="8"/>
    </w:lvl>
  </w:abstractNum>
  <w:abstractNum w:abstractNumId="95">
    <w:nsid w:val="50801EE1"/>
    <w:multiLevelType w:val="hybridMultilevel"/>
    <w:lvl w:ilvl="0">
      <w:lvlJc w:val="left"/>
      <w:lvlText w:val="%1."/>
      <w:numFmt w:val="decimal"/>
      <w:start w:val="9"/>
    </w:lvl>
  </w:abstractNum>
  <w:abstractNum w:abstractNumId="96">
    <w:nsid w:val="488AC1A"/>
    <w:multiLevelType w:val="hybridMultilevel"/>
    <w:lvl w:ilvl="0">
      <w:lvlJc w:val="left"/>
      <w:lvlText w:val="%1."/>
      <w:numFmt w:val="decimal"/>
      <w:start w:val="10"/>
    </w:lvl>
  </w:abstractNum>
  <w:abstractNum w:abstractNumId="97">
    <w:nsid w:val="5FB8011C"/>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2019-12-13T20:13:32Z</dcterms:created>
  <dcterms:modified xsi:type="dcterms:W3CDTF">2019-12-13T20:13:32Z</dcterms:modified>
</cp:coreProperties>
</file>